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GISB STANDARDS RELATED TO BILLING OF MEASURED VOLUMES ON THE PIPELINE</w:t>
      </w:r>
    </w:p>
    <w:p>
      <w:pPr>
        <w:pStyle w:val="Heading1"/>
        <w:ind w:hanging="0" w:start="0"/>
        <w:jc w:val="center"/>
        <w:rPr/>
      </w:pPr>
      <w:r>
        <w:rPr/>
        <w:t>3/5/2002</w:t>
      </w:r>
    </w:p>
    <w:p>
      <w:pPr>
        <w:pStyle w:val="Normal"/>
        <w:rPr/>
      </w:pPr>
      <w:r>
        <w:rPr/>
      </w:r>
    </w:p>
    <w:p>
      <w:pPr>
        <w:pStyle w:val="Normal"/>
        <w:rPr/>
      </w:pPr>
      <w:r>
        <w:rPr/>
      </w:r>
    </w:p>
    <w:p>
      <w:pPr>
        <w:pStyle w:val="Heading1"/>
        <w:ind w:hanging="0" w:start="0"/>
        <w:rPr/>
      </w:pPr>
      <w:r>
        <w:rPr/>
        <w:t>Flowing Gas Related Standards</w:t>
      </w:r>
    </w:p>
    <w:p>
      <w:pPr>
        <w:pStyle w:val="Normal"/>
        <w:rPr/>
      </w:pPr>
      <w:r>
        <w:rPr/>
      </w:r>
    </w:p>
    <w:p>
      <w:pPr>
        <w:pStyle w:val="Normal"/>
        <w:rPr/>
      </w:pPr>
      <w:r>
        <w:rPr/>
        <w:t>2.1.2 - Industry participants should strive to provide the most accurate and timely data available.  Participants recognize the problems caused by recurring prior period adjustments to the same original transaction; therefore, to the extent possible</w:t>
      </w:r>
      <w:r>
        <w:rPr>
          <w:b/>
          <w:bCs/>
          <w:u w:val="single"/>
        </w:rPr>
        <w:t>, prior period adjustments should be based on actual measurement data and finalized allocations.</w:t>
      </w:r>
    </w:p>
    <w:p>
      <w:pPr>
        <w:pStyle w:val="Normal"/>
        <w:rPr>
          <w:b/>
          <w:bCs/>
          <w:u w:val="single"/>
        </w:rPr>
      </w:pPr>
      <w:r>
        <w:rPr>
          <w:b/>
          <w:bCs/>
          <w:u w:val="single"/>
        </w:rPr>
      </w:r>
    </w:p>
    <w:p>
      <w:pPr>
        <w:pStyle w:val="Normal"/>
        <w:rPr/>
      </w:pPr>
      <w:r>
        <w:rPr/>
      </w:r>
    </w:p>
    <w:p>
      <w:pPr>
        <w:pStyle w:val="Normal"/>
        <w:numPr>
          <w:ilvl w:val="2"/>
          <w:numId w:val="6"/>
        </w:numPr>
        <w:tabs>
          <w:tab w:val="clear" w:pos="720"/>
          <w:tab w:val="left" w:pos="0" w:leader="none"/>
        </w:tabs>
        <w:ind w:hanging="0" w:start="0" w:end="0"/>
        <w:rPr/>
      </w:pPr>
      <w:r>
        <w:rPr/>
        <w:t xml:space="preserve">-  The cutoff for the closing of measurement is </w:t>
      </w:r>
      <w:r>
        <w:rPr>
          <w:b/>
          <w:bCs/>
          <w:u w:val="single"/>
        </w:rPr>
        <w:t>5 business d</w:t>
      </w:r>
      <w:r>
        <w:rPr/>
        <w:t>ays after business month.</w:t>
      </w:r>
    </w:p>
    <w:p>
      <w:pPr>
        <w:pStyle w:val="Normal"/>
        <w:rPr/>
      </w:pPr>
      <w:r>
        <w:rPr/>
      </w:r>
    </w:p>
    <w:p>
      <w:pPr>
        <w:pStyle w:val="Normal"/>
        <w:numPr>
          <w:ilvl w:val="2"/>
          <w:numId w:val="2"/>
        </w:numPr>
        <w:tabs>
          <w:tab w:val="clear" w:pos="720"/>
          <w:tab w:val="left" w:pos="-180" w:leader="none"/>
        </w:tabs>
        <w:ind w:hanging="0" w:start="0" w:end="0"/>
        <w:rPr/>
      </w:pPr>
      <w:r>
        <w:rPr/>
        <w:t xml:space="preserve">-  For treatment of measurement prior period adjustments, treat the adjustment by taking it back to the production month.  </w:t>
      </w:r>
      <w:r>
        <w:rPr>
          <w:b/>
          <w:bCs/>
          <w:u w:val="single"/>
        </w:rPr>
        <w:t>A meter adjustment becomes a prior period adjustment after the fifth business day following the business month</w:t>
      </w:r>
      <w:r>
        <w:rPr/>
        <w:t>.</w:t>
      </w:r>
    </w:p>
    <w:p>
      <w:pPr>
        <w:pStyle w:val="Normal"/>
        <w:rPr/>
      </w:pPr>
      <w:r>
        <w:rPr/>
      </w:r>
    </w:p>
    <w:p>
      <w:pPr>
        <w:pStyle w:val="Normal"/>
        <w:numPr>
          <w:ilvl w:val="2"/>
          <w:numId w:val="5"/>
        </w:numPr>
        <w:tabs>
          <w:tab w:val="clear" w:pos="720"/>
          <w:tab w:val="left" w:pos="0" w:leader="none"/>
        </w:tabs>
        <w:ind w:hanging="0" w:start="0" w:end="0"/>
        <w:rPr/>
      </w:pPr>
      <w:r>
        <w:rPr/>
        <w:t>-   Estimate missing or late measurement data and treat actual as a prior period adjustment, with the measuring party to provide the estimate.</w:t>
      </w:r>
    </w:p>
    <w:p>
      <w:pPr>
        <w:pStyle w:val="Normal"/>
        <w:rPr/>
      </w:pPr>
      <w:r>
        <w:rPr/>
      </w:r>
    </w:p>
    <w:p>
      <w:pPr>
        <w:pStyle w:val="Normal"/>
        <w:numPr>
          <w:ilvl w:val="2"/>
          <w:numId w:val="5"/>
        </w:numPr>
        <w:rPr/>
      </w:pPr>
      <w:r>
        <w:rPr/>
        <w:t xml:space="preserve">-  There are two types of allocations:  </w:t>
      </w:r>
      <w:r>
        <w:rPr>
          <w:b/>
          <w:bCs/>
          <w:u w:val="single"/>
        </w:rPr>
        <w:t>daily</w:t>
      </w:r>
      <w:r>
        <w:rPr/>
        <w:t xml:space="preserve"> and monthly.</w:t>
      </w:r>
    </w:p>
    <w:p>
      <w:pPr>
        <w:pStyle w:val="Normal"/>
        <w:rPr/>
      </w:pPr>
      <w:r>
        <w:rPr/>
      </w:r>
    </w:p>
    <w:p>
      <w:pPr>
        <w:pStyle w:val="Normal"/>
        <w:rPr/>
      </w:pPr>
      <w:r>
        <w:rPr/>
        <w:t>2.3.28  -  Imbalance statements should be generated at the same time or prior to the generation of the transportation invoice.</w:t>
      </w:r>
    </w:p>
    <w:p>
      <w:pPr>
        <w:pStyle w:val="Normal"/>
        <w:rPr/>
      </w:pPr>
      <w:r>
        <w:rPr/>
      </w:r>
    </w:p>
    <w:p>
      <w:pPr>
        <w:pStyle w:val="Normal"/>
        <w:rPr/>
      </w:pPr>
      <w:r>
        <w:rPr/>
      </w:r>
    </w:p>
    <w:p>
      <w:pPr>
        <w:pStyle w:val="Heading1"/>
        <w:ind w:hanging="0" w:start="0"/>
        <w:rPr/>
      </w:pPr>
      <w:r>
        <w:rPr/>
        <w:t>Invoicing Related Standards</w:t>
      </w:r>
    </w:p>
    <w:p>
      <w:pPr>
        <w:pStyle w:val="Normal"/>
        <w:rPr/>
      </w:pPr>
      <w:r>
        <w:rPr/>
      </w:r>
    </w:p>
    <w:p>
      <w:pPr>
        <w:pStyle w:val="Normal"/>
        <w:numPr>
          <w:ilvl w:val="2"/>
          <w:numId w:val="3"/>
        </w:numPr>
        <w:tabs>
          <w:tab w:val="clear" w:pos="720"/>
          <w:tab w:val="left" w:pos="0" w:leader="none"/>
        </w:tabs>
        <w:ind w:hanging="0" w:start="0" w:end="0"/>
        <w:rPr/>
      </w:pPr>
      <w:r>
        <w:rPr/>
        <w:t xml:space="preserve">-  Invoices should be based on </w:t>
      </w:r>
      <w:r>
        <w:rPr>
          <w:b/>
          <w:bCs/>
          <w:u w:val="single"/>
        </w:rPr>
        <w:t>actuals (if available) or best available data</w:t>
      </w:r>
      <w:r>
        <w:rPr/>
        <w:t>.  Quantities at points where OBAs exist should be invoiced based on scheduled quantities.</w:t>
      </w:r>
    </w:p>
    <w:p>
      <w:pPr>
        <w:pStyle w:val="Normal"/>
        <w:rPr/>
      </w:pPr>
      <w:r>
        <w:rPr/>
      </w:r>
    </w:p>
    <w:p>
      <w:pPr>
        <w:pStyle w:val="Normal"/>
        <w:rPr/>
      </w:pPr>
      <w:r>
        <w:rPr/>
        <w:t xml:space="preserve">3.3.14  -  The imbalance statement should be rendered prior to or with the invoice, and the transportation invoice should be prepared on or before the </w:t>
      </w:r>
      <w:r>
        <w:rPr>
          <w:b/>
          <w:bCs/>
          <w:u w:val="single"/>
        </w:rPr>
        <w:t>9</w:t>
      </w:r>
      <w:r>
        <w:rPr>
          <w:b/>
          <w:bCs/>
          <w:u w:val="single"/>
          <w:vertAlign w:val="superscript"/>
        </w:rPr>
        <w:t>th</w:t>
      </w:r>
      <w:r>
        <w:rPr>
          <w:b/>
          <w:bCs/>
          <w:u w:val="single"/>
        </w:rPr>
        <w:t xml:space="preserve"> business</w:t>
      </w:r>
      <w:r>
        <w:rPr/>
        <w:t xml:space="preserve"> day after the end of the production month.  Rendered is defined as postmarked, time-stamped and delivered to the designated site.</w:t>
      </w:r>
    </w:p>
    <w:p>
      <w:pPr>
        <w:pStyle w:val="Normal"/>
        <w:rPr/>
      </w:pPr>
      <w:r>
        <w:rPr/>
      </w:r>
    </w:p>
    <w:p>
      <w:pPr>
        <w:pStyle w:val="Normal"/>
        <w:numPr>
          <w:ilvl w:val="2"/>
          <w:numId w:val="4"/>
        </w:numPr>
        <w:tabs>
          <w:tab w:val="clear" w:pos="720"/>
          <w:tab w:val="left" w:pos="0" w:leader="none"/>
        </w:tabs>
        <w:ind w:hanging="0" w:start="0" w:end="0"/>
        <w:rPr/>
      </w:pPr>
      <w:r>
        <w:rPr/>
        <w:t>-  Prior period adjustment time limits should be 6 months from the date of the initial transportation invoice and 7 months from date of initial sales invoice with a 3-month rebuttal period, excluding government-required rate changes.  This standard shall not apply in the case of deliberate omission or misrepresentation of mutual mistake of fact.  Parties’ other statutory of contractual rights shall not otherwise be diminished by this standard.</w:t>
      </w:r>
    </w:p>
    <w:p>
      <w:pPr>
        <w:pStyle w:val="Normal"/>
        <w:rPr/>
      </w:pPr>
      <w:r>
        <w:rPr/>
      </w:r>
    </w:p>
    <w:p>
      <w:pPr>
        <w:pStyle w:val="Normal"/>
        <w:rPr/>
      </w:pPr>
      <w:r>
        <w:rPr/>
        <w:t xml:space="preserve">3.3.16  -  </w:t>
      </w:r>
      <w:r>
        <w:rPr>
          <w:b/>
          <w:bCs/>
          <w:u w:val="single"/>
        </w:rPr>
        <w:t>Prior period adjustments are reported by production date</w:t>
      </w:r>
      <w:r>
        <w:rPr/>
        <w:t>, but they do not have to be invoice separately by production month – nor is each production month a separate paper invoice page.</w:t>
      </w:r>
    </w:p>
    <w:p>
      <w:pPr>
        <w:pStyle w:val="Normal"/>
        <w:rPr/>
      </w:pPr>
      <w:r>
        <w:rPr/>
      </w:r>
    </w:p>
    <w:p>
      <w:pPr>
        <w:pStyle w:val="Normal"/>
        <w:rPr/>
      </w:pPr>
      <w:r>
        <w:rPr/>
      </w:r>
    </w:p>
    <w:sectPr>
      <w:type w:val="nextPage"/>
      <w:pgSz w:w="12240" w:h="15840"/>
      <w:pgMar w:left="1800" w:right="180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lvl w:ilvl="1">
      <w:start w:val="3"/>
      <w:numFmt w:val="decimal"/>
      <w:lvlText w:val="%1.%2"/>
      <w:lvlJc w:val="start"/>
      <w:pPr>
        <w:tabs>
          <w:tab w:val="num" w:pos="720"/>
        </w:tabs>
        <w:ind w:start="720" w:hanging="720"/>
      </w:pPr>
      <w:rPr/>
    </w:lvl>
    <w:lvl w:ilvl="2">
      <w:start w:val="1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3"/>
      <w:numFmt w:val="decimal"/>
      <w:lvlText w:val="%1"/>
      <w:lvlJc w:val="start"/>
      <w:pPr>
        <w:tabs>
          <w:tab w:val="num" w:pos="600"/>
        </w:tabs>
        <w:ind w:start="600" w:hanging="600"/>
      </w:pPr>
      <w:rPr/>
    </w:lvl>
    <w:lvl w:ilvl="1">
      <w:start w:val="3"/>
      <w:numFmt w:val="decimal"/>
      <w:lvlText w:val="%1.%2"/>
      <w:lvlJc w:val="start"/>
      <w:pPr>
        <w:tabs>
          <w:tab w:val="num" w:pos="600"/>
        </w:tabs>
        <w:ind w:start="600" w:hanging="600"/>
      </w:pPr>
      <w:rPr/>
    </w:lvl>
    <w:lvl w:ilvl="2">
      <w:start w:val="9"/>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3"/>
      <w:numFmt w:val="decimal"/>
      <w:lvlText w:val="%1"/>
      <w:lvlJc w:val="start"/>
      <w:pPr>
        <w:tabs>
          <w:tab w:val="num" w:pos="720"/>
        </w:tabs>
        <w:ind w:start="720" w:hanging="720"/>
      </w:pPr>
      <w:rPr/>
    </w:lvl>
    <w:lvl w:ilvl="1">
      <w:start w:val="3"/>
      <w:numFmt w:val="decimal"/>
      <w:lvlText w:val="%1.%2"/>
      <w:lvlJc w:val="start"/>
      <w:pPr>
        <w:tabs>
          <w:tab w:val="num" w:pos="720"/>
        </w:tabs>
        <w:ind w:start="720" w:hanging="720"/>
      </w:pPr>
      <w:rPr/>
    </w:lvl>
    <w:lvl w:ilvl="2">
      <w:start w:val="15"/>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
    <w:lvl w:ilvl="0">
      <w:start w:val="2"/>
      <w:numFmt w:val="decimal"/>
      <w:lvlText w:val="%1"/>
      <w:lvlJc w:val="start"/>
      <w:pPr>
        <w:tabs>
          <w:tab w:val="num" w:pos="600"/>
        </w:tabs>
        <w:ind w:start="600" w:hanging="600"/>
      </w:pPr>
      <w:rPr/>
    </w:lvl>
    <w:lvl w:ilvl="1">
      <w:start w:val="3"/>
      <w:numFmt w:val="decimal"/>
      <w:lvlText w:val="%1.%2"/>
      <w:lvlJc w:val="start"/>
      <w:pPr>
        <w:tabs>
          <w:tab w:val="num" w:pos="600"/>
        </w:tabs>
        <w:ind w:start="600" w:hanging="600"/>
      </w:pPr>
      <w:rPr/>
    </w:lvl>
    <w:lvl w:ilvl="2">
      <w:start w:val="13"/>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2"/>
      <w:numFmt w:val="decimal"/>
      <w:lvlText w:val="%1"/>
      <w:lvlJc w:val="start"/>
      <w:pPr>
        <w:tabs>
          <w:tab w:val="num" w:pos="600"/>
        </w:tabs>
        <w:ind w:start="600" w:hanging="600"/>
      </w:pPr>
      <w:rPr/>
    </w:lvl>
    <w:lvl w:ilvl="1">
      <w:start w:val="3"/>
      <w:numFmt w:val="decimal"/>
      <w:lvlText w:val="%1.%2"/>
      <w:lvlJc w:val="start"/>
      <w:pPr>
        <w:tabs>
          <w:tab w:val="num" w:pos="600"/>
        </w:tabs>
        <w:ind w:start="600" w:hanging="600"/>
      </w:pPr>
      <w:rPr/>
    </w:lvl>
    <w:lvl w:ilvl="2">
      <w:start w:val="7"/>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8"/>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2002-03-06T13:57:00Z</dcterms:created>
  <dc:creator>lblair</dc:creator>
  <dc:description/>
  <dc:language>en-CA</dc:language>
  <cp:lastModifiedBy>scorman</cp:lastModifiedBy>
  <dcterms:modified xsi:type="dcterms:W3CDTF">2002-03-06T13:57:00Z</dcterms:modified>
  <cp:revision>2</cp:revision>
  <dc:subject/>
  <dc:title>Flowing Gas Related Standards</dc:title>
</cp:coreProperties>
</file>