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BEFORE THE</w:t>
      </w:r>
    </w:p>
    <w:p>
      <w:pPr>
        <w:pStyle w:val="Normal"/>
        <w:jc w:val="center"/>
        <w:rPr/>
      </w:pPr>
      <w:r>
        <w:rPr/>
        <w:t>PUBLIC UTILITIES COMMISSION</w:t>
      </w:r>
    </w:p>
    <w:p>
      <w:pPr>
        <w:pStyle w:val="Normal"/>
        <w:jc w:val="center"/>
        <w:rPr/>
      </w:pPr>
      <w:r>
        <w:rPr/>
        <w:t>OF THE</w:t>
      </w:r>
    </w:p>
    <w:p>
      <w:pPr>
        <w:pStyle w:val="Normal"/>
        <w:jc w:val="center"/>
        <w:rPr/>
      </w:pPr>
      <w:r>
        <w:rPr/>
        <w:t>STATE OF CALIFORNIA</w:t>
      </w:r>
    </w:p>
    <w:p>
      <w:pPr>
        <w:pStyle w:val="Normal"/>
        <w:jc w:val="center"/>
        <w:rPr/>
      </w:pPr>
      <w:r>
        <w:rPr/>
      </w:r>
    </w:p>
    <w:p>
      <w:pPr>
        <w:pStyle w:val="Normal"/>
        <w:jc w:val="center"/>
        <w:rPr/>
      </w:pPr>
      <w:r>
        <w:rPr/>
      </w:r>
    </w:p>
    <w:p>
      <w:pPr>
        <w:pStyle w:val="BodyText"/>
        <w:spacing w:lineRule="auto" w:line="240"/>
        <w:rPr>
          <w:rFonts w:ascii="Courier New" w:hAnsi="Courier New" w:cs="Courier New"/>
        </w:rPr>
      </w:pPr>
      <w:r>
        <w:rPr>
          <w:rFonts w:cs="Courier New" w:ascii="Courier New" w:hAnsi="Courier New"/>
        </w:rPr>
        <w:t>Investigation on the Commission’s Own Motion  )</w:t>
      </w:r>
    </w:p>
    <w:p>
      <w:pPr>
        <w:pStyle w:val="BodyText"/>
        <w:spacing w:lineRule="auto" w:line="240"/>
        <w:rPr>
          <w:rFonts w:ascii="Courier New" w:hAnsi="Courier New" w:cs="Courier New"/>
        </w:rPr>
      </w:pPr>
      <w:r>
        <w:rPr>
          <w:rFonts w:cs="Courier New" w:ascii="Courier New" w:hAnsi="Courier New"/>
        </w:rPr>
        <w:t>To Consider the Costs and Benefits of Various )</w:t>
      </w:r>
    </w:p>
    <w:p>
      <w:pPr>
        <w:pStyle w:val="BodyText"/>
        <w:spacing w:lineRule="auto" w:line="240"/>
        <w:rPr>
          <w:rFonts w:ascii="Courier New" w:hAnsi="Courier New" w:cs="Courier New"/>
        </w:rPr>
      </w:pPr>
      <w:r>
        <w:rPr>
          <w:rFonts w:cs="Courier New" w:ascii="Courier New" w:hAnsi="Courier New"/>
        </w:rPr>
        <w:t>Promising Revisions to the Regulatory and     )</w:t>
      </w:r>
    </w:p>
    <w:p>
      <w:pPr>
        <w:pStyle w:val="BodyText"/>
        <w:spacing w:lineRule="auto" w:line="240"/>
        <w:rPr>
          <w:rFonts w:ascii="Courier New" w:hAnsi="Courier New" w:cs="Courier New"/>
        </w:rPr>
      </w:pPr>
      <w:r>
        <w:rPr>
          <w:rFonts w:cs="Courier New" w:ascii="Courier New" w:hAnsi="Courier New"/>
        </w:rPr>
        <w:t>Market Structure Governing California’s       )</w:t>
        <w:tab/>
        <w:t>I.99-07-003</w:t>
      </w:r>
    </w:p>
    <w:p>
      <w:pPr>
        <w:pStyle w:val="BodyText"/>
        <w:spacing w:lineRule="auto" w:line="240"/>
        <w:rPr>
          <w:rFonts w:ascii="Courier New" w:hAnsi="Courier New" w:cs="Courier New"/>
        </w:rPr>
      </w:pPr>
      <w:r>
        <w:rPr>
          <w:rFonts w:cs="Courier New" w:ascii="Courier New" w:hAnsi="Courier New"/>
        </w:rPr>
        <w:t>Natural Gas Industry and to Report to the     )</w:t>
      </w:r>
    </w:p>
    <w:p>
      <w:pPr>
        <w:pStyle w:val="BodyText"/>
        <w:spacing w:lineRule="auto" w:line="240"/>
        <w:rPr>
          <w:rFonts w:ascii="Courier New" w:hAnsi="Courier New" w:cs="Courier New"/>
        </w:rPr>
      </w:pPr>
      <w:r>
        <w:rPr>
          <w:rFonts w:cs="Courier New" w:ascii="Courier New" w:hAnsi="Courier New"/>
        </w:rPr>
        <w:t>California Legislature on the Commission’s    )</w:t>
      </w:r>
    </w:p>
    <w:p>
      <w:pPr>
        <w:pStyle w:val="BodyText"/>
        <w:spacing w:lineRule="auto" w:line="240"/>
        <w:rPr>
          <w:rFonts w:ascii="Courier New" w:hAnsi="Courier New" w:cs="Courier New"/>
        </w:rPr>
      </w:pPr>
      <w:r>
        <w:rPr>
          <w:rFonts w:cs="Courier New" w:ascii="Courier New" w:hAnsi="Courier New"/>
        </w:rPr>
        <w:t>Findings                                      )</w:t>
      </w:r>
    </w:p>
    <w:p>
      <w:pPr>
        <w:pStyle w:val="BodyText"/>
        <w:spacing w:lineRule="auto" w:line="240"/>
        <w:rPr>
          <w:rFonts w:ascii="Courier New" w:hAnsi="Courier New" w:cs="Courier New"/>
        </w:rPr>
      </w:pPr>
      <w:r>
        <w:rPr>
          <w:rFonts w:cs="Courier New" w:ascii="Courier New" w:hAnsi="Courier New"/>
        </w:rPr>
        <w:t>______________________________________________)</w:t>
      </w:r>
    </w:p>
    <w:p>
      <w:pPr>
        <w:pStyle w:val="Normal"/>
        <w:jc w:val="center"/>
        <w:rPr>
          <w:rFonts w:ascii="Courier New" w:hAnsi="Courier New" w:cs="Courier New"/>
        </w:rPr>
      </w:pPr>
      <w:r>
        <w:rPr>
          <w:rFonts w:cs="Courier New"/>
        </w:rPr>
      </w:r>
    </w:p>
    <w:p>
      <w:pPr>
        <w:pStyle w:val="Footer"/>
        <w:tabs>
          <w:tab w:val="clear" w:pos="4320"/>
          <w:tab w:val="clear" w:pos="8640"/>
        </w:tabs>
        <w:spacing w:lineRule="auto" w:line="360"/>
        <w:rPr/>
      </w:pPr>
      <w:r>
        <w:rPr/>
      </w:r>
    </w:p>
    <w:p>
      <w:pPr>
        <w:pStyle w:val="Footer"/>
        <w:tabs>
          <w:tab w:val="clear" w:pos="4320"/>
          <w:tab w:val="clear" w:pos="8640"/>
        </w:tabs>
        <w:jc w:val="center"/>
        <w:rPr>
          <w:b/>
        </w:rPr>
      </w:pPr>
      <w:r>
        <w:rPr>
          <w:b/>
        </w:rPr>
        <w:t>RESPONSE OF</w:t>
      </w:r>
    </w:p>
    <w:p>
      <w:pPr>
        <w:pStyle w:val="Footer"/>
        <w:tabs>
          <w:tab w:val="clear" w:pos="4320"/>
          <w:tab w:val="clear" w:pos="8640"/>
        </w:tabs>
        <w:jc w:val="center"/>
        <w:rPr>
          <w:b/>
        </w:rPr>
      </w:pPr>
      <w:r>
        <w:rPr>
          <w:b/>
        </w:rPr>
        <w:t>SOUTHERN CALIFORNIA GAS COMPANY (U 904 G)</w:t>
      </w:r>
    </w:p>
    <w:p>
      <w:pPr>
        <w:pStyle w:val="Footer"/>
        <w:tabs>
          <w:tab w:val="clear" w:pos="4320"/>
          <w:tab w:val="clear" w:pos="8640"/>
        </w:tabs>
        <w:jc w:val="center"/>
        <w:rPr>
          <w:b/>
        </w:rPr>
      </w:pPr>
      <w:r>
        <w:rPr>
          <w:b/>
        </w:rPr>
        <w:t xml:space="preserve">TO MOTIONS OF TURN AND SCGC TO COMPEL </w:t>
      </w:r>
    </w:p>
    <w:p>
      <w:pPr>
        <w:pStyle w:val="Footer"/>
        <w:tabs>
          <w:tab w:val="clear" w:pos="4320"/>
          <w:tab w:val="clear" w:pos="8640"/>
        </w:tabs>
        <w:jc w:val="center"/>
        <w:rPr>
          <w:b/>
        </w:rPr>
      </w:pPr>
      <w:r>
        <w:rPr>
          <w:b/>
        </w:rPr>
        <w:t>ANSWERS TO DATA REQUESTS</w:t>
      </w:r>
    </w:p>
    <w:p>
      <w:pPr>
        <w:pStyle w:val="Normal"/>
        <w:spacing w:lineRule="auto" w:line="360"/>
        <w:rPr>
          <w:b/>
        </w:rPr>
      </w:pPr>
      <w:r>
        <w:rPr>
          <w:b/>
        </w:rPr>
      </w:r>
    </w:p>
    <w:p>
      <w:pPr>
        <w:pStyle w:val="Normal"/>
        <w:spacing w:lineRule="auto" w:line="360"/>
        <w:rPr/>
      </w:pPr>
      <w:r>
        <w:rPr/>
      </w:r>
    </w:p>
    <w:p>
      <w:pPr>
        <w:pStyle w:val="Normal"/>
        <w:spacing w:lineRule="auto" w:line="360" w:before="0" w:after="120"/>
        <w:rPr/>
      </w:pPr>
      <w:r>
        <w:rPr/>
        <w:tab/>
        <w:tab/>
        <w:t>Southern California Gas Company (“SoCalGas”) hereby responds in opposition to the motions of TURN filed May 12, 2000, and of the Southern California Generation Coalition (“SCGC”) filed May 19, 2000, to compel SoCalGas to answer certain questions in TURN’s data request dated April 27, 2000.</w:t>
      </w:r>
      <w:r>
        <w:rPr>
          <w:rStyle w:val="FootnoteCharacters"/>
          <w:rStyle w:val="FootnoteReference"/>
          <w:u w:val="single"/>
        </w:rPr>
        <w:footnoteReference w:id="2"/>
      </w:r>
      <w:r>
        <w:rPr>
          <w:vertAlign w:val="superscript"/>
        </w:rPr>
        <w:t>/</w:t>
      </w:r>
    </w:p>
    <w:p>
      <w:pPr>
        <w:pStyle w:val="Normal"/>
        <w:spacing w:lineRule="auto" w:line="360" w:before="0" w:after="120"/>
        <w:rPr/>
      </w:pPr>
      <w:r>
        <w:rPr/>
        <w:tab/>
        <w:tab/>
        <w:t>The questions which TURN and SCGC seek to compel SoCalGas to answer are Questions 4, 5, 8, 9, 12, 12.1, 12.2, 13, 13.1, 14, 14.1 through 14.5, 15, 16, 17, 18, 18.1, 19 (but not 19.1), 20, 20.1, and 20.2.</w:t>
      </w:r>
    </w:p>
    <w:p>
      <w:pPr>
        <w:pStyle w:val="Normal"/>
        <w:spacing w:lineRule="auto" w:line="360" w:before="0" w:after="120"/>
        <w:rPr/>
      </w:pPr>
      <w:r>
        <w:rPr/>
        <w:tab/>
        <w:tab/>
        <w:t>SoCalGas (and SDG&amp;E) answered Questions 1 and 2.  TURN and SCGC state they have withdrawn Questions 3, 6, 7, 10, 11, 19.1 and 12.</w:t>
      </w:r>
    </w:p>
    <w:p>
      <w:pPr>
        <w:pStyle w:val="Normal"/>
        <w:spacing w:lineRule="auto" w:line="360" w:before="0" w:after="120"/>
        <w:rPr/>
      </w:pPr>
      <w:r>
        <w:rPr/>
        <w:tab/>
        <w:tab/>
        <w:t>The Commission should deny the motions to compel in their entirety, for the set forth below.</w:t>
      </w:r>
    </w:p>
    <w:p>
      <w:pPr>
        <w:pStyle w:val="BodyTextIndent"/>
        <w:spacing w:before="240" w:after="240"/>
        <w:ind w:hanging="720" w:start="2160" w:end="0"/>
        <w:rPr/>
      </w:pPr>
      <w:r>
        <w:rPr/>
        <w:t>1.</w:t>
        <w:tab/>
        <w:t>Lack of Relevance or Reasonable Calculation to Lead to Discovery of Admissible Evidence</w:t>
      </w:r>
    </w:p>
    <w:p>
      <w:pPr>
        <w:pStyle w:val="BodyText2"/>
        <w:numPr>
          <w:ilvl w:val="0"/>
          <w:numId w:val="0"/>
        </w:numPr>
        <w:spacing w:lineRule="auto" w:line="360" w:before="0" w:after="120"/>
        <w:ind w:firstLine="1440" w:start="0" w:end="0"/>
        <w:rPr/>
      </w:pPr>
      <w:r>
        <w:rPr/>
        <w:t>None the questions that are the subject of the motions to compel seek information that is relevant to the issues the Commission must decide in I.99-07-003 or are reasonably calculated to lead to the discovery of admissible evidence in I.99-07-003.  The questions relate to what obligations SoCalGas has as a signatory to the Interim Settlement and the Comprehensive Settlement, and impliedly whether SoCalGas has breached or intends to breach such obligations, if there are any.</w:t>
      </w:r>
    </w:p>
    <w:p>
      <w:pPr>
        <w:pStyle w:val="Normal"/>
        <w:numPr>
          <w:ilvl w:val="0"/>
          <w:numId w:val="0"/>
        </w:numPr>
        <w:spacing w:lineRule="auto" w:line="360" w:before="0" w:after="120"/>
        <w:ind w:firstLine="1440" w:start="0" w:end="0"/>
        <w:rPr/>
      </w:pPr>
      <w:r>
        <w:rPr/>
        <w:t xml:space="preserve">The questions that are the subject of this motion will not provide the Commission with </w:t>
      </w:r>
      <w:r>
        <w:rPr>
          <w:u w:val="single"/>
        </w:rPr>
        <w:t>any</w:t>
      </w:r>
      <w:r>
        <w:rPr/>
        <w:t xml:space="preserve"> useful information as to whether it should approve any of the three settlements before the Commission or any other proposal in the proceeding.</w:t>
      </w:r>
    </w:p>
    <w:p>
      <w:pPr>
        <w:pStyle w:val="BodyTextIndent3"/>
        <w:rPr/>
      </w:pPr>
      <w:r>
        <w:rPr/>
        <w:t xml:space="preserve">The questions will provide no information to the Commission about the cost or functioning of SoCalGas’ system, no information as to how any settlement or proposal will affect gas consumers, and no information as to how any settlement or proposal will affect utility shareholders.  </w:t>
      </w:r>
    </w:p>
    <w:p>
      <w:pPr>
        <w:pStyle w:val="BodyTextIndent3"/>
        <w:rPr/>
      </w:pPr>
      <w:r>
        <w:rPr/>
        <w:t>TURN and SCGC (by adoption of TURN’s arguments) claim that the questions are necessary to clarify to the Commission the position of SoCalGas in I.99-07-003.</w:t>
      </w:r>
    </w:p>
    <w:p>
      <w:pPr>
        <w:pStyle w:val="BodyTextIndent3"/>
        <w:rPr/>
      </w:pPr>
      <w:r>
        <w:rPr/>
        <w:t>TURN argues at p.3 that the Commission needs to understand the position of parties in order to determine whether or not a settlement is contested on grounds of material issues of fact that require a hearing.  Clearly, there is no such need for SoCalGas to answer for that purpose in the present circumstances.  Numerous parties other than SoCalGas opposed and continue to oppose the Interim Settlement.  The CAC members filed a settlement on January 28, 2000, specifically to propose provisions in opposition to the Interim Settlement.  The Interim Settlement is a contested settlement regardless of what SoCalGas’ position is on it.</w:t>
      </w:r>
    </w:p>
    <w:p>
      <w:pPr>
        <w:pStyle w:val="BodyText2"/>
        <w:numPr>
          <w:ilvl w:val="0"/>
          <w:numId w:val="0"/>
        </w:numPr>
        <w:spacing w:lineRule="auto" w:line="360" w:before="0" w:after="120"/>
        <w:ind w:firstLine="1440" w:start="0" w:end="0"/>
        <w:rPr/>
      </w:pPr>
      <w:r>
        <w:rPr/>
        <w:t>TURN argues at p.3-4 that:  “SoCalGas is an important stakeholder in this proceeding.  The position of the utility with respect to the competing settlements is thus clearly relevant to a determination of which settlement is most suitable and ‘in the public interest,’ and information designed to clarify the position of the utility constitutes relevant evidence.”  SoCalGas submits that TURN and SCGC (by adoption of TURN’s motion) are being disingenuous.  When was the last time that TURN argued to the Commission that a reason the Commission should adopt a particular proposal or settlement was because SoCalGas supported it?  The next time that TURN or SCGC take positions in opposition to SoCalGas, will TURN or SCGC concede that the Commission should give deference to the opposing position because SoCalGas supports it?  Do TURN and SCGC agree that SoCalGas’ opposition to punitive provisions of the Post-Interim Settlement, such as shareholder absorption of ITCS, should be given particular weight because SoCalGas is an important stakeholder?</w:t>
      </w:r>
    </w:p>
    <w:p>
      <w:pPr>
        <w:pStyle w:val="BodyTextIndent3"/>
        <w:rPr/>
      </w:pPr>
      <w:r>
        <w:rPr/>
        <w:t>Third, TURN argues at p.3 that the questions are appropriate because public policy supports “…that the Commission listen to the parties whose interests are affected by a proposed settlement.  At its basis, this is the whole point of having an administrative process that allows for the participation of interested parties.”  If this is the concern, surely it is up to SoCalGas to decide how to express its position to the Commission, and to bear the consequences if its positions are not clear enough to achieve what SoCalGas desires.  TURN and SCGC have no right to “help” SoCalGas explain SoCalGas’ position to the Commission.</w:t>
      </w:r>
    </w:p>
    <w:p>
      <w:pPr>
        <w:pStyle w:val="BodyTextIndent3"/>
        <w:rPr/>
      </w:pPr>
      <w:r>
        <w:rPr/>
        <w:t>TURN and SCGC’s arguments about the alleged need to “clarify” SoCalGas’ position also ring hollow in light of their failure to compel “clarification” of the positions of other similarly-situated parties who represent major stakeholder interests other than SoCalGas.  TURN addressed its April 27 data request not only to SoCalGas, but also to SDG&amp;E, CIG/CMA, Coral Energy, Dynegy, and Indicated Producers.  SoCalGas has been informed by counsel for the California Cogeneration Council that it was subsequently the recipient of an identical data request.  These parties, like SoCalGas, also signed both the Interim Settlement and the Comprehensive Settlement.  Parties in this similarly-situated group constitute major customers and customer groups served by SoCalGas.  These parties on May 12, 2000, served objections to all of the questions in TURN’s April 27 data request.  Yet TURN and SCGC have not moved to compel any of those parties to answer, and counsel for TURN has stated to counsel for SoCalGas that he has no intention to file such motions, although he was not willing to waive any right to do so.</w:t>
      </w:r>
    </w:p>
    <w:p>
      <w:pPr>
        <w:pStyle w:val="BodyTextIndent3"/>
        <w:rPr/>
      </w:pPr>
      <w:r>
        <w:rPr/>
        <w:t>TURN did not sign the Interim Settlement, and is a “johnny come lately” adherent to it, only in the context of the Post-Interim Settlement.  SoCalGas and the other signatories to the Interim Settlement have no obligations whatsoever to TURN as a result of signing it.  Neither TURN nor SCGC makes the argument that answers are needed by them in connection with any possible request for the Commission to limit SoCalGas’ participation in the proceeding on grounds of alleged violation of any obligations to other signatories to the Interim Settlement.</w:t>
      </w:r>
    </w:p>
    <w:p>
      <w:pPr>
        <w:pStyle w:val="BodyTextIndent3"/>
        <w:rPr/>
      </w:pPr>
      <w:r>
        <w:rPr/>
        <w:t>The motions to compel are a waste of time and a pointless distraction for SoCalGas, the parties, and the Commission.  SoCalGas has repeatedly stated its position in a consistent fashion since the deadline on April 3, 2000 for withdrawing existing settlements and filing new settlements.  In compliance with the ALJ’s ruling, on April 3, 2000, SoCalGas and SDG&amp;E sent a letter to ALJ Biren and the service list in I.99-07-003 with respect to their positions on settlements that had been filed by January 28, 2000.  The letter stated:</w:t>
      </w:r>
    </w:p>
    <w:p>
      <w:pPr>
        <w:pStyle w:val="BlockText"/>
        <w:numPr>
          <w:ilvl w:val="0"/>
          <w:numId w:val="0"/>
        </w:numPr>
        <w:spacing w:before="120" w:after="0"/>
        <w:ind w:hanging="0" w:start="1440" w:end="1440"/>
        <w:rPr/>
      </w:pPr>
      <w:r>
        <w:rPr/>
        <w:t>SoCalGas and SDG&amp;E remain willing to accept the terms of the Interim Settlement if they are acceptable to the Commission.  However, in the event that the Interim Settlement is not acceptable to the Commission, SoCalGas and SDG&amp;E support a comprehensive settlement of all the promising options identified in D.99-07-015.</w:t>
      </w:r>
    </w:p>
    <w:p>
      <w:pPr>
        <w:pStyle w:val="Normal"/>
        <w:numPr>
          <w:ilvl w:val="0"/>
          <w:numId w:val="0"/>
        </w:numPr>
        <w:ind w:hanging="0" w:start="720" w:end="720"/>
        <w:rPr/>
      </w:pPr>
      <w:r>
        <w:rPr/>
      </w:r>
    </w:p>
    <w:p>
      <w:pPr>
        <w:pStyle w:val="BodyTextIndent3"/>
        <w:rPr/>
      </w:pPr>
      <w:r>
        <w:rPr/>
        <w:t>In addition, the April 17 motion, subscribed to by SoCalGas among many other parties, that submitted the Comprehensive Settlement stated:</w:t>
      </w:r>
    </w:p>
    <w:p>
      <w:pPr>
        <w:pStyle w:val="BlockText"/>
        <w:numPr>
          <w:ilvl w:val="0"/>
          <w:numId w:val="0"/>
        </w:numPr>
        <w:spacing w:before="120" w:after="0"/>
        <w:ind w:hanging="0" w:start="1440" w:end="1440"/>
        <w:rPr/>
      </w:pPr>
      <w:r>
        <w:rPr/>
        <w:t>Some signatories to the Comprehensive Settlement were signatories to the “Interim Settlement” filed December 27, 1999.  These parties remain willing to accept the Interim Settlement if it is acceptable to the Commission.</w:t>
      </w:r>
    </w:p>
    <w:p>
      <w:pPr>
        <w:pStyle w:val="Normal"/>
        <w:numPr>
          <w:ilvl w:val="0"/>
          <w:numId w:val="0"/>
        </w:numPr>
        <w:spacing w:lineRule="auto" w:line="360"/>
        <w:ind w:firstLine="1440" w:start="0" w:end="0"/>
        <w:rPr/>
      </w:pPr>
      <w:r>
        <w:rPr/>
      </w:r>
    </w:p>
    <w:p>
      <w:pPr>
        <w:pStyle w:val="BodyTextIndent3"/>
        <w:rPr/>
      </w:pPr>
      <w:r>
        <w:rPr/>
        <w:t>Finally, the prepared direct testimony of Latimer P. Lorenz on behalf of SoCalGas and SDG&amp;E served on May 5, 2000, states at p.5:</w:t>
      </w:r>
    </w:p>
    <w:p>
      <w:pPr>
        <w:pStyle w:val="BlockText"/>
        <w:numPr>
          <w:ilvl w:val="0"/>
          <w:numId w:val="0"/>
        </w:numPr>
        <w:spacing w:before="120" w:after="0"/>
        <w:ind w:hanging="0" w:start="1440" w:end="1440"/>
        <w:rPr/>
      </w:pPr>
      <w:r>
        <w:rPr/>
        <w:t>The Comprehensive Settlement covers many issues that the Interim Settlement did not address, and on which the Interim Settlement left the Commission with the discretion to implement regulatory changes at any time.  However, the Comprehensive Settlement includes some provisions, especially with respect to the unbundling of SoCalGas’ backbone transmission service on October 1, 2001, that are different from the provisions the Interim Settlement would apply through December 31, 2002.</w:t>
      </w:r>
    </w:p>
    <w:p>
      <w:pPr>
        <w:pStyle w:val="Normal"/>
        <w:numPr>
          <w:ilvl w:val="0"/>
          <w:numId w:val="0"/>
        </w:numPr>
        <w:ind w:hanging="0" w:start="720" w:end="720"/>
        <w:rPr/>
      </w:pPr>
      <w:r>
        <w:rPr/>
      </w:r>
    </w:p>
    <w:p>
      <w:pPr>
        <w:pStyle w:val="BodyText"/>
        <w:numPr>
          <w:ilvl w:val="0"/>
          <w:numId w:val="0"/>
        </w:numPr>
        <w:spacing w:lineRule="auto" w:line="240" w:before="120" w:after="0"/>
        <w:ind w:hanging="0" w:start="1440" w:end="1440"/>
        <w:rPr>
          <w:rFonts w:ascii="Courier New" w:hAnsi="Courier New" w:cs="Courier New"/>
        </w:rPr>
      </w:pPr>
      <w:r>
        <w:rPr>
          <w:rFonts w:cs="Courier New" w:ascii="Courier New" w:hAnsi="Courier New"/>
        </w:rPr>
        <w:t>On the issues that both the Interim Settlement and the Comprehensive Settlement address, SoCalGas and SDG&amp;E remain willing to accept the terms of the Interim Settlement if they are acceptable to the Commission.  However, to the extent the Interim Settlement is not acceptable to the Commission, SoCalGas and SDG&amp;E support the provisions of the Comprehensive Settlement.</w:t>
      </w:r>
    </w:p>
    <w:p>
      <w:pPr>
        <w:pStyle w:val="Normal"/>
        <w:numPr>
          <w:ilvl w:val="0"/>
          <w:numId w:val="0"/>
        </w:numPr>
        <w:spacing w:lineRule="auto" w:line="360"/>
        <w:ind w:firstLine="1440" w:start="0" w:end="0"/>
        <w:rPr>
          <w:rFonts w:ascii="Courier New" w:hAnsi="Courier New" w:cs="Courier New"/>
        </w:rPr>
      </w:pPr>
      <w:r>
        <w:rPr>
          <w:rFonts w:cs="Courier New"/>
        </w:rPr>
      </w:r>
    </w:p>
    <w:p>
      <w:pPr>
        <w:pStyle w:val="BodyTextIndent3"/>
        <w:rPr/>
      </w:pPr>
      <w:r>
        <w:rPr/>
        <w:t>There are further grounds for objection to many of the questions, as described below.</w:t>
      </w:r>
    </w:p>
    <w:p>
      <w:pPr>
        <w:pStyle w:val="Normal"/>
        <w:spacing w:before="240" w:after="240"/>
        <w:ind w:hanging="720" w:start="2160" w:end="0"/>
        <w:rPr>
          <w:b/>
        </w:rPr>
      </w:pPr>
      <w:r>
        <w:rPr>
          <w:b/>
        </w:rPr>
        <w:t>2.</w:t>
        <w:tab/>
        <w:t>Mootness and Undue Burden</w:t>
      </w:r>
    </w:p>
    <w:p>
      <w:pPr>
        <w:pStyle w:val="BodyTextIndent3"/>
        <w:rPr/>
      </w:pPr>
      <w:r>
        <w:rPr/>
        <w:t>Most of the questions seek, at least in part, information about what SoCalGas has already said or done on the record in this proceeding, and are therefore moot and unduly burdensome.  Included, at least in part, in this category are questions 4, 5, 8, 9, 13, 13.1, 15, 16, and 18.1.  For example, Question 9, which asks whether SoCalGas in any filing or pleading before the Commission has attempted to withdraw its support for the motion submitting the Interim Settlement, is moot and unduly burdensome in light of SoCalGas’ and SDG&amp;E’s April 3 letter quoted above.  Question 18.1, which asks about testimony that SoCalGas intends to file in this proceeding, is likewise moot and unduly burdensome in that SoCalGas has already served its direct and rebuttal testimony, which speaks for itself.  Such questions were improper prior to the service of SoCalGas’ prepared testimony; the deadlines set for the ALJ for the service of prepared testimony prior to hearings would be meaningless if parties were required to disclose in advance of such a date the intended contents of their testimony.  A motion to compel filed after the testimony is served, as in this case, is truly a waste of the Commission’s time.</w:t>
      </w:r>
    </w:p>
    <w:p>
      <w:pPr>
        <w:pStyle w:val="BodyTextIndent2"/>
        <w:spacing w:before="240" w:after="240"/>
        <w:rPr/>
      </w:pPr>
      <w:r>
        <w:rPr/>
        <w:t>3.</w:t>
        <w:tab/>
        <w:t>Attorney Work Product Privilege for Intended Future Legal Strategy</w:t>
      </w:r>
    </w:p>
    <w:p>
      <w:pPr>
        <w:pStyle w:val="Normal"/>
        <w:numPr>
          <w:ilvl w:val="0"/>
          <w:numId w:val="0"/>
        </w:numPr>
        <w:spacing w:lineRule="auto" w:line="360" w:before="0" w:after="120"/>
        <w:ind w:firstLine="1440" w:start="0" w:end="0"/>
        <w:rPr/>
      </w:pPr>
      <w:r>
        <w:rPr/>
        <w:t xml:space="preserve">Questions that ask, at least in part, about SoCalGas’ intended future actions in this proceeding or related judicial or legislative forums are objectionable on grounds of the attorney work product privilege.  These questions include 12, 12.1, 12.2, 13, 13.1, 15, 16, and 17 (question 18.1 would be objectionable on this grounds to the extent there is any further opportunity to serve testimony in this proceeding).  The principle that an opposing party’s intended litigation strategy is attorney work product was clearly articulated in </w:t>
      </w:r>
      <w:r>
        <w:rPr>
          <w:u w:val="single"/>
        </w:rPr>
        <w:t>City of Long Beach v. Superior Court</w:t>
      </w:r>
      <w:r>
        <w:rPr/>
        <w:t xml:space="preserve"> (1976) 64 Cal.App.3d 65.  There is nothing about the logic of the holding in this case that limits it to discovery of non-expert witness testimony.</w:t>
      </w:r>
    </w:p>
    <w:p>
      <w:pPr>
        <w:pStyle w:val="BodyTextIndent3"/>
        <w:rPr/>
      </w:pPr>
      <w:r>
        <w:rPr/>
        <w:t>It is true that under Section 2034 of the Code of Civil Procedure, after the setting of the trial date in a civil court proceeding, an exchange of the identity and a brief narrative summary of the intended expert testimony can be demanded.  SoCalGas submits that the pre-filing of prepared testimony by expert witnesses serves the same function before this Commission.  It is inappropriate for parties at the PUC to demand the disclosure of the intended contents of prepared testimony prior to the date the ALJ has set for its service.  This is particularly true in a case such as this one in which the ALJ has provided for prepared rebuttal testimony to be served prior to hearings.  In any case, the limited exception in civil court cases for expert testimony does not imply any kind of repeal of the attorney work product privilege for intentions not related to expert testimony, such as seeking rehearing, judicial review, or legislative action.</w:t>
      </w:r>
    </w:p>
    <w:p>
      <w:pPr>
        <w:pStyle w:val="BodyTextIndent2"/>
        <w:spacing w:before="240" w:after="240"/>
        <w:rPr/>
      </w:pPr>
      <w:r>
        <w:rPr/>
        <w:t>4.</w:t>
        <w:tab/>
        <w:t>Questions Calling for Legal Reasoning or Theories in Violation of the Attorney Work Product Privilege</w:t>
      </w:r>
    </w:p>
    <w:p>
      <w:pPr>
        <w:pStyle w:val="Normal"/>
        <w:spacing w:lineRule="auto" w:line="360" w:before="0" w:after="120"/>
        <w:ind w:firstLine="1440" w:end="0"/>
        <w:rPr/>
      </w:pPr>
      <w:r>
        <w:rPr/>
        <w:t xml:space="preserve">SoCalGas should not be compelled to answer Questions 5, 14, 14.1 through 14.5, 17, 18, 19, 20, 20.1 and 20.2 because they ask for legal reasoning or theories absolutely privileged as attorney work product.  As the Court stated in </w:t>
      </w:r>
      <w:r>
        <w:rPr>
          <w:u w:val="single"/>
        </w:rPr>
        <w:t>Sav-On Drugs, Inc. v. Superior Court</w:t>
      </w:r>
      <w:r>
        <w:rPr/>
        <w:t xml:space="preserve"> (1975) 15 Cal3d 1 at 5:  “A party’s contention may be the subject of discovery, but not the legal reasoning or theory behind the contention.”  The questions at issue cross the line from asking for SoCalGas’ contentions to seeking the legal reasoning or theory behind them.</w:t>
      </w:r>
    </w:p>
    <w:p>
      <w:pPr>
        <w:pStyle w:val="Normal"/>
        <w:spacing w:lineRule="auto" w:line="360" w:before="0" w:after="120"/>
        <w:ind w:firstLine="1440" w:end="0"/>
        <w:rPr/>
      </w:pPr>
      <w:r>
        <w:rPr/>
        <w:t xml:space="preserve">Neither of the two cases cited by SCGC at p.5 stands for the alleged proposition that asking for the meaning of settlement terms is clearly discoverable when sought by written interrogatory.  </w:t>
      </w:r>
      <w:r>
        <w:rPr>
          <w:u w:val="single"/>
        </w:rPr>
        <w:t>Rifkind v. Superior Court</w:t>
      </w:r>
      <w:r>
        <w:rPr/>
        <w:t>, 22 Cal.App.4</w:t>
      </w:r>
      <w:r>
        <w:rPr>
          <w:vertAlign w:val="superscript"/>
        </w:rPr>
        <w:t>th</w:t>
      </w:r>
      <w:r>
        <w:rPr/>
        <w:t xml:space="preserve"> 1255 (1994) held that questions about legal contentions that would be permissible in an interrogatory are impermissible </w:t>
      </w:r>
      <w:r>
        <w:rPr>
          <w:u w:val="single"/>
        </w:rPr>
        <w:t>in a deposition</w:t>
      </w:r>
      <w:r>
        <w:rPr/>
        <w:t xml:space="preserve">.  The case had nothing at all to do with interpretation of a settlement agreement in a deposition or an interrogatory.  </w:t>
      </w:r>
      <w:r>
        <w:rPr>
          <w:u w:val="single"/>
        </w:rPr>
        <w:t>Singer v. Superior Court</w:t>
      </w:r>
      <w:r>
        <w:rPr/>
        <w:t xml:space="preserve">, 54 Cal.2d 318 (1960) involved questions about personal injury claims in a complaint, not the language of a settlement agreement.  Indeed, the Court in </w:t>
      </w:r>
      <w:r>
        <w:rPr>
          <w:u w:val="single"/>
        </w:rPr>
        <w:t>Singer</w:t>
      </w:r>
      <w:r>
        <w:rPr/>
        <w:t xml:space="preserve"> stated:  “If the interrogatories did call for opinions rather than facts, they might well be subject to criticism [citation omitted].  But they do not.  A mere reading of them demonstrates that they do not call for opinions, but for facts only.” (54 Cal.2d at 326-327)</w:t>
      </w:r>
    </w:p>
    <w:p>
      <w:pPr>
        <w:pStyle w:val="Normal"/>
        <w:spacing w:lineRule="auto" w:line="360" w:before="0" w:after="120"/>
        <w:ind w:firstLine="1440" w:end="0"/>
        <w:rPr/>
      </w:pPr>
      <w:r>
        <w:rPr/>
        <w:t xml:space="preserve">Moreover, all of the above-listed questions other than Question 5 ask for interpretations of the obligations of SoCalGas under the </w:t>
      </w:r>
      <w:r>
        <w:rPr>
          <w:i/>
        </w:rPr>
        <w:t>Comprehensive Settlement</w:t>
      </w:r>
      <w:r>
        <w:rPr/>
        <w:t xml:space="preserve">.  Although an interrogatory may relate to whether another party is making a certain contention, or to the facts, witnesses or writings on which a contention is based, there is no basis in law to compel discovery of information regarding issues </w:t>
      </w:r>
      <w:r>
        <w:rPr>
          <w:u w:val="single"/>
        </w:rPr>
        <w:t>not</w:t>
      </w:r>
      <w:r>
        <w:rPr/>
        <w:t xml:space="preserve"> in contention.  SoCalGas has not and is not making any contentions in this proceeding regarding whether the Comprehensive Settlement requires it or any other signatory to it to do or not do anything in this proceeding.  TURN and SCGC are not signatories to the Comprehensive Settlement and certainly have no standing to seek to remedy any alleged breach of it.</w:t>
      </w:r>
    </w:p>
    <w:p>
      <w:pPr>
        <w:pStyle w:val="BodyTextIndent3"/>
        <w:numPr>
          <w:ilvl w:val="0"/>
          <w:numId w:val="0"/>
        </w:numPr>
        <w:spacing w:before="120" w:after="240"/>
        <w:ind w:firstLine="1440" w:start="0" w:end="0"/>
        <w:rPr/>
      </w:pPr>
      <w:r>
        <w:rPr/>
        <w:t>For the reasons stated above, the Commission should deny the motions to compel filed by TURN and SCGC.</w:t>
      </w:r>
    </w:p>
    <w:p>
      <w:pPr>
        <w:pStyle w:val="Normal"/>
        <w:ind w:firstLine="1440" w:end="0"/>
        <w:rPr/>
      </w:pPr>
      <w:r>
        <w:rPr/>
        <w:tab/>
        <w:tab/>
        <w:tab/>
        <w:t>Respectfully submitted,</w:t>
      </w:r>
    </w:p>
    <w:p>
      <w:pPr>
        <w:pStyle w:val="Normal"/>
        <w:ind w:firstLine="1440" w:end="0"/>
        <w:rPr/>
      </w:pPr>
      <w:r>
        <w:rPr/>
      </w:r>
    </w:p>
    <w:p>
      <w:pPr>
        <w:pStyle w:val="Normal"/>
        <w:ind w:firstLine="1440" w:end="0"/>
        <w:rPr/>
      </w:pPr>
      <w:r>
        <w:rPr/>
        <w:tab/>
        <w:tab/>
        <w:tab/>
        <w:t>SOUTHERN CALIFORNIA GAS COMPANY</w:t>
      </w:r>
    </w:p>
    <w:p>
      <w:pPr>
        <w:pStyle w:val="Normal"/>
        <w:rPr/>
      </w:pPr>
      <w:r>
        <w:rPr/>
      </w:r>
    </w:p>
    <w:p>
      <w:pPr>
        <w:pStyle w:val="Normal"/>
        <w:rPr/>
      </w:pPr>
      <w:r>
        <w:rPr/>
      </w:r>
    </w:p>
    <w:p>
      <w:pPr>
        <w:pStyle w:val="Normal"/>
        <w:rPr/>
      </w:pPr>
      <w:r>
        <w:rPr/>
        <w:t>May 22, 2000             By:______________________</w:t>
      </w:r>
    </w:p>
    <w:p>
      <w:pPr>
        <w:pStyle w:val="Normal"/>
        <w:rPr/>
      </w:pPr>
      <w:r>
        <w:rPr/>
        <w:tab/>
        <w:tab/>
        <w:tab/>
        <w:tab/>
        <w:tab/>
        <w:t xml:space="preserve">    Glen J. Sullivan</w:t>
      </w:r>
    </w:p>
    <w:p>
      <w:pPr>
        <w:pStyle w:val="Normal"/>
        <w:rPr/>
      </w:pPr>
      <w:r>
        <w:rPr/>
        <w:tab/>
        <w:tab/>
        <w:tab/>
        <w:tab/>
        <w:tab/>
      </w:r>
    </w:p>
    <w:p>
      <w:pPr>
        <w:pStyle w:val="Normal"/>
        <w:rPr/>
      </w:pPr>
      <w:r>
        <w:rPr/>
        <w:tab/>
        <w:tab/>
        <w:tab/>
        <w:tab/>
        <w:tab/>
        <w:t>Sempra Energy Law Department</w:t>
      </w:r>
    </w:p>
    <w:p>
      <w:pPr>
        <w:pStyle w:val="Normal"/>
        <w:rPr/>
      </w:pPr>
      <w:r>
        <w:rPr/>
        <w:tab/>
        <w:tab/>
        <w:tab/>
        <w:tab/>
        <w:tab/>
        <w:t>101 Ash Street</w:t>
      </w:r>
    </w:p>
    <w:p>
      <w:pPr>
        <w:pStyle w:val="Normal"/>
        <w:rPr/>
      </w:pPr>
      <w:r>
        <w:rPr/>
        <w:tab/>
        <w:tab/>
        <w:tab/>
        <w:tab/>
        <w:tab/>
        <w:t>San Diego, California  92101</w:t>
      </w:r>
    </w:p>
    <w:p>
      <w:pPr>
        <w:pStyle w:val="Normal"/>
        <w:rPr/>
      </w:pPr>
      <w:r>
        <w:rPr/>
        <w:tab/>
        <w:tab/>
        <w:tab/>
        <w:tab/>
        <w:tab/>
        <w:t>Tel:  (619) 699-5162</w:t>
      </w:r>
    </w:p>
    <w:p>
      <w:pPr>
        <w:pStyle w:val="Normal"/>
        <w:rPr/>
      </w:pPr>
      <w:r>
        <w:rPr/>
        <w:tab/>
        <w:tab/>
        <w:tab/>
        <w:tab/>
        <w:tab/>
        <w:t>Fax:  (619) 699-5027</w:t>
      </w:r>
    </w:p>
    <w:p>
      <w:pPr>
        <w:pStyle w:val="Normal"/>
        <w:rPr/>
      </w:pPr>
      <w:r>
        <w:rPr/>
        <w:tab/>
        <w:tab/>
        <w:tab/>
        <w:tab/>
        <w:tab/>
        <w:t xml:space="preserve">E-mail:  </w:t>
      </w:r>
      <w:r>
        <w:rPr>
          <w:rStyle w:val="Hyperlink"/>
        </w:rPr>
        <w:t>gsullivan@sempra.com</w:t>
      </w:r>
    </w:p>
    <w:p>
      <w:pPr>
        <w:pStyle w:val="Normal"/>
        <w:rPr/>
      </w:pPr>
      <w:r>
        <w:rPr/>
        <w:tab/>
        <w:tab/>
        <w:tab/>
        <w:tab/>
        <w:tab/>
      </w:r>
    </w:p>
    <w:p>
      <w:pPr>
        <w:pStyle w:val="Normal"/>
        <w:rPr/>
      </w:pPr>
      <w:r>
        <w:rPr/>
        <w:tab/>
        <w:tab/>
        <w:tab/>
        <w:tab/>
        <w:tab/>
        <w:t>Attorney for</w:t>
      </w:r>
    </w:p>
    <w:p>
      <w:pPr>
        <w:pStyle w:val="Normal"/>
        <w:rPr/>
      </w:pPr>
      <w:r>
        <w:rPr/>
        <w:tab/>
        <w:tab/>
        <w:tab/>
        <w:tab/>
        <w:tab/>
        <w:t>Southern California Gas Company</w:t>
      </w:r>
    </w:p>
    <w:p>
      <w:pPr>
        <w:pStyle w:val="Normal"/>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/mnt/main-storage/datasets/enron-docs/doc/GIRresponse.doc</w:t>
      </w:r>
      <w:r>
        <w:rPr>
          <w:sz w:val="16"/>
          <w:lang w:eastAsia="en-US"/>
        </w:rPr>
        <w:fldChar w:fldCharType="end"/>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Book Antiqua">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8351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rPr/>
      </w:pPr>
      <w:r>
        <w:rPr>
          <w:rStyle w:val="FootnoteCharacters"/>
        </w:rPr>
        <w:footnoteRef/>
      </w:r>
      <w:r>
        <w:rPr>
          <w:vertAlign w:val="superscript"/>
        </w:rPr>
        <w:t>/</w:t>
        <w:tab/>
      </w:r>
      <w:r>
        <w:rPr/>
        <w:t>On May 8, 2000, SCGC sent a data request to SoCalGas that, among other things, asked a question requesting that SoCalGas provide SCGC with answers to all questions asked in TURN’s data request dated April 27, 2000.</w:t>
      </w:r>
    </w:p>
  </w:footnote>
</w:footnotes>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47"/>
    </w:pPr>
    <w:rPr>
      <w:rFonts w:ascii="Book Antiqua;Times New Roman" w:hAnsi="Book Antiqua;Times New Roman" w:cs="Book Antiqua;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BodyText2">
    <w:name w:val="Body Text 2"/>
    <w:basedOn w:val="Normal"/>
    <w:qFormat/>
    <w:pPr>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ind w:hanging="0" w:start="0" w:end="720"/>
    </w:pPr>
    <w:rPr/>
  </w:style>
  <w:style w:type="paragraph" w:styleId="BlockText">
    <w:name w:val="Block Text"/>
    <w:basedOn w:val="Normal"/>
    <w:qFormat/>
    <w:pPr>
      <w:ind w:hanging="0" w:start="720" w:end="720"/>
    </w:pPr>
    <w:rPr/>
  </w:style>
  <w:style w:type="paragraph" w:styleId="BodyTextIndent">
    <w:name w:val="Body Text Indent"/>
    <w:basedOn w:val="Normal"/>
    <w:pPr>
      <w:ind w:firstLine="720" w:start="720" w:end="0"/>
    </w:pPr>
    <w:rPr>
      <w:b/>
    </w:rPr>
  </w:style>
  <w:style w:type="paragraph" w:styleId="BodyTextIndent2">
    <w:name w:val="Body Text Indent 2"/>
    <w:basedOn w:val="Normal"/>
    <w:qFormat/>
    <w:pPr>
      <w:ind w:hanging="720" w:start="2160" w:end="0"/>
    </w:pPr>
    <w:rPr>
      <w:b/>
    </w:rPr>
  </w:style>
  <w:style w:type="paragraph" w:styleId="BodyTextIndent3">
    <w:name w:val="Body Text Indent 3"/>
    <w:basedOn w:val="Normal"/>
    <w:qFormat/>
    <w:pPr>
      <w:numPr>
        <w:ilvl w:val="0"/>
        <w:numId w:val="0"/>
      </w:numPr>
      <w:spacing w:lineRule="auto" w:line="360" w:before="0" w:after="120"/>
      <w:ind w:firstLine="144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2000-05-22T16:59:00Z</dcterms:created>
  <dc:creator>Sempra Energy</dc:creator>
  <dc:description/>
  <dc:language>en-CA</dc:language>
  <cp:lastModifiedBy>Rose Ruiz</cp:lastModifiedBy>
  <cp:lastPrinted>2000-05-22T13:49:00Z</cp:lastPrinted>
  <dcterms:modified xsi:type="dcterms:W3CDTF">2000-05-22T18:19:00Z</dcterms:modified>
  <cp:revision>4</cp:revision>
  <dc:subject/>
  <dc:title>BEFORE THE</dc:title>
</cp:coreProperties>
</file>