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b w:val="false"/>
          <w:sz w:val="36"/>
        </w:rPr>
      </w:pPr>
      <w:r>
        <w:rPr>
          <w:b w:val="false"/>
          <w:sz w:val="36"/>
        </w:rPr>
        <w:t>GIR Capacity Issues Settlement</w:t>
      </w:r>
    </w:p>
    <w:p>
      <w:pPr>
        <w:pStyle w:val="BodyText"/>
        <w:rPr>
          <w:b w:val="false"/>
          <w:sz w:val="36"/>
        </w:rPr>
      </w:pPr>
      <w:r>
        <w:rPr>
          <w:b w:val="false"/>
          <w:sz w:val="36"/>
        </w:rPr>
        <w:t>Term Sheet</w:t>
      </w:r>
    </w:p>
    <w:p>
      <w:pPr>
        <w:pStyle w:val="Normal"/>
        <w:jc w:val="center"/>
        <w:rPr>
          <w:rFonts w:ascii="Arial" w:hAnsi="Arial" w:cs="Arial"/>
          <w:b/>
          <w:sz w:val="24"/>
          <w:u w:val="single"/>
        </w:rPr>
      </w:pPr>
      <w:r>
        <w:rPr>
          <w:rFonts w:cs="Arial" w:ascii="Arial" w:hAnsi="Arial"/>
          <w:b/>
          <w:sz w:val="24"/>
          <w:u w:val="single"/>
        </w:rPr>
      </w:r>
    </w:p>
    <w:p>
      <w:pPr>
        <w:pStyle w:val="Heading7"/>
        <w:ind w:hanging="0" w:start="0"/>
        <w:rPr/>
      </w:pPr>
      <w:r>
        <w:rPr/>
        <w:t>March 30, 2000</w:t>
      </w:r>
    </w:p>
    <w:p>
      <w:pPr>
        <w:pStyle w:val="Normal"/>
        <w:rPr>
          <w:rFonts w:ascii="Arial" w:hAnsi="Arial" w:cs="Arial"/>
          <w:sz w:val="24"/>
          <w:u w:val="single"/>
        </w:rPr>
      </w:pPr>
      <w:r>
        <w:rPr>
          <w:rFonts w:cs="Arial" w:ascii="Arial" w:hAnsi="Arial"/>
          <w:sz w:val="24"/>
          <w:u w:val="single"/>
        </w:rPr>
      </w:r>
    </w:p>
    <w:p>
      <w:pPr>
        <w:pStyle w:val="Heading9"/>
        <w:ind w:hanging="0" w:start="0"/>
        <w:rPr/>
      </w:pPr>
      <w:r>
        <w:rPr/>
        <w:t>General Principles</w:t>
      </w:r>
    </w:p>
    <w:p>
      <w:pPr>
        <w:pStyle w:val="Normal"/>
        <w:numPr>
          <w:ilvl w:val="0"/>
          <w:numId w:val="10"/>
        </w:numPr>
        <w:tabs>
          <w:tab w:val="clear" w:pos="720"/>
          <w:tab w:val="left" w:pos="360" w:leader="none"/>
        </w:tabs>
        <w:rPr>
          <w:rFonts w:ascii="Arial" w:hAnsi="Arial" w:cs="Arial"/>
          <w:sz w:val="24"/>
        </w:rPr>
      </w:pPr>
      <w:r>
        <w:rPr>
          <w:rFonts w:cs="Arial" w:ascii="Arial" w:hAnsi="Arial"/>
          <w:sz w:val="24"/>
        </w:rPr>
        <w:t>Parties agree that the Settlement results in no significant cost shift between customer classes, excluding the agreed upon impact of core interstate capacity unbundling.</w:t>
      </w:r>
    </w:p>
    <w:p>
      <w:pPr>
        <w:pStyle w:val="Normal"/>
        <w:numPr>
          <w:ilvl w:val="0"/>
          <w:numId w:val="10"/>
        </w:numPr>
        <w:tabs>
          <w:tab w:val="clear" w:pos="720"/>
          <w:tab w:val="left" w:pos="360" w:leader="none"/>
        </w:tabs>
        <w:rPr>
          <w:rFonts w:ascii="Arial" w:hAnsi="Arial" w:cs="Arial"/>
          <w:sz w:val="24"/>
        </w:rPr>
      </w:pPr>
      <w:r>
        <w:rPr>
          <w:rFonts w:cs="Arial" w:ascii="Arial" w:hAnsi="Arial"/>
          <w:sz w:val="24"/>
        </w:rPr>
        <w:t xml:space="preserve">Implementation of this Settlement will require reasonable cost recovery.  SoCalGas shall be permitted to recover  $2.0 million per year in incremental revenue requirement from all customers on an equal cents per therm basis for capacity related implementation costs associated with this Settlement until the effective date of SoCalGas’ next PBR proceeding.  SoCalGas and SDG&amp;E are entitled to seek recovery, and parties agree not to oppose, prudently incurred implementation costs associated with this Settlement in their next PBR proceedings.  In addition to the incremental revenue requirement, any pooling service fees, imbalance fees or revenues from the sale/purchase of imbalance gas under balancing rules shall be credited against implementation costs until the next SoCalGas PBR proceeding.  Should total fees, plus the incremental annual revenue of $2.0 million, exceed annual implementation costs, the difference will be refunded to all customers on an equal cents per therm basis. </w:t>
      </w:r>
    </w:p>
    <w:p>
      <w:pPr>
        <w:pStyle w:val="Normal"/>
        <w:numPr>
          <w:ilvl w:val="0"/>
          <w:numId w:val="10"/>
        </w:numPr>
        <w:tabs>
          <w:tab w:val="clear" w:pos="720"/>
          <w:tab w:val="left" w:pos="360" w:leader="none"/>
        </w:tabs>
        <w:rPr>
          <w:rFonts w:ascii="Arial" w:hAnsi="Arial" w:cs="Arial"/>
          <w:sz w:val="24"/>
        </w:rPr>
      </w:pPr>
      <w:r>
        <w:rPr>
          <w:rFonts w:cs="Arial" w:ascii="Arial" w:hAnsi="Arial"/>
          <w:sz w:val="24"/>
        </w:rPr>
        <w:t>No less than 10 months prior to the expiration of its longest term interstate capacity contract SoCalGas shall file an application with the Commission proposing new transmission rates for all customer classes, and shall enter into negotiations with all parties regarding ratemaking for the post-interstate contract period.</w:t>
      </w:r>
    </w:p>
    <w:p>
      <w:pPr>
        <w:pStyle w:val="Normal"/>
        <w:numPr>
          <w:ilvl w:val="0"/>
          <w:numId w:val="10"/>
        </w:numPr>
        <w:tabs>
          <w:tab w:val="clear" w:pos="720"/>
          <w:tab w:val="left" w:pos="360" w:leader="none"/>
        </w:tabs>
        <w:rPr>
          <w:rFonts w:ascii="Arial" w:hAnsi="Arial" w:cs="Arial"/>
          <w:sz w:val="24"/>
        </w:rPr>
      </w:pPr>
      <w:r>
        <w:rPr>
          <w:rFonts w:cs="Arial" w:ascii="Arial" w:hAnsi="Arial"/>
          <w:sz w:val="24"/>
        </w:rPr>
        <w:t>SoCalGas’ existing PBR will be modified as necessary to accommodate the Settlement.</w:t>
      </w:r>
    </w:p>
    <w:p>
      <w:pPr>
        <w:pStyle w:val="WW-BodyText2"/>
        <w:numPr>
          <w:ilvl w:val="0"/>
          <w:numId w:val="10"/>
        </w:numPr>
        <w:tabs>
          <w:tab w:val="clear" w:pos="720"/>
          <w:tab w:val="left" w:pos="360" w:leader="none"/>
        </w:tabs>
        <w:rPr/>
      </w:pPr>
      <w:r>
        <w:rPr/>
        <w:t>SoCalGas shall not alter, modify, terminate or abrogate any existing commission-approved contract solely as a result of this Settlement without the prior written consent of the parties to the contract.  The Settlement shall not, however, alter the existing rights of the parties to such contracts.</w:t>
      </w:r>
    </w:p>
    <w:p>
      <w:pPr>
        <w:pStyle w:val="WW-BodyText2"/>
        <w:numPr>
          <w:ilvl w:val="0"/>
          <w:numId w:val="10"/>
        </w:numPr>
        <w:tabs>
          <w:tab w:val="clear" w:pos="720"/>
          <w:tab w:val="left" w:pos="360" w:leader="none"/>
        </w:tabs>
        <w:rPr/>
      </w:pPr>
      <w:r>
        <w:rPr/>
        <w:t xml:space="preserve">Parties support inclusion of following portions of the Interim Settlement: Replacement of the Current “Windowing” Process (until October 2001) and Establishment of Receipt Point Capacities; Hector Road as a Formal Receipt Point; Operational Flow Orders; establishment of Gas Supply Pools on the SoCalGas System; Imbalance Trading; and, Storage Contract Assignment. </w:t>
      </w:r>
    </w:p>
    <w:p>
      <w:pPr>
        <w:pStyle w:val="WW-BodyText2"/>
        <w:numPr>
          <w:ilvl w:val="0"/>
          <w:numId w:val="10"/>
        </w:numPr>
        <w:tabs>
          <w:tab w:val="clear" w:pos="720"/>
          <w:tab w:val="left" w:pos="360" w:leader="none"/>
        </w:tabs>
        <w:rPr>
          <w:sz w:val="36"/>
        </w:rPr>
      </w:pPr>
      <w:r>
        <w:rPr/>
        <w:t>The term of the Settlement shall be from the date of CPUC approval through September 1, 2006.</w:t>
      </w:r>
      <w:r>
        <w:br w:type="page"/>
      </w:r>
    </w:p>
    <w:p>
      <w:pPr>
        <w:pStyle w:val="WW-BodyText2"/>
        <w:tabs>
          <w:tab w:val="clear" w:pos="720"/>
          <w:tab w:val="left" w:pos="360" w:leader="none"/>
        </w:tabs>
        <w:rPr>
          <w:sz w:val="36"/>
        </w:rPr>
      </w:pPr>
      <w:r>
        <w:rPr>
          <w:sz w:val="36"/>
        </w:rPr>
      </w:r>
    </w:p>
    <w:p>
      <w:pPr>
        <w:pStyle w:val="Heading1"/>
        <w:ind w:hanging="0" w:start="0"/>
        <w:rPr>
          <w:b w:val="false"/>
          <w:sz w:val="36"/>
        </w:rPr>
      </w:pPr>
      <w:r>
        <w:rPr>
          <w:b w:val="false"/>
          <w:sz w:val="36"/>
        </w:rPr>
        <w:t>Balancing</w:t>
      </w:r>
    </w:p>
    <w:p>
      <w:pPr>
        <w:pStyle w:val="Normal"/>
        <w:rPr>
          <w:b/>
          <w:sz w:val="36"/>
        </w:rPr>
      </w:pPr>
      <w:r>
        <w:rPr>
          <w:b/>
          <w:sz w:val="36"/>
        </w:rPr>
      </w:r>
    </w:p>
    <w:p>
      <w:pPr>
        <w:pStyle w:val="Normal"/>
        <w:rPr/>
      </w:pPr>
      <w:r>
        <w:rPr/>
      </w:r>
    </w:p>
    <w:tbl>
      <w:tblPr>
        <w:tblW w:w="13068" w:type="dxa"/>
        <w:jc w:val="start"/>
        <w:tblInd w:w="0" w:type="dxa"/>
        <w:tblLayout w:type="fixed"/>
        <w:tblCellMar>
          <w:top w:w="0" w:type="dxa"/>
          <w:start w:w="108" w:type="dxa"/>
          <w:bottom w:w="0" w:type="dxa"/>
          <w:end w:w="108" w:type="dxa"/>
        </w:tblCellMar>
      </w:tblPr>
      <w:tblGrid>
        <w:gridCol w:w="13068"/>
      </w:tblGrid>
      <w:tr>
        <w:trPr/>
        <w:tc>
          <w:tcPr>
            <w:tcW w:w="13068"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numPr>
                <w:ilvl w:val="0"/>
                <w:numId w:val="4"/>
              </w:numPr>
              <w:rPr>
                <w:rFonts w:ascii="Arial" w:hAnsi="Arial" w:cs="Arial"/>
                <w:sz w:val="24"/>
              </w:rPr>
            </w:pPr>
            <w:r>
              <w:rPr>
                <w:rFonts w:cs="Arial" w:ascii="Arial" w:hAnsi="Arial"/>
                <w:sz w:val="24"/>
              </w:rPr>
              <w:t>Bundled Balancing is Default (Phase 2)</w:t>
              <w:br/>
              <w:t xml:space="preserve">-   Noncore and CAT tolerance is </w:t>
            </w:r>
            <w:r>
              <w:rPr>
                <w:rFonts w:cs="Arial" w:ascii="Arial" w:hAnsi="Arial"/>
                <w:sz w:val="24"/>
                <w:u w:val="single"/>
              </w:rPr>
              <w:t>+</w:t>
            </w:r>
            <w:r>
              <w:rPr>
                <w:rFonts w:cs="Arial" w:ascii="Arial" w:hAnsi="Arial"/>
                <w:sz w:val="24"/>
              </w:rPr>
              <w:t xml:space="preserve"> 10% daily (on OFO’s) and </w:t>
            </w:r>
            <w:r>
              <w:rPr>
                <w:rFonts w:cs="Arial" w:ascii="Arial" w:hAnsi="Arial"/>
                <w:sz w:val="24"/>
                <w:u w:val="single"/>
              </w:rPr>
              <w:t>+</w:t>
            </w:r>
            <w:r>
              <w:rPr>
                <w:rFonts w:cs="Arial" w:ascii="Arial" w:hAnsi="Arial"/>
                <w:sz w:val="24"/>
              </w:rPr>
              <w:t xml:space="preserve"> 10% monthly. </w:t>
            </w:r>
          </w:p>
          <w:p>
            <w:pPr>
              <w:pStyle w:val="Normal"/>
              <w:numPr>
                <w:ilvl w:val="0"/>
                <w:numId w:val="8"/>
              </w:numPr>
              <w:rPr>
                <w:rFonts w:ascii="Arial" w:hAnsi="Arial" w:cs="Arial"/>
                <w:sz w:val="24"/>
              </w:rPr>
            </w:pPr>
            <w:r>
              <w:rPr>
                <w:rFonts w:cs="Arial" w:ascii="Arial" w:hAnsi="Arial"/>
                <w:sz w:val="24"/>
              </w:rPr>
              <w:t xml:space="preserve">Assets for bundled noncore balancing are 5.3 Bcf, 250 MMcfd withdrawal/injection, to be adjusted for self-balancing elections by noncore customers and recourse balancing elections by CAT customers.  </w:t>
            </w:r>
          </w:p>
          <w:p>
            <w:pPr>
              <w:pStyle w:val="Normal"/>
              <w:tabs>
                <w:tab w:val="clear" w:pos="720"/>
                <w:tab w:val="left" w:pos="690" w:leader="none"/>
              </w:tabs>
              <w:ind w:start="330" w:end="0"/>
              <w:rPr>
                <w:rFonts w:ascii="Arial" w:hAnsi="Arial" w:cs="Arial"/>
                <w:sz w:val="24"/>
              </w:rPr>
            </w:pPr>
            <w:r>
              <w:rPr>
                <w:rFonts w:cs="Arial" w:ascii="Arial" w:hAnsi="Arial"/>
                <w:sz w:val="24"/>
              </w:rPr>
              <w:t>-    Trading of monthly imbalances and OFO imbalance rights.</w:t>
            </w:r>
          </w:p>
          <w:p>
            <w:pPr>
              <w:pStyle w:val="Normal"/>
              <w:numPr>
                <w:ilvl w:val="0"/>
                <w:numId w:val="8"/>
              </w:numPr>
              <w:rPr>
                <w:rFonts w:ascii="Arial" w:hAnsi="Arial" w:cs="Arial"/>
                <w:sz w:val="24"/>
              </w:rPr>
            </w:pPr>
            <w:r>
              <w:rPr>
                <w:rFonts w:cs="Arial" w:ascii="Arial" w:hAnsi="Arial"/>
                <w:sz w:val="24"/>
              </w:rPr>
              <w:t xml:space="preserve">Core balanced utilizing bundled core storage assets; noncore and recourse CAT balanced utilizing noncore balancing assets.  Core and noncore OFO and EFO events determined independently. </w:t>
            </w:r>
          </w:p>
          <w:p>
            <w:pPr>
              <w:pStyle w:val="Normal"/>
              <w:numPr>
                <w:ilvl w:val="0"/>
                <w:numId w:val="7"/>
              </w:numPr>
              <w:tabs>
                <w:tab w:val="clear" w:pos="720"/>
                <w:tab w:val="left" w:pos="690" w:leader="none"/>
              </w:tabs>
              <w:rPr>
                <w:rFonts w:ascii="Arial" w:hAnsi="Arial" w:cs="Arial"/>
                <w:sz w:val="24"/>
              </w:rPr>
            </w:pPr>
            <w:r>
              <w:rPr>
                <w:rFonts w:cs="Arial" w:ascii="Arial" w:hAnsi="Arial"/>
                <w:sz w:val="24"/>
              </w:rPr>
              <w:t>Retail core imbalance and CAT imbalance (including those opting for bundled recourse balancing) based on 24/hr forecast as defined in Interim Settlement.</w:t>
            </w:r>
          </w:p>
          <w:p>
            <w:pPr>
              <w:pStyle w:val="Normal"/>
              <w:tabs>
                <w:tab w:val="clear" w:pos="720"/>
                <w:tab w:val="left" w:pos="690" w:leader="none"/>
              </w:tabs>
              <w:ind w:start="330" w:end="0"/>
              <w:rPr>
                <w:rFonts w:ascii="Arial" w:hAnsi="Arial" w:cs="Arial"/>
                <w:sz w:val="24"/>
              </w:rPr>
            </w:pPr>
            <w:r>
              <w:rPr>
                <w:rFonts w:cs="Arial" w:ascii="Arial" w:hAnsi="Arial"/>
                <w:sz w:val="24"/>
              </w:rPr>
              <w:t>-    An OFO forum will be established.</w:t>
            </w:r>
          </w:p>
          <w:p>
            <w:pPr>
              <w:pStyle w:val="Normal"/>
              <w:numPr>
                <w:ilvl w:val="0"/>
                <w:numId w:val="7"/>
              </w:numPr>
              <w:tabs>
                <w:tab w:val="clear" w:pos="720"/>
                <w:tab w:val="left" w:pos="690" w:leader="none"/>
              </w:tabs>
              <w:rPr>
                <w:rFonts w:ascii="Arial" w:hAnsi="Arial" w:cs="Arial"/>
                <w:sz w:val="24"/>
              </w:rPr>
            </w:pPr>
            <w:r>
              <w:rPr>
                <w:rFonts w:cs="Arial" w:ascii="Arial" w:hAnsi="Arial"/>
                <w:sz w:val="24"/>
              </w:rPr>
              <w:t xml:space="preserve">Noncore and recourse CAT monthly imbalances remaining outside the </w:t>
            </w:r>
            <w:r>
              <w:rPr>
                <w:rFonts w:cs="Arial" w:ascii="Arial" w:hAnsi="Arial"/>
                <w:sz w:val="24"/>
                <w:u w:val="single"/>
              </w:rPr>
              <w:t>+</w:t>
            </w:r>
            <w:r>
              <w:rPr>
                <w:rFonts w:cs="Arial" w:ascii="Arial" w:hAnsi="Arial"/>
                <w:sz w:val="24"/>
              </w:rPr>
              <w:t>10% monthly tolerance band after trading are cashed out at 50/150% of monthly spot index.</w:t>
            </w:r>
          </w:p>
          <w:p>
            <w:pPr>
              <w:pStyle w:val="Normal"/>
              <w:numPr>
                <w:ilvl w:val="0"/>
                <w:numId w:val="7"/>
              </w:numPr>
              <w:tabs>
                <w:tab w:val="clear" w:pos="720"/>
                <w:tab w:val="left" w:pos="690" w:leader="none"/>
              </w:tabs>
              <w:rPr>
                <w:rFonts w:ascii="Arial" w:hAnsi="Arial" w:cs="Arial"/>
                <w:sz w:val="24"/>
              </w:rPr>
            </w:pPr>
            <w:r>
              <w:rPr>
                <w:rFonts w:cs="Arial" w:ascii="Arial" w:hAnsi="Arial"/>
                <w:sz w:val="24"/>
              </w:rPr>
              <w:t xml:space="preserve">Core and noncore OFO’s create daily  “imbalance chips” for trading; OFO imbalances remaining outside the </w:t>
            </w:r>
            <w:r>
              <w:rPr>
                <w:rFonts w:cs="Arial" w:ascii="Arial" w:hAnsi="Arial"/>
                <w:sz w:val="24"/>
                <w:u w:val="single"/>
              </w:rPr>
              <w:t>+</w:t>
            </w:r>
            <w:r>
              <w:rPr>
                <w:rFonts w:cs="Arial" w:ascii="Arial" w:hAnsi="Arial"/>
                <w:sz w:val="24"/>
              </w:rPr>
              <w:t>10% daily tolerance band after trading incur a $1/dth penalty but are not cashed out  (carry into monthly imbalance).</w:t>
            </w:r>
          </w:p>
          <w:p>
            <w:pPr>
              <w:pStyle w:val="Normal"/>
              <w:rPr>
                <w:rFonts w:ascii="Arial" w:hAnsi="Arial" w:cs="Arial"/>
                <w:sz w:val="24"/>
              </w:rPr>
            </w:pPr>
            <w:r>
              <w:rPr>
                <w:rFonts w:cs="Arial" w:ascii="Arial" w:hAnsi="Arial"/>
                <w:sz w:val="24"/>
              </w:rPr>
            </w:r>
          </w:p>
          <w:p>
            <w:pPr>
              <w:pStyle w:val="Normal"/>
              <w:numPr>
                <w:ilvl w:val="0"/>
                <w:numId w:val="11"/>
              </w:numPr>
              <w:tabs>
                <w:tab w:val="clear" w:pos="720"/>
                <w:tab w:val="left" w:pos="360" w:leader="none"/>
              </w:tabs>
              <w:rPr>
                <w:rFonts w:ascii="Arial" w:hAnsi="Arial" w:cs="Arial"/>
                <w:sz w:val="24"/>
              </w:rPr>
            </w:pPr>
            <w:r>
              <w:rPr>
                <w:rFonts w:cs="Arial" w:ascii="Arial" w:hAnsi="Arial"/>
                <w:sz w:val="24"/>
              </w:rPr>
              <w:t>Self-Balancing Option</w:t>
              <w:br/>
              <w:t>-     Available to noncore, wholesale and CAT effective April 2001.</w:t>
            </w:r>
          </w:p>
          <w:p>
            <w:pPr>
              <w:pStyle w:val="Normal"/>
              <w:numPr>
                <w:ilvl w:val="0"/>
                <w:numId w:val="7"/>
              </w:numPr>
              <w:rPr>
                <w:rFonts w:ascii="Arial" w:hAnsi="Arial" w:cs="Arial"/>
                <w:sz w:val="24"/>
              </w:rPr>
            </w:pPr>
            <w:r>
              <w:rPr>
                <w:rFonts w:cs="Arial" w:ascii="Arial" w:hAnsi="Arial"/>
                <w:sz w:val="24"/>
              </w:rPr>
              <w:t xml:space="preserve">Tolerance is </w:t>
            </w:r>
            <w:r>
              <w:rPr>
                <w:rFonts w:cs="Arial" w:ascii="Arial" w:hAnsi="Arial"/>
                <w:sz w:val="24"/>
                <w:u w:val="single"/>
              </w:rPr>
              <w:t>+</w:t>
            </w:r>
            <w:r>
              <w:rPr>
                <w:rFonts w:cs="Arial" w:ascii="Arial" w:hAnsi="Arial"/>
                <w:sz w:val="24"/>
              </w:rPr>
              <w:t xml:space="preserve"> 5% daily and </w:t>
            </w:r>
            <w:r>
              <w:rPr>
                <w:rFonts w:cs="Arial" w:ascii="Arial" w:hAnsi="Arial"/>
                <w:sz w:val="24"/>
                <w:u w:val="single"/>
              </w:rPr>
              <w:t>+</w:t>
            </w:r>
            <w:r>
              <w:rPr>
                <w:rFonts w:cs="Arial" w:ascii="Arial" w:hAnsi="Arial"/>
                <w:sz w:val="24"/>
              </w:rPr>
              <w:t xml:space="preserve"> 1% cumulative monthly (per same month, prior year usage)</w:t>
            </w:r>
            <w:r>
              <w:rPr>
                <w:rFonts w:cs="Arial" w:ascii="Arial" w:hAnsi="Arial"/>
                <w:b/>
                <w:sz w:val="24"/>
              </w:rPr>
              <w:t>;</w:t>
            </w:r>
            <w:r>
              <w:rPr>
                <w:rFonts w:cs="Arial" w:ascii="Arial" w:hAnsi="Arial"/>
                <w:sz w:val="24"/>
              </w:rPr>
              <w:t xml:space="preserve"> tolerance does not change  during noncore OFO events.</w:t>
            </w:r>
          </w:p>
          <w:p>
            <w:pPr>
              <w:pStyle w:val="Normal"/>
              <w:tabs>
                <w:tab w:val="clear" w:pos="720"/>
                <w:tab w:val="left" w:pos="630" w:leader="none"/>
              </w:tabs>
              <w:ind w:start="735" w:end="0"/>
              <w:rPr/>
            </w:pPr>
            <w:r>
              <w:rPr>
                <w:rFonts w:eastAsia="Arial" w:cs="Arial" w:ascii="Arial" w:hAnsi="Arial"/>
                <w:b/>
                <w:sz w:val="24"/>
              </w:rPr>
              <w:t xml:space="preserve"> </w:t>
            </w:r>
            <w:r>
              <w:rPr>
                <w:rFonts w:cs="Arial" w:ascii="Arial" w:hAnsi="Arial"/>
                <w:sz w:val="24"/>
              </w:rPr>
              <w:t>Noncore, wholesale and CAT credit for self-balancing is 1.59 ¢/dth.</w:t>
            </w:r>
          </w:p>
          <w:p>
            <w:pPr>
              <w:pStyle w:val="Normal"/>
              <w:tabs>
                <w:tab w:val="clear" w:pos="720"/>
                <w:tab w:val="left" w:pos="630" w:leader="none"/>
              </w:tabs>
              <w:ind w:start="330" w:end="0"/>
              <w:rPr>
                <w:rFonts w:ascii="Arial" w:hAnsi="Arial" w:cs="Arial"/>
                <w:sz w:val="24"/>
              </w:rPr>
            </w:pPr>
            <w:r>
              <w:rPr>
                <w:rFonts w:cs="Arial" w:ascii="Arial" w:hAnsi="Arial"/>
                <w:sz w:val="24"/>
              </w:rPr>
              <w:t>-    Subject to noncore OFO’s, EFO’s and penalties.</w:t>
            </w:r>
          </w:p>
          <w:p>
            <w:pPr>
              <w:pStyle w:val="Normal"/>
              <w:tabs>
                <w:tab w:val="clear" w:pos="720"/>
                <w:tab w:val="left" w:pos="630" w:leader="none"/>
              </w:tabs>
              <w:ind w:start="330" w:end="0"/>
              <w:rPr>
                <w:rFonts w:ascii="Arial" w:hAnsi="Arial" w:cs="Arial"/>
                <w:sz w:val="24"/>
              </w:rPr>
            </w:pPr>
            <w:r>
              <w:rPr>
                <w:rFonts w:cs="Arial" w:ascii="Arial" w:hAnsi="Arial"/>
                <w:sz w:val="24"/>
              </w:rPr>
              <w:t>-    Penalty = $1/dth for non OFO imbalances.</w:t>
            </w:r>
          </w:p>
          <w:p>
            <w:pPr>
              <w:pStyle w:val="Normal"/>
              <w:numPr>
                <w:ilvl w:val="0"/>
                <w:numId w:val="7"/>
              </w:numPr>
              <w:tabs>
                <w:tab w:val="clear" w:pos="720"/>
                <w:tab w:val="left" w:pos="630" w:leader="none"/>
              </w:tabs>
              <w:rPr>
                <w:rFonts w:ascii="Arial" w:hAnsi="Arial" w:cs="Arial"/>
                <w:sz w:val="24"/>
              </w:rPr>
            </w:pPr>
            <w:r>
              <w:rPr>
                <w:rFonts w:cs="Arial" w:ascii="Arial" w:hAnsi="Arial"/>
                <w:sz w:val="24"/>
              </w:rPr>
              <w:t xml:space="preserve">Trading of monthly imbalances with same cash out as bundled balancing monthly imbalances; no trading of daily </w:t>
            </w:r>
          </w:p>
          <w:p>
            <w:pPr>
              <w:pStyle w:val="Normal"/>
              <w:tabs>
                <w:tab w:val="clear" w:pos="720"/>
                <w:tab w:val="left" w:pos="630" w:leader="none"/>
              </w:tabs>
              <w:ind w:start="330" w:end="0"/>
              <w:rPr>
                <w:rFonts w:ascii="Arial" w:hAnsi="Arial" w:cs="Arial"/>
                <w:sz w:val="24"/>
              </w:rPr>
            </w:pPr>
            <w:r>
              <w:rPr>
                <w:rFonts w:eastAsia="Arial" w:cs="Arial" w:ascii="Arial" w:hAnsi="Arial"/>
                <w:sz w:val="24"/>
              </w:rPr>
              <w:t xml:space="preserve">      </w:t>
            </w:r>
            <w:r>
              <w:rPr>
                <w:rFonts w:cs="Arial" w:ascii="Arial" w:hAnsi="Arial"/>
                <w:sz w:val="24"/>
              </w:rPr>
              <w:t>imbalances except as a result of noncore OFO or EFO events.</w:t>
            </w:r>
          </w:p>
          <w:p>
            <w:pPr>
              <w:pStyle w:val="Normal"/>
              <w:ind w:start="330" w:end="0"/>
              <w:rPr>
                <w:rFonts w:ascii="Arial" w:hAnsi="Arial" w:cs="Arial"/>
                <w:b/>
                <w:sz w:val="24"/>
              </w:rPr>
            </w:pPr>
            <w:r>
              <w:rPr>
                <w:rFonts w:cs="Arial" w:ascii="Arial" w:hAnsi="Arial"/>
                <w:b/>
                <w:sz w:val="24"/>
              </w:rPr>
            </w:r>
          </w:p>
          <w:p>
            <w:pPr>
              <w:pStyle w:val="Normal"/>
              <w:ind w:start="330" w:end="0"/>
              <w:rPr>
                <w:rFonts w:ascii="Arial" w:hAnsi="Arial" w:cs="Arial"/>
                <w:b/>
                <w:sz w:val="24"/>
              </w:rPr>
            </w:pPr>
            <w:r>
              <w:rPr>
                <w:rFonts w:cs="Arial" w:ascii="Arial" w:hAnsi="Arial"/>
                <w:b/>
                <w:sz w:val="24"/>
              </w:rPr>
            </w:r>
          </w:p>
          <w:p>
            <w:pPr>
              <w:pStyle w:val="Normal"/>
              <w:tabs>
                <w:tab w:val="clear" w:pos="720"/>
                <w:tab w:val="left" w:pos="630" w:leader="none"/>
              </w:tabs>
              <w:rPr>
                <w:rFonts w:ascii="Arial" w:hAnsi="Arial" w:cs="Arial"/>
                <w:sz w:val="24"/>
              </w:rPr>
            </w:pPr>
            <w:r>
              <w:rPr>
                <w:rFonts w:eastAsia="Arial" w:cs="Arial" w:ascii="Arial" w:hAnsi="Arial"/>
                <w:b/>
                <w:sz w:val="24"/>
              </w:rPr>
              <w:t xml:space="preserve">    </w:t>
            </w:r>
          </w:p>
          <w:p>
            <w:pPr>
              <w:pStyle w:val="Heading7"/>
              <w:tabs>
                <w:tab w:val="clear" w:pos="720"/>
                <w:tab w:val="left" w:pos="630" w:leader="none"/>
              </w:tabs>
              <w:ind w:hanging="0" w:start="0"/>
              <w:rPr>
                <w:b w:val="false"/>
                <w:i/>
                <w:i/>
                <w:sz w:val="36"/>
                <w:u w:val="single"/>
              </w:rPr>
            </w:pPr>
            <w:r>
              <w:rPr>
                <w:b w:val="false"/>
                <w:i/>
                <w:sz w:val="36"/>
                <w:u w:val="single"/>
              </w:rPr>
              <w:t xml:space="preserve">Balancing – Con’t. </w:t>
            </w:r>
          </w:p>
          <w:p>
            <w:pPr>
              <w:pStyle w:val="Normal"/>
              <w:tabs>
                <w:tab w:val="clear" w:pos="720"/>
                <w:tab w:val="left" w:pos="630" w:leader="none"/>
              </w:tabs>
              <w:jc w:val="center"/>
              <w:rPr>
                <w:rFonts w:ascii="Arial" w:hAnsi="Arial" w:cs="Arial"/>
                <w:b/>
                <w:i/>
                <w:i/>
                <w:sz w:val="24"/>
                <w:u w:val="single"/>
              </w:rPr>
            </w:pPr>
            <w:r>
              <w:rPr>
                <w:rFonts w:cs="Arial" w:ascii="Arial" w:hAnsi="Arial"/>
                <w:b/>
                <w:i/>
                <w:sz w:val="24"/>
                <w:u w:val="single"/>
              </w:rPr>
            </w:r>
          </w:p>
          <w:p>
            <w:pPr>
              <w:pStyle w:val="Normal"/>
              <w:tabs>
                <w:tab w:val="clear" w:pos="720"/>
                <w:tab w:val="left" w:pos="630" w:leader="none"/>
              </w:tabs>
              <w:rPr>
                <w:rFonts w:ascii="Arial" w:hAnsi="Arial" w:cs="Arial"/>
                <w:sz w:val="24"/>
              </w:rPr>
            </w:pPr>
            <w:r>
              <w:rPr>
                <w:rFonts w:cs="Arial" w:ascii="Arial" w:hAnsi="Arial"/>
                <w:sz w:val="24"/>
              </w:rPr>
            </w:r>
          </w:p>
          <w:p>
            <w:pPr>
              <w:pStyle w:val="Normal"/>
              <w:tabs>
                <w:tab w:val="clear" w:pos="720"/>
                <w:tab w:val="left" w:pos="630" w:leader="none"/>
              </w:tabs>
              <w:rPr>
                <w:rFonts w:ascii="Arial" w:hAnsi="Arial" w:cs="Arial"/>
                <w:sz w:val="24"/>
              </w:rPr>
            </w:pPr>
            <w:r>
              <w:rPr>
                <w:rFonts w:cs="Arial" w:ascii="Arial" w:hAnsi="Arial"/>
                <w:sz w:val="24"/>
              </w:rPr>
            </w:r>
          </w:p>
          <w:p>
            <w:pPr>
              <w:pStyle w:val="Normal"/>
              <w:numPr>
                <w:ilvl w:val="0"/>
                <w:numId w:val="7"/>
              </w:numPr>
              <w:tabs>
                <w:tab w:val="clear" w:pos="720"/>
                <w:tab w:val="left" w:pos="630" w:leader="none"/>
              </w:tabs>
              <w:rPr>
                <w:rFonts w:ascii="Arial" w:hAnsi="Arial" w:cs="Arial"/>
                <w:sz w:val="24"/>
              </w:rPr>
            </w:pPr>
            <w:r>
              <w:rPr>
                <w:rFonts w:cs="Arial" w:ascii="Arial" w:hAnsi="Arial"/>
                <w:sz w:val="24"/>
              </w:rPr>
              <w:t xml:space="preserve">CAT electing self-balancing will have daily imbalances based on 24/hr forecast, with implementation of daily ex-post forecast balancing for any CAT which exceeds 3% of the total core market. CAT election of self-balancing not dependent on electing unbundling of any portion of storage. </w:t>
            </w:r>
          </w:p>
          <w:p>
            <w:pPr>
              <w:pStyle w:val="Normal"/>
              <w:tabs>
                <w:tab w:val="clear" w:pos="720"/>
                <w:tab w:val="left" w:pos="630" w:leader="none"/>
              </w:tabs>
              <w:rPr>
                <w:rFonts w:ascii="Arial" w:hAnsi="Arial" w:eastAsia="Arial" w:cs="Arial"/>
                <w:sz w:val="24"/>
              </w:rPr>
            </w:pPr>
            <w:r>
              <w:rPr>
                <w:rFonts w:eastAsia="Arial" w:cs="Arial" w:ascii="Arial" w:hAnsi="Arial"/>
                <w:sz w:val="24"/>
              </w:rPr>
              <w:t xml:space="preserve"> </w:t>
            </w:r>
          </w:p>
          <w:p>
            <w:pPr>
              <w:pStyle w:val="Normal"/>
              <w:numPr>
                <w:ilvl w:val="0"/>
                <w:numId w:val="7"/>
              </w:numPr>
              <w:tabs>
                <w:tab w:val="clear" w:pos="720"/>
                <w:tab w:val="left" w:pos="630" w:leader="none"/>
              </w:tabs>
              <w:rPr>
                <w:rFonts w:ascii="Arial" w:hAnsi="Arial" w:cs="Arial"/>
                <w:b/>
                <w:sz w:val="24"/>
              </w:rPr>
            </w:pPr>
            <w:r>
              <w:rPr>
                <w:rFonts w:eastAsia="Arial" w:cs="Arial" w:ascii="Arial" w:hAnsi="Arial"/>
                <w:sz w:val="24"/>
              </w:rPr>
              <w:t xml:space="preserve"> </w:t>
            </w:r>
            <w:r>
              <w:rPr>
                <w:rFonts w:cs="Arial" w:ascii="Arial" w:hAnsi="Arial"/>
                <w:sz w:val="24"/>
              </w:rPr>
              <w:t>SoCalGas retains the right to purchase additional gas supplies to protect system integrity, with such purchases, if necessary, to be made by SoGalGas’ gas operations department (not the core procurement department). The cost of any such purchases are to be offset by OFO or EFO penalty/diversion revenues</w:t>
            </w:r>
            <w:r>
              <w:rPr>
                <w:rFonts w:cs="Arial" w:ascii="Arial" w:hAnsi="Arial"/>
                <w:b/>
                <w:sz w:val="24"/>
              </w:rPr>
              <w:t>.</w:t>
            </w:r>
          </w:p>
          <w:p>
            <w:pPr>
              <w:pStyle w:val="Normal"/>
              <w:tabs>
                <w:tab w:val="clear" w:pos="720"/>
                <w:tab w:val="left" w:pos="630" w:leader="none"/>
              </w:tabs>
              <w:jc w:val="center"/>
              <w:rPr>
                <w:rFonts w:ascii="Arial" w:hAnsi="Arial" w:cs="Arial"/>
                <w:b/>
                <w:sz w:val="24"/>
              </w:rPr>
            </w:pPr>
            <w:r>
              <w:rPr>
                <w:rFonts w:cs="Arial" w:ascii="Arial" w:hAnsi="Arial"/>
                <w:b/>
                <w:sz w:val="24"/>
              </w:rPr>
            </w:r>
          </w:p>
          <w:p>
            <w:pPr>
              <w:pStyle w:val="Normal"/>
              <w:tabs>
                <w:tab w:val="clear" w:pos="720"/>
                <w:tab w:val="left" w:pos="630" w:leader="none"/>
              </w:tabs>
              <w:rPr>
                <w:rFonts w:ascii="Arial" w:hAnsi="Arial" w:cs="Arial"/>
                <w:sz w:val="24"/>
              </w:rPr>
            </w:pPr>
            <w:r>
              <w:rPr>
                <w:rFonts w:cs="Arial" w:ascii="Arial" w:hAnsi="Arial"/>
                <w:sz w:val="24"/>
              </w:rPr>
            </w:r>
          </w:p>
          <w:p>
            <w:pPr>
              <w:pStyle w:val="Normal"/>
              <w:numPr>
                <w:ilvl w:val="0"/>
                <w:numId w:val="11"/>
              </w:numPr>
              <w:tabs>
                <w:tab w:val="clear" w:pos="720"/>
                <w:tab w:val="left" w:pos="360" w:leader="none"/>
              </w:tabs>
              <w:rPr>
                <w:rFonts w:ascii="Arial" w:hAnsi="Arial" w:cs="Arial"/>
                <w:sz w:val="24"/>
              </w:rPr>
            </w:pPr>
            <w:r>
              <w:rPr>
                <w:rFonts w:cs="Arial" w:ascii="Arial" w:hAnsi="Arial"/>
                <w:sz w:val="24"/>
              </w:rPr>
              <w:t>Anonymous Imbalance and Imbalance Rights Trading</w:t>
              <w:br/>
              <w:t>-    SoCalGas shall contract with 3</w:t>
            </w:r>
            <w:r>
              <w:rPr>
                <w:rFonts w:cs="Arial" w:ascii="Arial" w:hAnsi="Arial"/>
                <w:sz w:val="24"/>
                <w:vertAlign w:val="superscript"/>
              </w:rPr>
              <w:t>rd</w:t>
            </w:r>
            <w:r>
              <w:rPr>
                <w:rFonts w:cs="Arial" w:ascii="Arial" w:hAnsi="Arial"/>
                <w:sz w:val="24"/>
              </w:rPr>
              <w:t xml:space="preserve"> party ALTRA.</w:t>
            </w:r>
          </w:p>
          <w:p>
            <w:pPr>
              <w:pStyle w:val="Normal"/>
              <w:tabs>
                <w:tab w:val="clear" w:pos="720"/>
                <w:tab w:val="left" w:pos="630" w:leader="none"/>
              </w:tabs>
              <w:ind w:start="330" w:end="0"/>
              <w:rPr>
                <w:rFonts w:ascii="Arial" w:hAnsi="Arial" w:cs="Arial"/>
                <w:sz w:val="24"/>
              </w:rPr>
            </w:pPr>
            <w:r>
              <w:rPr>
                <w:rFonts w:cs="Arial" w:ascii="Arial" w:hAnsi="Arial"/>
                <w:sz w:val="24"/>
              </w:rPr>
              <w:t>-    SoCalGas shares in transaction fees as part of cost recovery, but ALTRA sets the fees at its discretion.</w:t>
            </w:r>
          </w:p>
          <w:p>
            <w:pPr>
              <w:pStyle w:val="Normal"/>
              <w:ind w:start="330" w:end="0"/>
              <w:rPr>
                <w:rFonts w:ascii="Arial" w:hAnsi="Arial" w:cs="Arial"/>
                <w:sz w:val="24"/>
              </w:rPr>
            </w:pPr>
            <w:r>
              <w:rPr>
                <w:rFonts w:cs="Arial" w:ascii="Arial" w:hAnsi="Arial"/>
                <w:sz w:val="24"/>
              </w:rPr>
            </w:r>
          </w:p>
        </w:tc>
      </w:tr>
    </w:tbl>
    <w:p>
      <w:pPr>
        <w:pStyle w:val="Normal"/>
        <w:jc w:val="center"/>
        <w:rPr/>
      </w:pPr>
      <w:r>
        <w:br w:type="page"/>
      </w:r>
      <w:r>
        <w:rPr/>
        <w:t>Storage</w:t>
      </w:r>
    </w:p>
    <w:tbl>
      <w:tblPr>
        <w:tblW w:w="13158" w:type="dxa"/>
        <w:jc w:val="start"/>
        <w:tblInd w:w="0" w:type="dxa"/>
        <w:tblLayout w:type="fixed"/>
        <w:tblCellMar>
          <w:top w:w="0" w:type="dxa"/>
          <w:start w:w="108" w:type="dxa"/>
          <w:bottom w:w="0" w:type="dxa"/>
          <w:end w:w="108" w:type="dxa"/>
        </w:tblCellMar>
      </w:tblPr>
      <w:tblGrid>
        <w:gridCol w:w="13158"/>
      </w:tblGrid>
      <w:tr>
        <w:trPr/>
        <w:tc>
          <w:tcPr>
            <w:tcW w:w="13158"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sz w:val="24"/>
              </w:rPr>
            </w:pPr>
            <w:r>
              <w:rPr>
                <w:rFonts w:eastAsia="Arial" w:cs="Arial" w:ascii="Arial" w:hAnsi="Arial"/>
                <w:sz w:val="24"/>
              </w:rPr>
              <w:t xml:space="preserve">     </w:t>
            </w:r>
          </w:p>
          <w:p>
            <w:pPr>
              <w:pStyle w:val="Normal"/>
              <w:rPr/>
            </w:pPr>
            <w:r>
              <w:rPr>
                <w:rFonts w:eastAsia="Arial" w:cs="Arial" w:ascii="Arial" w:hAnsi="Arial"/>
                <w:sz w:val="24"/>
              </w:rPr>
              <w:t xml:space="preserve">      </w:t>
            </w:r>
            <w:r>
              <w:rPr>
                <w:rFonts w:cs="Arial" w:ascii="Arial" w:hAnsi="Arial"/>
                <w:sz w:val="24"/>
                <w:u w:val="single"/>
              </w:rPr>
              <w:t>Costs</w:t>
            </w:r>
          </w:p>
          <w:p>
            <w:pPr>
              <w:pStyle w:val="Normal"/>
              <w:numPr>
                <w:ilvl w:val="0"/>
                <w:numId w:val="11"/>
              </w:numPr>
              <w:rPr>
                <w:rFonts w:ascii="Arial" w:hAnsi="Arial" w:cs="Arial"/>
                <w:sz w:val="24"/>
              </w:rPr>
            </w:pPr>
            <w:r>
              <w:rPr>
                <w:rFonts w:cs="Arial" w:ascii="Arial" w:hAnsi="Arial"/>
                <w:sz w:val="24"/>
              </w:rPr>
              <w:t>Unbundle Embedded Cost of Storage</w:t>
              <w:br/>
              <w:t>- Embedded cost is $71.6</w:t>
            </w:r>
            <w:r>
              <w:rPr>
                <w:rFonts w:cs="Arial" w:ascii="Arial" w:hAnsi="Arial"/>
                <w:b/>
                <w:i/>
                <w:sz w:val="24"/>
              </w:rPr>
              <w:t xml:space="preserve"> </w:t>
            </w:r>
            <w:r>
              <w:rPr>
                <w:rFonts w:cs="Arial" w:ascii="Arial" w:hAnsi="Arial"/>
                <w:sz w:val="24"/>
              </w:rPr>
              <w:t>million, plus 2.8 cent/dth ($3.3 million) of variable costs, plus 2.44% fuel</w:t>
            </w:r>
            <w:r>
              <w:rPr>
                <w:rFonts w:cs="Arial" w:ascii="Arial" w:hAnsi="Arial"/>
                <w:b/>
                <w:i/>
                <w:sz w:val="24"/>
              </w:rPr>
              <w:t>.</w:t>
            </w:r>
            <w:r>
              <w:rPr>
                <w:rFonts w:cs="Arial" w:ascii="Arial" w:hAnsi="Arial"/>
                <w:b/>
                <w:sz w:val="24"/>
              </w:rPr>
              <w:t xml:space="preserve">  </w:t>
            </w:r>
            <w:r>
              <w:rPr>
                <w:rFonts w:cs="Arial" w:ascii="Arial" w:hAnsi="Arial"/>
                <w:sz w:val="24"/>
              </w:rPr>
              <w:t xml:space="preserve">Excludes   </w:t>
            </w:r>
          </w:p>
          <w:p>
            <w:pPr>
              <w:pStyle w:val="Normal"/>
              <w:rPr>
                <w:rFonts w:ascii="Arial" w:hAnsi="Arial" w:cs="Arial"/>
                <w:sz w:val="24"/>
              </w:rPr>
            </w:pPr>
            <w:r>
              <w:rPr>
                <w:rFonts w:eastAsia="Arial" w:cs="Arial" w:ascii="Arial" w:hAnsi="Arial"/>
                <w:sz w:val="24"/>
              </w:rPr>
              <w:t xml:space="preserve">           </w:t>
            </w:r>
            <w:r>
              <w:rPr>
                <w:rFonts w:cs="Arial" w:ascii="Arial" w:hAnsi="Arial"/>
                <w:sz w:val="24"/>
              </w:rPr>
              <w:t>$12.7 million of embedded cost for Montebello.</w:t>
            </w:r>
          </w:p>
          <w:p>
            <w:pPr>
              <w:pStyle w:val="BodyTextIndent"/>
              <w:numPr>
                <w:ilvl w:val="0"/>
                <w:numId w:val="7"/>
              </w:numPr>
              <w:rPr>
                <w:b w:val="false"/>
              </w:rPr>
            </w:pPr>
            <w:r>
              <w:rPr>
                <w:b w:val="false"/>
              </w:rPr>
              <w:t xml:space="preserve">The above embedded cost first escalates in January 2001 based on the current PBR formula (i.e. inflation less productivity plus meter growth) and escalates in January of subsequent years based on the PBR formula then in place. </w:t>
            </w:r>
          </w:p>
          <w:p>
            <w:pPr>
              <w:pStyle w:val="Normal"/>
              <w:ind w:start="360" w:end="0"/>
              <w:rPr>
                <w:rFonts w:ascii="Arial" w:hAnsi="Arial" w:cs="Arial"/>
                <w:b/>
                <w:sz w:val="24"/>
              </w:rPr>
            </w:pPr>
            <w:r>
              <w:rPr>
                <w:rFonts w:cs="Arial" w:ascii="Arial" w:hAnsi="Arial"/>
                <w:b/>
                <w:sz w:val="24"/>
              </w:rPr>
            </w:r>
          </w:p>
          <w:p>
            <w:pPr>
              <w:pStyle w:val="Normal"/>
              <w:ind w:start="360" w:end="0"/>
              <w:rPr>
                <w:rFonts w:ascii="Arial" w:hAnsi="Arial" w:cs="Arial"/>
                <w:sz w:val="24"/>
                <w:u w:val="single"/>
              </w:rPr>
            </w:pPr>
            <w:r>
              <w:rPr>
                <w:rFonts w:cs="Arial" w:ascii="Arial" w:hAnsi="Arial"/>
                <w:sz w:val="24"/>
                <w:u w:val="single"/>
              </w:rPr>
              <w:t>Unbundling and Capacity Rights</w:t>
            </w:r>
          </w:p>
          <w:p>
            <w:pPr>
              <w:pStyle w:val="Normal"/>
              <w:numPr>
                <w:ilvl w:val="0"/>
                <w:numId w:val="11"/>
              </w:numPr>
              <w:tabs>
                <w:tab w:val="clear" w:pos="720"/>
                <w:tab w:val="left" w:pos="360" w:leader="none"/>
              </w:tabs>
              <w:rPr>
                <w:rFonts w:ascii="Arial" w:hAnsi="Arial" w:cs="Arial"/>
                <w:sz w:val="24"/>
              </w:rPr>
            </w:pPr>
            <w:r>
              <w:rPr>
                <w:rFonts w:cs="Arial" w:ascii="Arial" w:hAnsi="Arial"/>
                <w:sz w:val="24"/>
              </w:rPr>
              <w:t>Total</w:t>
            </w:r>
            <w:r>
              <w:rPr>
                <w:rFonts w:cs="Arial" w:ascii="Arial" w:hAnsi="Arial"/>
                <w:i/>
                <w:sz w:val="24"/>
              </w:rPr>
              <w:t xml:space="preserve"> </w:t>
            </w:r>
            <w:r>
              <w:rPr>
                <w:rFonts w:cs="Arial" w:ascii="Arial" w:hAnsi="Arial"/>
                <w:sz w:val="24"/>
              </w:rPr>
              <w:t>(prior to CAT unbundling)</w:t>
            </w:r>
            <w:r>
              <w:rPr>
                <w:rFonts w:cs="Arial" w:ascii="Arial" w:hAnsi="Arial"/>
                <w:i/>
                <w:sz w:val="24"/>
              </w:rPr>
              <w:t xml:space="preserve"> </w:t>
            </w:r>
            <w:r>
              <w:rPr>
                <w:rFonts w:cs="Arial" w:ascii="Arial" w:hAnsi="Arial"/>
                <w:sz w:val="24"/>
              </w:rPr>
              <w:t xml:space="preserve">Core Reserved Storage.  </w:t>
              <w:br/>
              <w:t>-    35 Bcf inventory; 234 MMcfd injection; 1935 MMcfd withdrawal  -- reliability and balancing storage.</w:t>
            </w:r>
          </w:p>
          <w:p>
            <w:pPr>
              <w:pStyle w:val="Normal"/>
              <w:tabs>
                <w:tab w:val="clear" w:pos="720"/>
                <w:tab w:val="left" w:pos="360" w:leader="none"/>
              </w:tabs>
              <w:ind w:start="360" w:end="0"/>
              <w:rPr/>
            </w:pPr>
            <w:r>
              <w:rPr>
                <w:rFonts w:cs="Arial" w:ascii="Arial" w:hAnsi="Arial"/>
                <w:sz w:val="24"/>
              </w:rPr>
              <w:t xml:space="preserve">-    20 Bcf inventory; 93 MMcfd injection </w:t>
            </w:r>
            <w:r>
              <w:rPr>
                <w:rFonts w:cs="Arial" w:ascii="Arial" w:hAnsi="Arial"/>
                <w:b/>
                <w:sz w:val="24"/>
              </w:rPr>
              <w:t xml:space="preserve">-- </w:t>
            </w:r>
            <w:r>
              <w:rPr>
                <w:rFonts w:cs="Arial" w:ascii="Arial" w:hAnsi="Arial"/>
                <w:sz w:val="24"/>
              </w:rPr>
              <w:t>additional storage.</w:t>
            </w:r>
          </w:p>
          <w:p>
            <w:pPr>
              <w:pStyle w:val="Normal"/>
              <w:numPr>
                <w:ilvl w:val="0"/>
                <w:numId w:val="7"/>
              </w:numPr>
              <w:tabs>
                <w:tab w:val="clear" w:pos="720"/>
                <w:tab w:val="left" w:pos="360" w:leader="none"/>
              </w:tabs>
              <w:rPr>
                <w:rFonts w:ascii="Arial" w:hAnsi="Arial" w:cs="Arial"/>
                <w:sz w:val="24"/>
              </w:rPr>
            </w:pPr>
            <w:r>
              <w:rPr>
                <w:rFonts w:cs="Arial" w:ascii="Arial" w:hAnsi="Arial"/>
                <w:sz w:val="24"/>
              </w:rPr>
              <w:t>Total core storage capacities are fixed for the term of the Settlement.</w:t>
            </w:r>
          </w:p>
          <w:p>
            <w:pPr>
              <w:pStyle w:val="Normal"/>
              <w:numPr>
                <w:ilvl w:val="0"/>
                <w:numId w:val="7"/>
              </w:numPr>
              <w:tabs>
                <w:tab w:val="clear" w:pos="720"/>
                <w:tab w:val="left" w:pos="360" w:leader="none"/>
              </w:tabs>
              <w:rPr>
                <w:rFonts w:ascii="Arial" w:hAnsi="Arial" w:cs="Arial"/>
                <w:sz w:val="24"/>
              </w:rPr>
            </w:pPr>
            <w:r>
              <w:rPr>
                <w:rFonts w:cs="Arial" w:ascii="Arial" w:hAnsi="Arial"/>
                <w:sz w:val="24"/>
              </w:rPr>
              <w:t xml:space="preserve">Retail core only responsible for drive gas to support retail core reliability.  </w:t>
            </w:r>
          </w:p>
          <w:p>
            <w:pPr>
              <w:pStyle w:val="Normal"/>
              <w:numPr>
                <w:ilvl w:val="0"/>
                <w:numId w:val="3"/>
              </w:numPr>
              <w:tabs>
                <w:tab w:val="clear" w:pos="720"/>
                <w:tab w:val="left" w:pos="360" w:leader="none"/>
                <w:tab w:val="left" w:pos="765" w:leader="none"/>
              </w:tabs>
              <w:ind w:hanging="405" w:start="765" w:end="0"/>
              <w:rPr>
                <w:rFonts w:ascii="Arial" w:hAnsi="Arial" w:cs="Arial"/>
                <w:b/>
                <w:sz w:val="24"/>
              </w:rPr>
            </w:pPr>
            <w:r>
              <w:rPr>
                <w:rFonts w:cs="Arial" w:ascii="Arial" w:hAnsi="Arial"/>
                <w:sz w:val="24"/>
              </w:rPr>
              <w:t>Total core storage embedded cost is</w:t>
            </w:r>
            <w:r>
              <w:rPr>
                <w:rFonts w:cs="Arial" w:ascii="Arial" w:hAnsi="Arial"/>
                <w:b/>
                <w:sz w:val="24"/>
              </w:rPr>
              <w:t xml:space="preserve"> </w:t>
            </w:r>
            <w:r>
              <w:rPr>
                <w:rFonts w:cs="Arial" w:ascii="Arial" w:hAnsi="Arial"/>
                <w:sz w:val="24"/>
              </w:rPr>
              <w:t>$34.1 million, which includes a misc. oil revenue credit.</w:t>
            </w:r>
          </w:p>
          <w:p>
            <w:pPr>
              <w:pStyle w:val="Normal"/>
              <w:numPr>
                <w:ilvl w:val="0"/>
                <w:numId w:val="11"/>
              </w:numPr>
              <w:tabs>
                <w:tab w:val="clear" w:pos="720"/>
                <w:tab w:val="left" w:pos="360" w:leader="none"/>
              </w:tabs>
              <w:rPr>
                <w:rFonts w:ascii="Arial" w:hAnsi="Arial" w:cs="Arial"/>
                <w:sz w:val="24"/>
              </w:rPr>
            </w:pPr>
            <w:r>
              <w:rPr>
                <w:rFonts w:cs="Arial" w:ascii="Arial" w:hAnsi="Arial"/>
                <w:sz w:val="24"/>
              </w:rPr>
              <w:t>Unbundle Storage for Wholesale (after expiration of any existing contracts)</w:t>
            </w:r>
          </w:p>
          <w:p>
            <w:pPr>
              <w:pStyle w:val="Normal"/>
              <w:numPr>
                <w:ilvl w:val="0"/>
                <w:numId w:val="7"/>
              </w:numPr>
              <w:rPr>
                <w:rFonts w:ascii="Arial" w:hAnsi="Arial" w:cs="Arial"/>
                <w:sz w:val="24"/>
              </w:rPr>
            </w:pPr>
            <w:r>
              <w:rPr>
                <w:rFonts w:cs="Arial" w:ascii="Arial" w:hAnsi="Arial"/>
                <w:sz w:val="24"/>
              </w:rPr>
              <w:t xml:space="preserve">Wholesale may elect to take proportionate core reliability storage reservation for their core load at core rate for </w:t>
            </w:r>
          </w:p>
          <w:p>
            <w:pPr>
              <w:pStyle w:val="Normal"/>
              <w:tabs>
                <w:tab w:val="left" w:pos="720" w:leader="none"/>
              </w:tabs>
              <w:ind w:start="735" w:end="0"/>
              <w:rPr>
                <w:rFonts w:ascii="Arial" w:hAnsi="Arial" w:cs="Arial"/>
                <w:sz w:val="24"/>
              </w:rPr>
            </w:pPr>
            <w:r>
              <w:rPr>
                <w:rFonts w:cs="Arial" w:ascii="Arial" w:hAnsi="Arial"/>
                <w:sz w:val="24"/>
              </w:rPr>
              <w:t>storage.</w:t>
            </w:r>
          </w:p>
          <w:p>
            <w:pPr>
              <w:pStyle w:val="Normal"/>
              <w:numPr>
                <w:ilvl w:val="0"/>
                <w:numId w:val="5"/>
              </w:numPr>
              <w:tabs>
                <w:tab w:val="left" w:pos="720" w:leader="none"/>
              </w:tabs>
              <w:rPr>
                <w:rFonts w:ascii="Arial" w:hAnsi="Arial" w:cs="Arial"/>
                <w:sz w:val="24"/>
              </w:rPr>
            </w:pPr>
            <w:r>
              <w:rPr>
                <w:rFonts w:cs="Arial" w:ascii="Arial" w:hAnsi="Arial"/>
                <w:sz w:val="24"/>
              </w:rPr>
              <w:t>Unbundle Storage Options for CATs</w:t>
            </w:r>
          </w:p>
          <w:p>
            <w:pPr>
              <w:pStyle w:val="Normal"/>
              <w:numPr>
                <w:ilvl w:val="0"/>
                <w:numId w:val="7"/>
              </w:numPr>
              <w:rPr>
                <w:rFonts w:ascii="Arial" w:hAnsi="Arial" w:cs="Arial"/>
                <w:sz w:val="24"/>
              </w:rPr>
            </w:pPr>
            <w:r>
              <w:rPr>
                <w:rFonts w:cs="Arial" w:ascii="Arial" w:hAnsi="Arial"/>
                <w:sz w:val="24"/>
              </w:rPr>
              <w:t>Unbundle additional storage portion effective upon implementation of Settlement, with a credit of 2.3 cents/dth.</w:t>
            </w:r>
          </w:p>
          <w:p>
            <w:pPr>
              <w:pStyle w:val="Normal"/>
              <w:numPr>
                <w:ilvl w:val="0"/>
                <w:numId w:val="7"/>
              </w:numPr>
              <w:tabs>
                <w:tab w:val="clear" w:pos="720"/>
                <w:tab w:val="left" w:pos="630" w:leader="none"/>
              </w:tabs>
              <w:rPr>
                <w:rFonts w:ascii="Arial" w:hAnsi="Arial" w:cs="Arial"/>
                <w:sz w:val="24"/>
              </w:rPr>
            </w:pPr>
            <w:r>
              <w:rPr>
                <w:rFonts w:cs="Arial" w:ascii="Arial" w:hAnsi="Arial"/>
                <w:sz w:val="24"/>
              </w:rPr>
              <w:t>Unbundle reliability storage portion effective April 2001  - with credit of 5.8</w:t>
            </w:r>
            <w:r>
              <w:rPr>
                <w:rFonts w:cs="Arial" w:ascii="Arial" w:hAnsi="Arial"/>
                <w:b/>
                <w:i/>
                <w:sz w:val="24"/>
              </w:rPr>
              <w:t xml:space="preserve"> </w:t>
            </w:r>
            <w:r>
              <w:rPr>
                <w:rFonts w:cs="Arial" w:ascii="Arial" w:hAnsi="Arial"/>
                <w:sz w:val="24"/>
              </w:rPr>
              <w:t xml:space="preserve">cents/dth.   CAT electing self-balancing required meet reliability standards and provide reliability certification for alternate resources. </w:t>
            </w:r>
          </w:p>
          <w:p>
            <w:pPr>
              <w:pStyle w:val="Normal"/>
              <w:numPr>
                <w:ilvl w:val="0"/>
                <w:numId w:val="7"/>
              </w:numPr>
              <w:tabs>
                <w:tab w:val="clear" w:pos="720"/>
                <w:tab w:val="left" w:pos="630" w:leader="none"/>
              </w:tabs>
              <w:rPr>
                <w:rFonts w:ascii="Arial" w:hAnsi="Arial" w:cs="Arial"/>
                <w:sz w:val="24"/>
              </w:rPr>
            </w:pPr>
            <w:r>
              <w:rPr>
                <w:rFonts w:eastAsia="Arial" w:cs="Arial" w:ascii="Arial" w:hAnsi="Arial"/>
                <w:sz w:val="24"/>
              </w:rPr>
              <w:t xml:space="preserve"> </w:t>
            </w:r>
            <w:r>
              <w:rPr>
                <w:rFonts w:cs="Arial" w:ascii="Arial" w:hAnsi="Arial"/>
                <w:sz w:val="24"/>
              </w:rPr>
              <w:t>Cap of up to 15% (relative to total core storage) for unbundled CAT reliability storage portion until April 2003; after April 2003 appropriate cap levels, if any, to be determined; no cap on unbundled additional storage portion.</w:t>
            </w:r>
          </w:p>
          <w:p>
            <w:pPr>
              <w:pStyle w:val="Normal"/>
              <w:numPr>
                <w:ilvl w:val="0"/>
                <w:numId w:val="9"/>
              </w:numPr>
              <w:rPr>
                <w:rFonts w:ascii="Arial" w:hAnsi="Arial" w:cs="Arial"/>
                <w:sz w:val="24"/>
              </w:rPr>
            </w:pPr>
            <w:r>
              <w:rPr>
                <w:rFonts w:cs="Arial" w:ascii="Arial" w:hAnsi="Arial"/>
                <w:sz w:val="24"/>
              </w:rPr>
              <w:t xml:space="preserve">SoCalGas will not be at–risk for the recovery of retail core procurement storage costs from retail core </w:t>
            </w:r>
          </w:p>
          <w:p>
            <w:pPr>
              <w:pStyle w:val="Normal"/>
              <w:rPr>
                <w:rFonts w:ascii="Arial" w:hAnsi="Arial" w:cs="Arial"/>
                <w:sz w:val="24"/>
              </w:rPr>
            </w:pPr>
            <w:r>
              <w:rPr>
                <w:rFonts w:eastAsia="Arial" w:cs="Arial" w:ascii="Arial" w:hAnsi="Arial"/>
                <w:sz w:val="24"/>
              </w:rPr>
              <w:t xml:space="preserve">           </w:t>
            </w:r>
            <w:r>
              <w:rPr>
                <w:rFonts w:cs="Arial" w:ascii="Arial" w:hAnsi="Arial"/>
                <w:sz w:val="24"/>
              </w:rPr>
              <w:t>procurement customers.</w:t>
            </w:r>
          </w:p>
          <w:p>
            <w:pPr>
              <w:pStyle w:val="Normal"/>
              <w:rPr>
                <w:rFonts w:ascii="Arial" w:hAnsi="Arial" w:cs="Arial"/>
                <w:b/>
                <w:sz w:val="24"/>
              </w:rPr>
            </w:pPr>
            <w:r>
              <w:rPr>
                <w:rFonts w:cs="Arial" w:ascii="Arial" w:hAnsi="Arial"/>
                <w:b/>
                <w:sz w:val="24"/>
              </w:rPr>
            </w:r>
          </w:p>
          <w:p>
            <w:pPr>
              <w:pStyle w:val="Normal"/>
              <w:rPr>
                <w:rFonts w:ascii="Arial" w:hAnsi="Arial" w:cs="Arial"/>
                <w:b/>
                <w:sz w:val="24"/>
              </w:rPr>
            </w:pPr>
            <w:r>
              <w:rPr>
                <w:rFonts w:cs="Arial" w:ascii="Arial" w:hAnsi="Arial"/>
                <w:b/>
                <w:sz w:val="24"/>
              </w:rPr>
            </w:r>
          </w:p>
          <w:p>
            <w:pPr>
              <w:pStyle w:val="Normal"/>
              <w:rPr>
                <w:rFonts w:ascii="Arial" w:hAnsi="Arial" w:cs="Arial"/>
                <w:b/>
                <w:sz w:val="24"/>
              </w:rPr>
            </w:pPr>
            <w:r>
              <w:rPr>
                <w:rFonts w:cs="Arial" w:ascii="Arial" w:hAnsi="Arial"/>
                <w:b/>
                <w:sz w:val="24"/>
              </w:rPr>
            </w:r>
          </w:p>
          <w:p>
            <w:pPr>
              <w:pStyle w:val="Normal"/>
              <w:rPr>
                <w:rFonts w:ascii="Arial" w:hAnsi="Arial" w:cs="Arial"/>
                <w:b/>
                <w:sz w:val="24"/>
              </w:rPr>
            </w:pPr>
            <w:r>
              <w:rPr>
                <w:rFonts w:cs="Arial" w:ascii="Arial" w:hAnsi="Arial"/>
                <w:b/>
                <w:sz w:val="24"/>
              </w:rPr>
            </w:r>
          </w:p>
          <w:p>
            <w:pPr>
              <w:pStyle w:val="Normal"/>
              <w:rPr>
                <w:rFonts w:ascii="Arial" w:hAnsi="Arial" w:cs="Arial"/>
                <w:b/>
                <w:sz w:val="24"/>
              </w:rPr>
            </w:pPr>
            <w:r>
              <w:rPr>
                <w:rFonts w:cs="Arial" w:ascii="Arial" w:hAnsi="Arial"/>
                <w:b/>
                <w:sz w:val="24"/>
              </w:rPr>
            </w:r>
          </w:p>
          <w:p>
            <w:pPr>
              <w:pStyle w:val="Normal"/>
              <w:numPr>
                <w:ilvl w:val="0"/>
                <w:numId w:val="0"/>
              </w:numPr>
              <w:ind w:hanging="0" w:start="360" w:end="0"/>
              <w:jc w:val="center"/>
              <w:rPr>
                <w:rFonts w:ascii="Arial" w:hAnsi="Arial" w:cs="Arial"/>
                <w:b/>
                <w:sz w:val="24"/>
              </w:rPr>
            </w:pPr>
            <w:r>
              <w:rPr>
                <w:rFonts w:cs="Arial" w:ascii="Arial" w:hAnsi="Arial"/>
                <w:i/>
                <w:sz w:val="36"/>
                <w:u w:val="single"/>
              </w:rPr>
              <w:t>Storage Con’t.</w:t>
            </w:r>
          </w:p>
          <w:p>
            <w:pPr>
              <w:pStyle w:val="Normal"/>
              <w:rPr>
                <w:rFonts w:ascii="Arial" w:hAnsi="Arial" w:cs="Arial"/>
                <w:b/>
                <w:sz w:val="24"/>
              </w:rPr>
            </w:pPr>
            <w:r>
              <w:rPr>
                <w:rFonts w:cs="Arial" w:ascii="Arial" w:hAnsi="Arial"/>
                <w:b/>
                <w:sz w:val="24"/>
              </w:rPr>
            </w:r>
          </w:p>
          <w:p>
            <w:pPr>
              <w:pStyle w:val="Normal"/>
              <w:numPr>
                <w:ilvl w:val="0"/>
                <w:numId w:val="11"/>
              </w:numPr>
              <w:tabs>
                <w:tab w:val="clear" w:pos="720"/>
                <w:tab w:val="left" w:pos="360" w:leader="none"/>
              </w:tabs>
              <w:rPr>
                <w:rFonts w:ascii="Arial" w:hAnsi="Arial" w:cs="Arial"/>
                <w:sz w:val="24"/>
              </w:rPr>
            </w:pPr>
            <w:r>
              <w:rPr>
                <w:rFonts w:cs="Arial" w:ascii="Arial" w:hAnsi="Arial"/>
                <w:sz w:val="24"/>
              </w:rPr>
              <w:t>Remaining Storage Unbundled &amp; Available Through Open Season</w:t>
            </w:r>
          </w:p>
          <w:p>
            <w:pPr>
              <w:pStyle w:val="Normal"/>
              <w:numPr>
                <w:ilvl w:val="0"/>
                <w:numId w:val="7"/>
              </w:numPr>
              <w:rPr>
                <w:rFonts w:ascii="Arial" w:hAnsi="Arial" w:cs="Arial"/>
                <w:sz w:val="24"/>
              </w:rPr>
            </w:pPr>
            <w:r>
              <w:rPr>
                <w:rFonts w:cs="Arial" w:ascii="Arial" w:hAnsi="Arial"/>
                <w:sz w:val="24"/>
              </w:rPr>
              <w:t>20% reserved for 1 year term, 80% available for up to term of Settlement .</w:t>
            </w:r>
          </w:p>
          <w:p>
            <w:pPr>
              <w:pStyle w:val="Normal"/>
              <w:numPr>
                <w:ilvl w:val="0"/>
                <w:numId w:val="7"/>
              </w:numPr>
              <w:rPr>
                <w:rFonts w:ascii="Arial" w:hAnsi="Arial" w:cs="Arial"/>
                <w:strike/>
                <w:sz w:val="24"/>
              </w:rPr>
            </w:pPr>
            <w:r>
              <w:rPr>
                <w:rFonts w:cs="Arial" w:ascii="Arial" w:hAnsi="Arial"/>
                <w:sz w:val="24"/>
              </w:rPr>
              <w:t xml:space="preserve">Open season is for pro-rata total capacity packages (1 Bcf, 7.6 MMcfd injection, 29.6 MMcfd withdrawal) at        </w:t>
            </w:r>
          </w:p>
          <w:p>
            <w:pPr>
              <w:pStyle w:val="Normal"/>
              <w:ind w:start="330" w:end="0"/>
              <w:rPr>
                <w:rFonts w:ascii="Arial" w:hAnsi="Arial" w:cs="Arial"/>
                <w:strike/>
                <w:sz w:val="24"/>
              </w:rPr>
            </w:pPr>
            <w:r>
              <w:rPr>
                <w:rFonts w:eastAsia="Arial" w:cs="Arial" w:ascii="Arial" w:hAnsi="Arial"/>
                <w:b/>
                <w:sz w:val="24"/>
              </w:rPr>
              <w:t xml:space="preserve">      </w:t>
            </w:r>
            <w:r>
              <w:rPr>
                <w:rFonts w:cs="Arial" w:ascii="Arial" w:hAnsi="Arial"/>
                <w:sz w:val="24"/>
              </w:rPr>
              <w:t>67.8 cent/dth</w:t>
            </w:r>
            <w:r>
              <w:rPr>
                <w:rFonts w:cs="Arial" w:ascii="Arial" w:hAnsi="Arial"/>
                <w:i/>
                <w:sz w:val="24"/>
              </w:rPr>
              <w:t xml:space="preserve"> </w:t>
            </w:r>
            <w:r>
              <w:rPr>
                <w:rFonts w:cs="Arial" w:ascii="Arial" w:hAnsi="Arial"/>
                <w:sz w:val="24"/>
              </w:rPr>
              <w:t>embedded cost; only bid term.</w:t>
            </w:r>
          </w:p>
          <w:p>
            <w:pPr>
              <w:pStyle w:val="Normal"/>
              <w:numPr>
                <w:ilvl w:val="0"/>
                <w:numId w:val="11"/>
              </w:numPr>
              <w:tabs>
                <w:tab w:val="clear" w:pos="720"/>
                <w:tab w:val="left" w:pos="360" w:leader="none"/>
              </w:tabs>
              <w:rPr>
                <w:rFonts w:ascii="Arial" w:hAnsi="Arial" w:cs="Arial"/>
                <w:sz w:val="24"/>
              </w:rPr>
            </w:pPr>
            <w:r>
              <w:rPr>
                <w:rFonts w:cs="Arial" w:ascii="Arial" w:hAnsi="Arial"/>
                <w:sz w:val="24"/>
              </w:rPr>
              <w:t>Any remaining uncommitted storage capacities marketed through G-TBS or G-BSS storage tariffs subject to price floor and price ceiling as described in the market conditions section below.</w:t>
            </w:r>
          </w:p>
          <w:p>
            <w:pPr>
              <w:pStyle w:val="Normal"/>
              <w:numPr>
                <w:ilvl w:val="0"/>
                <w:numId w:val="11"/>
              </w:numPr>
              <w:tabs>
                <w:tab w:val="clear" w:pos="720"/>
                <w:tab w:val="left" w:pos="360" w:leader="none"/>
              </w:tabs>
              <w:rPr>
                <w:rFonts w:ascii="Arial" w:hAnsi="Arial" w:cs="Arial"/>
                <w:sz w:val="24"/>
              </w:rPr>
            </w:pPr>
            <w:r>
              <w:rPr>
                <w:rFonts w:cs="Arial" w:ascii="Arial" w:hAnsi="Arial"/>
                <w:sz w:val="24"/>
              </w:rPr>
              <w:t>Unbundle storage revenues includes misc. oil revenues from storage other than Montebello.</w:t>
            </w:r>
          </w:p>
          <w:p>
            <w:pPr>
              <w:pStyle w:val="Normal"/>
              <w:numPr>
                <w:ilvl w:val="0"/>
                <w:numId w:val="0"/>
              </w:numPr>
              <w:ind w:hanging="0" w:start="0"/>
              <w:rPr>
                <w:rFonts w:ascii="Arial" w:hAnsi="Arial" w:cs="Arial"/>
                <w:sz w:val="24"/>
              </w:rPr>
            </w:pPr>
            <w:r>
              <w:rPr>
                <w:rFonts w:cs="Arial" w:ascii="Arial" w:hAnsi="Arial"/>
                <w:sz w:val="24"/>
              </w:rPr>
            </w:r>
          </w:p>
          <w:p>
            <w:pPr>
              <w:pStyle w:val="Normal"/>
              <w:numPr>
                <w:ilvl w:val="0"/>
                <w:numId w:val="0"/>
              </w:numPr>
              <w:ind w:hanging="0" w:start="360" w:end="0"/>
              <w:rPr>
                <w:rFonts w:ascii="Arial" w:hAnsi="Arial" w:cs="Arial"/>
                <w:sz w:val="24"/>
              </w:rPr>
            </w:pPr>
            <w:r>
              <w:rPr>
                <w:rFonts w:cs="Arial" w:ascii="Arial" w:hAnsi="Arial"/>
                <w:sz w:val="24"/>
                <w:u w:val="single"/>
              </w:rPr>
              <w:t>Market Conditions and Risk</w:t>
            </w:r>
          </w:p>
          <w:p>
            <w:pPr>
              <w:pStyle w:val="Normal"/>
              <w:numPr>
                <w:ilvl w:val="0"/>
                <w:numId w:val="11"/>
              </w:numPr>
              <w:tabs>
                <w:tab w:val="clear" w:pos="720"/>
                <w:tab w:val="left" w:pos="360" w:leader="none"/>
              </w:tabs>
              <w:rPr>
                <w:rFonts w:ascii="Arial" w:hAnsi="Arial" w:cs="Arial"/>
                <w:sz w:val="24"/>
              </w:rPr>
            </w:pPr>
            <w:r>
              <w:rPr>
                <w:rFonts w:cs="Arial" w:ascii="Arial" w:hAnsi="Arial"/>
                <w:sz w:val="24"/>
              </w:rPr>
              <w:t>All existing storage contracts are grandfathered; existing G-BSS storage tariff continues for the term of the Settlement, subject to BCAP price adjustment.</w:t>
            </w:r>
          </w:p>
          <w:p>
            <w:pPr>
              <w:pStyle w:val="Normal"/>
              <w:numPr>
                <w:ilvl w:val="0"/>
                <w:numId w:val="11"/>
              </w:numPr>
              <w:tabs>
                <w:tab w:val="clear" w:pos="720"/>
                <w:tab w:val="left" w:pos="360" w:leader="none"/>
              </w:tabs>
              <w:rPr>
                <w:rFonts w:ascii="Arial" w:hAnsi="Arial" w:cs="Arial"/>
                <w:sz w:val="24"/>
              </w:rPr>
            </w:pPr>
            <w:r>
              <w:rPr>
                <w:rFonts w:cs="Arial" w:ascii="Arial" w:hAnsi="Arial"/>
                <w:sz w:val="24"/>
              </w:rPr>
              <w:t>Risk sharing and G-TBS pricing flexibility</w:t>
            </w:r>
          </w:p>
          <w:p>
            <w:pPr>
              <w:pStyle w:val="Normal"/>
              <w:numPr>
                <w:ilvl w:val="0"/>
                <w:numId w:val="7"/>
              </w:numPr>
              <w:tabs>
                <w:tab w:val="clear" w:pos="720"/>
                <w:tab w:val="left" w:pos="360" w:leader="none"/>
              </w:tabs>
              <w:rPr>
                <w:rFonts w:ascii="Arial" w:hAnsi="Arial" w:cs="Arial"/>
                <w:sz w:val="24"/>
              </w:rPr>
            </w:pPr>
            <w:r>
              <w:rPr>
                <w:rFonts w:cs="Arial" w:ascii="Arial" w:hAnsi="Arial"/>
                <w:sz w:val="24"/>
              </w:rPr>
              <w:t xml:space="preserve">During year one of unbundled storage (commencing April 2001) a 50/50 risk sharing between shareholders and ratepayers is to be in place for unbundled storage revenues, with price floor of 50% of embedded cost by storage product and price ceiling of 150% of embedded cost by storage product. </w:t>
            </w:r>
          </w:p>
          <w:p>
            <w:pPr>
              <w:pStyle w:val="Normal"/>
              <w:numPr>
                <w:ilvl w:val="0"/>
                <w:numId w:val="7"/>
              </w:numPr>
              <w:tabs>
                <w:tab w:val="clear" w:pos="720"/>
                <w:tab w:val="left" w:pos="360" w:leader="none"/>
              </w:tabs>
              <w:rPr>
                <w:rFonts w:ascii="Arial" w:hAnsi="Arial" w:cs="Arial"/>
                <w:sz w:val="24"/>
              </w:rPr>
            </w:pPr>
            <w:r>
              <w:rPr>
                <w:rFonts w:cs="Arial" w:ascii="Arial" w:hAnsi="Arial"/>
                <w:sz w:val="24"/>
              </w:rPr>
              <w:t xml:space="preserve">During year two a 75/25 risk sharing between shareholders/ratepayers, with a 50%price floor and a 200% price ceiling. </w:t>
            </w:r>
          </w:p>
          <w:p>
            <w:pPr>
              <w:pStyle w:val="Normal"/>
              <w:numPr>
                <w:ilvl w:val="0"/>
                <w:numId w:val="7"/>
              </w:numPr>
              <w:tabs>
                <w:tab w:val="clear" w:pos="720"/>
                <w:tab w:val="left" w:pos="360" w:leader="none"/>
              </w:tabs>
              <w:rPr>
                <w:rFonts w:ascii="Arial" w:hAnsi="Arial" w:cs="Arial"/>
                <w:sz w:val="24"/>
              </w:rPr>
            </w:pPr>
            <w:r>
              <w:rPr>
                <w:rFonts w:cs="Arial" w:ascii="Arial" w:hAnsi="Arial"/>
                <w:sz w:val="24"/>
              </w:rPr>
              <w:t xml:space="preserve">Commencing year three, and for the remaining term of the settlement, SoCalGas to be 100% at-risk for unbundled storage costs with price floor of short-run marginal cost.     </w:t>
            </w:r>
          </w:p>
          <w:p>
            <w:pPr>
              <w:pStyle w:val="Normal"/>
              <w:numPr>
                <w:ilvl w:val="0"/>
                <w:numId w:val="11"/>
              </w:numPr>
              <w:tabs>
                <w:tab w:val="clear" w:pos="720"/>
                <w:tab w:val="left" w:pos="360" w:leader="none"/>
              </w:tabs>
              <w:rPr>
                <w:rFonts w:ascii="Arial" w:hAnsi="Arial" w:cs="Arial"/>
                <w:sz w:val="24"/>
              </w:rPr>
            </w:pPr>
            <w:r>
              <w:rPr>
                <w:rFonts w:cs="Arial" w:ascii="Arial" w:hAnsi="Arial"/>
                <w:sz w:val="24"/>
              </w:rPr>
              <w:t>Secondary and As-Available Markets is to be established</w:t>
              <w:br/>
              <w:t xml:space="preserve">-    As-available storage defined as any capacity that is not being utilized by firm storage capacity holders. </w:t>
            </w:r>
          </w:p>
          <w:p>
            <w:pPr>
              <w:pStyle w:val="Normal"/>
              <w:numPr>
                <w:ilvl w:val="0"/>
                <w:numId w:val="11"/>
              </w:numPr>
              <w:tabs>
                <w:tab w:val="clear" w:pos="720"/>
                <w:tab w:val="left" w:pos="360" w:leader="none"/>
              </w:tabs>
              <w:rPr>
                <w:rFonts w:ascii="Arial" w:hAnsi="Arial" w:cs="Arial"/>
                <w:sz w:val="24"/>
              </w:rPr>
            </w:pPr>
            <w:r>
              <w:rPr>
                <w:rFonts w:cs="Arial" w:ascii="Arial" w:hAnsi="Arial"/>
                <w:sz w:val="24"/>
              </w:rPr>
              <w:t>Core procurement department and system operations department offer separate hub services utilizing  separate assets and rights; hub revenues track assets.</w:t>
            </w:r>
          </w:p>
          <w:p>
            <w:pPr>
              <w:pStyle w:val="Normal"/>
              <w:numPr>
                <w:ilvl w:val="0"/>
                <w:numId w:val="2"/>
              </w:numPr>
              <w:rPr>
                <w:rFonts w:ascii="Arial" w:hAnsi="Arial" w:cs="Arial"/>
                <w:sz w:val="24"/>
              </w:rPr>
            </w:pPr>
            <w:r>
              <w:rPr>
                <w:rFonts w:cs="Arial" w:ascii="Arial" w:hAnsi="Arial"/>
                <w:sz w:val="24"/>
              </w:rPr>
              <w:t>During year one and two SoCalGas shall post quantity, term and price of all its storage transactions on a quarterly basis; commencing year three, and for the remaining term of the settlement, SoCalGas to post quantity and term (not price) of all its storage transactions on a quarterly basis.</w:t>
            </w:r>
          </w:p>
          <w:p>
            <w:pPr>
              <w:pStyle w:val="Normal"/>
              <w:numPr>
                <w:ilvl w:val="0"/>
                <w:numId w:val="2"/>
              </w:numPr>
              <w:rPr>
                <w:rFonts w:ascii="Arial" w:hAnsi="Arial" w:cs="Arial"/>
                <w:sz w:val="24"/>
              </w:rPr>
            </w:pPr>
            <w:r>
              <w:rPr>
                <w:rFonts w:cs="Arial" w:ascii="Arial" w:hAnsi="Arial"/>
                <w:sz w:val="24"/>
              </w:rPr>
              <w:t xml:space="preserve">During the term of the settlement SoGalGas has the option to divest 20% (or more) by inventory of storage capacity which, if exercised, would immediately produce the year three pricing flexibility described above. </w:t>
            </w:r>
          </w:p>
          <w:p>
            <w:pPr>
              <w:pStyle w:val="Normal"/>
              <w:numPr>
                <w:ilvl w:val="0"/>
                <w:numId w:val="2"/>
              </w:numPr>
              <w:rPr>
                <w:rFonts w:ascii="Arial" w:hAnsi="Arial" w:cs="Arial"/>
                <w:sz w:val="24"/>
              </w:rPr>
            </w:pPr>
            <w:r>
              <w:rPr>
                <w:rFonts w:cs="Arial" w:ascii="Arial" w:hAnsi="Arial"/>
                <w:sz w:val="24"/>
              </w:rPr>
              <w:t>SoCalGas will file an application for the sale of Montebello prior to June 1, 2000.</w:t>
            </w:r>
          </w:p>
          <w:p>
            <w:pPr>
              <w:pStyle w:val="Normal"/>
              <w:rPr>
                <w:rFonts w:ascii="Arial" w:hAnsi="Arial" w:cs="Arial"/>
                <w:sz w:val="24"/>
              </w:rPr>
            </w:pPr>
            <w:r>
              <w:rPr>
                <w:rFonts w:cs="Arial" w:ascii="Arial" w:hAnsi="Arial"/>
                <w:sz w:val="24"/>
              </w:rPr>
            </w:r>
          </w:p>
        </w:tc>
      </w:tr>
    </w:tbl>
    <w:p>
      <w:pPr>
        <w:pStyle w:val="Normal"/>
        <w:rPr>
          <w:rFonts w:ascii="Arial" w:hAnsi="Arial" w:cs="Arial"/>
          <w:sz w:val="24"/>
        </w:rPr>
      </w:pPr>
      <w:r>
        <w:rPr>
          <w:rFonts w:cs="Arial" w:ascii="Arial" w:hAnsi="Arial"/>
          <w:sz w:val="24"/>
        </w:rPr>
      </w:r>
    </w:p>
    <w:p>
      <w:pPr>
        <w:pStyle w:val="Normal"/>
        <w:jc w:val="center"/>
        <w:rPr/>
      </w:pPr>
      <w:r>
        <w:rPr>
          <w:rFonts w:cs="Arial" w:ascii="Arial" w:hAnsi="Arial"/>
          <w:i/>
          <w:sz w:val="36"/>
          <w:u w:val="single"/>
        </w:rPr>
        <w:t>Transmission</w:t>
        <w:br/>
      </w:r>
      <w:r>
        <w:rPr>
          <w:rFonts w:cs="Arial" w:ascii="Arial" w:hAnsi="Arial"/>
          <w:sz w:val="24"/>
        </w:rPr>
        <w:tab/>
        <w:t xml:space="preserve"> </w:t>
        <w:tab/>
        <w:tab/>
        <w:tab/>
        <w:tab/>
        <w:tab/>
        <w:tab/>
      </w:r>
    </w:p>
    <w:tbl>
      <w:tblPr>
        <w:tblW w:w="13068" w:type="dxa"/>
        <w:jc w:val="start"/>
        <w:tblInd w:w="0" w:type="dxa"/>
        <w:tblLayout w:type="fixed"/>
        <w:tblCellMar>
          <w:top w:w="0" w:type="dxa"/>
          <w:start w:w="108" w:type="dxa"/>
          <w:bottom w:w="0" w:type="dxa"/>
          <w:end w:w="108" w:type="dxa"/>
        </w:tblCellMar>
      </w:tblPr>
      <w:tblGrid>
        <w:gridCol w:w="13068"/>
      </w:tblGrid>
      <w:tr>
        <w:trPr>
          <w:trHeight w:val="65" w:hRule="atLeast"/>
        </w:trPr>
        <w:tc>
          <w:tcPr>
            <w:tcW w:w="13068" w:type="dxa"/>
            <w:tcBorders>
              <w:top w:val="single" w:sz="6" w:space="0" w:color="000000"/>
              <w:start w:val="single" w:sz="6" w:space="0" w:color="000000"/>
              <w:bottom w:val="single" w:sz="6" w:space="0" w:color="000000"/>
              <w:end w:val="single" w:sz="6" w:space="0" w:color="000000"/>
            </w:tcBorders>
          </w:tcPr>
          <w:p>
            <w:pPr>
              <w:pStyle w:val="Normal"/>
              <w:rPr/>
            </w:pPr>
            <w:r>
              <w:rPr>
                <w:rFonts w:eastAsia="Arial" w:cs="Arial" w:ascii="Arial" w:hAnsi="Arial"/>
                <w:sz w:val="24"/>
              </w:rPr>
              <w:t xml:space="preserve">      </w:t>
            </w:r>
            <w:r>
              <w:rPr>
                <w:rFonts w:cs="Arial" w:ascii="Arial" w:hAnsi="Arial"/>
                <w:sz w:val="24"/>
                <w:u w:val="single"/>
              </w:rPr>
              <w:t>Rates</w:t>
            </w:r>
          </w:p>
          <w:p>
            <w:pPr>
              <w:pStyle w:val="Normal"/>
              <w:numPr>
                <w:ilvl w:val="0"/>
                <w:numId w:val="11"/>
              </w:numPr>
              <w:rPr>
                <w:rFonts w:ascii="Arial" w:hAnsi="Arial" w:cs="Arial"/>
                <w:sz w:val="24"/>
              </w:rPr>
            </w:pPr>
            <w:r>
              <w:rPr>
                <w:rFonts w:cs="Arial" w:ascii="Arial" w:hAnsi="Arial"/>
                <w:sz w:val="24"/>
              </w:rPr>
              <w:t>Unbundle Embedded Cost of  All Intrastate Transmission</w:t>
            </w:r>
          </w:p>
          <w:p>
            <w:pPr>
              <w:pStyle w:val="WW-BodyText2"/>
              <w:numPr>
                <w:ilvl w:val="0"/>
                <w:numId w:val="7"/>
              </w:numPr>
              <w:rPr/>
            </w:pPr>
            <w:r>
              <w:rPr/>
              <w:t>Total embedded cost of intrastate transmission shall be $139.4 million.</w:t>
            </w:r>
          </w:p>
          <w:p>
            <w:pPr>
              <w:pStyle w:val="WW-BodyText2"/>
              <w:numPr>
                <w:ilvl w:val="0"/>
                <w:numId w:val="7"/>
              </w:numPr>
              <w:rPr/>
            </w:pPr>
            <w:r>
              <w:rPr/>
              <w:t>Backbone Transmission unbundled at an embedded cost of $73.7 million</w:t>
            </w:r>
            <w:r>
              <w:rPr>
                <w:b/>
                <w:i/>
              </w:rPr>
              <w:t xml:space="preserve"> </w:t>
            </w:r>
            <w:r>
              <w:rPr/>
              <w:t xml:space="preserve">and contracted for separately from Local Transmission. </w:t>
            </w:r>
          </w:p>
          <w:p>
            <w:pPr>
              <w:pStyle w:val="BodyTextIndent"/>
              <w:numPr>
                <w:ilvl w:val="0"/>
                <w:numId w:val="7"/>
              </w:numPr>
              <w:rPr>
                <w:b w:val="false"/>
              </w:rPr>
            </w:pPr>
            <w:r>
              <w:rPr>
                <w:b w:val="false"/>
              </w:rPr>
              <w:t xml:space="preserve">The Backbone Transmission embedded cost first escalates in January 2001 based on the current PBR formula (i.e. inflation less productivity plus meter growth) and escalates in January of subsequent years for the term of the Settlement based on the PBR formula then in place. </w:t>
            </w:r>
          </w:p>
          <w:p>
            <w:pPr>
              <w:pStyle w:val="BodyTextIndent"/>
              <w:numPr>
                <w:ilvl w:val="0"/>
                <w:numId w:val="7"/>
              </w:numPr>
              <w:rPr>
                <w:b w:val="false"/>
              </w:rPr>
            </w:pPr>
            <w:r>
              <w:rPr>
                <w:b w:val="false"/>
              </w:rPr>
              <w:t xml:space="preserve">Backbone Transmission will be set at a postage stamp rate of 7.4 cents/dth (subject to year 2001 and subsequent escalation) based on the 1999 BCAP load factor and utilizing an SFV rate methodology.  Customers will also have an option to bid a 7.8 cent/dth rate with a 50/50 demand/commodity rate component. Both open season bid options will have equal priority. </w:t>
            </w:r>
          </w:p>
          <w:p>
            <w:pPr>
              <w:pStyle w:val="WW-BodyText2"/>
              <w:numPr>
                <w:ilvl w:val="0"/>
                <w:numId w:val="7"/>
              </w:numPr>
              <w:rPr/>
            </w:pPr>
            <w:r>
              <w:rPr/>
              <w:t>Local Transmission unbundled at an embedded cost of $65.7 million, which first escalates in January 2001 based on the current PBR formula (i.e. inflation less productivity plus meter growth) and escalates in January of subsequent years based on the PBR formula then in place.  Local Transmission rate &amp; risk established in subsequent BCAPs. For the period prior to SoCalGas next BCAP the revenue requirement (or base margin amount) associated with Local Transmission and distribution will be allocated between core and noncore based on cold year throughput. Initially, the core amount will be given balancing account treatment and the noncore amount will be subject to 75/25 balancing account.</w:t>
            </w:r>
          </w:p>
          <w:p>
            <w:pPr>
              <w:pStyle w:val="WW-BodyText2"/>
              <w:numPr>
                <w:ilvl w:val="0"/>
                <w:numId w:val="7"/>
              </w:numPr>
              <w:rPr/>
            </w:pPr>
            <w:r>
              <w:rPr/>
              <w:t>All on-system customers will be charged Local Transmission rates.</w:t>
            </w:r>
          </w:p>
          <w:p>
            <w:pPr>
              <w:pStyle w:val="WW-BodyText2"/>
              <w:ind w:start="360" w:end="0"/>
              <w:rPr/>
            </w:pPr>
            <w:r>
              <w:rPr/>
            </w:r>
          </w:p>
          <w:p>
            <w:pPr>
              <w:pStyle w:val="Normal"/>
              <w:rPr/>
            </w:pPr>
            <w:r>
              <w:rPr>
                <w:rFonts w:eastAsia="Arial" w:cs="Arial" w:ascii="Arial" w:hAnsi="Arial"/>
                <w:sz w:val="24"/>
              </w:rPr>
              <w:t xml:space="preserve">      </w:t>
            </w:r>
            <w:r>
              <w:rPr>
                <w:rFonts w:cs="Arial" w:ascii="Arial" w:hAnsi="Arial"/>
                <w:sz w:val="24"/>
                <w:u w:val="single"/>
              </w:rPr>
              <w:t>Capacity Issues</w:t>
            </w:r>
          </w:p>
          <w:p>
            <w:pPr>
              <w:pStyle w:val="Normal"/>
              <w:numPr>
                <w:ilvl w:val="0"/>
                <w:numId w:val="11"/>
              </w:numPr>
              <w:rPr>
                <w:rFonts w:ascii="Arial" w:hAnsi="Arial" w:cs="Arial"/>
                <w:sz w:val="24"/>
              </w:rPr>
            </w:pPr>
            <w:r>
              <w:rPr>
                <w:rFonts w:cs="Arial" w:ascii="Arial" w:hAnsi="Arial"/>
                <w:sz w:val="24"/>
              </w:rPr>
              <w:t>Each transmission receipt point shall have designated primary and secondary rights, with maximum volumes for the primary points as described in Appendix A.</w:t>
            </w:r>
          </w:p>
          <w:p>
            <w:pPr>
              <w:pStyle w:val="Normal"/>
              <w:numPr>
                <w:ilvl w:val="0"/>
                <w:numId w:val="7"/>
              </w:numPr>
              <w:rPr/>
            </w:pPr>
            <w:r>
              <w:rPr>
                <w:rFonts w:cs="Arial" w:ascii="Arial" w:hAnsi="Arial"/>
                <w:sz w:val="24"/>
              </w:rPr>
              <w:t xml:space="preserve">Initial retail core receipt point reservations is 1000 MMcfd consisting of 300 MMcfd at North Needles on Transwestern, 290 MMcfd at Topock on El Paso, 340 MMcfd at Blythe on El Paso and 70 MMcfd on Coastal.  SoCalGas’ core procurement department will have the ability to reduce these capacity reservations on an annual basis when CAT volumes exceed 10% by volume of total core throughput.  SoCalGas’ core procurement department may reduce its reservation by the proportionate amount that CAT volumes exceed 10% of total core throughput  (for example, if total CAT volumes are 15%, then core procurement has the option to reduce its annual reservation by up to 5%). </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Heading9"/>
              <w:ind w:hanging="0" w:start="0"/>
              <w:rPr/>
            </w:pPr>
            <w:r>
              <w:rPr/>
              <w:t>Transmission Con’t.</w:t>
            </w:r>
          </w:p>
          <w:p>
            <w:pPr>
              <w:pStyle w:val="Normal"/>
              <w:rPr>
                <w:rFonts w:ascii="Arial" w:hAnsi="Arial" w:cs="Arial"/>
                <w:sz w:val="24"/>
              </w:rPr>
            </w:pPr>
            <w:r>
              <w:rPr>
                <w:rFonts w:cs="Arial" w:ascii="Arial" w:hAnsi="Arial"/>
                <w:sz w:val="24"/>
              </w:rPr>
            </w:r>
          </w:p>
          <w:p>
            <w:pPr>
              <w:pStyle w:val="Normal"/>
              <w:rPr>
                <w:rFonts w:ascii="Arial" w:hAnsi="Arial" w:eastAsia="Arial" w:cs="Arial"/>
                <w:sz w:val="24"/>
              </w:rPr>
            </w:pPr>
            <w:r>
              <w:rPr>
                <w:rFonts w:eastAsia="Arial" w:cs="Arial" w:ascii="Arial" w:hAnsi="Arial"/>
                <w:sz w:val="24"/>
              </w:rPr>
              <w:t xml:space="preserve"> </w:t>
            </w:r>
          </w:p>
          <w:p>
            <w:pPr>
              <w:pStyle w:val="Normal"/>
              <w:numPr>
                <w:ilvl w:val="0"/>
                <w:numId w:val="7"/>
              </w:numPr>
              <w:rPr/>
            </w:pPr>
            <w:r>
              <w:rPr>
                <w:rFonts w:cs="Arial" w:ascii="Arial" w:hAnsi="Arial"/>
                <w:sz w:val="24"/>
              </w:rPr>
              <w:t xml:space="preserve">SoCalGas’ core procurement department will meet with ORA and TURN to discuss changes to the annual reservation.  SoCalGas’ core procurement department can purchase incremental capacity in the secondary market consistent with other marketers or customers, but will not participate directly in the initial or subsequent annual open seasons. </w:t>
            </w:r>
          </w:p>
          <w:p>
            <w:pPr>
              <w:pStyle w:val="Normal"/>
              <w:numPr>
                <w:ilvl w:val="0"/>
                <w:numId w:val="7"/>
              </w:numPr>
              <w:rPr/>
            </w:pPr>
            <w:r>
              <w:rPr>
                <w:rFonts w:cs="Arial" w:ascii="Arial" w:hAnsi="Arial"/>
                <w:sz w:val="24"/>
              </w:rPr>
              <w:t xml:space="preserve">SoCalGas’ core procurement department may release excess capacity in the secondary market. </w:t>
            </w:r>
          </w:p>
          <w:p>
            <w:pPr>
              <w:pStyle w:val="Normal"/>
              <w:numPr>
                <w:ilvl w:val="0"/>
                <w:numId w:val="11"/>
              </w:numPr>
              <w:tabs>
                <w:tab w:val="clear" w:pos="720"/>
                <w:tab w:val="left" w:pos="360" w:leader="none"/>
              </w:tabs>
              <w:rPr>
                <w:rFonts w:ascii="Arial" w:hAnsi="Arial" w:cs="Arial"/>
                <w:sz w:val="24"/>
              </w:rPr>
            </w:pPr>
            <w:r>
              <w:rPr>
                <w:rFonts w:cs="Arial" w:ascii="Arial" w:hAnsi="Arial"/>
                <w:sz w:val="24"/>
              </w:rPr>
              <w:t>CAT and Wholesale Customers have option to match upstream interstate commitments of the retail core procurement department for their core load.</w:t>
            </w:r>
          </w:p>
          <w:p>
            <w:pPr>
              <w:pStyle w:val="Normal"/>
              <w:numPr>
                <w:ilvl w:val="0"/>
                <w:numId w:val="0"/>
              </w:numPr>
              <w:ind w:hanging="0" w:start="360" w:end="0"/>
              <w:rPr>
                <w:rFonts w:ascii="Arial" w:hAnsi="Arial" w:cs="Arial"/>
                <w:sz w:val="24"/>
              </w:rPr>
            </w:pPr>
            <w:r>
              <w:rPr>
                <w:rFonts w:cs="Arial" w:ascii="Arial" w:hAnsi="Arial"/>
                <w:sz w:val="24"/>
              </w:rPr>
              <w:t>-     CAT are treated the same as non-core shippers for pooling.</w:t>
            </w:r>
          </w:p>
          <w:p>
            <w:pPr>
              <w:pStyle w:val="Normal"/>
              <w:numPr>
                <w:ilvl w:val="0"/>
                <w:numId w:val="11"/>
              </w:numPr>
              <w:tabs>
                <w:tab w:val="clear" w:pos="720"/>
                <w:tab w:val="left" w:pos="360" w:leader="none"/>
              </w:tabs>
              <w:rPr>
                <w:rFonts w:ascii="Arial" w:hAnsi="Arial" w:cs="Arial"/>
                <w:sz w:val="24"/>
              </w:rPr>
            </w:pPr>
            <w:r>
              <w:rPr>
                <w:rFonts w:cs="Arial" w:ascii="Arial" w:hAnsi="Arial"/>
                <w:sz w:val="24"/>
              </w:rPr>
              <w:t>Backbone transmission capacity shall be allocated through a three-stage open season.</w:t>
            </w:r>
          </w:p>
          <w:p>
            <w:pPr>
              <w:pStyle w:val="Normal"/>
              <w:numPr>
                <w:ilvl w:val="0"/>
                <w:numId w:val="7"/>
              </w:numPr>
              <w:rPr>
                <w:rFonts w:ascii="Arial" w:hAnsi="Arial" w:cs="Arial"/>
                <w:sz w:val="24"/>
              </w:rPr>
            </w:pPr>
            <w:r>
              <w:rPr>
                <w:rFonts w:cs="Arial" w:ascii="Arial" w:hAnsi="Arial"/>
                <w:sz w:val="24"/>
              </w:rPr>
              <w:t xml:space="preserve">In the First Stage Open Season, only existing customers are eligible to bid for capacity, although they may assign  </w:t>
            </w:r>
          </w:p>
          <w:p>
            <w:pPr>
              <w:pStyle w:val="Normal"/>
              <w:tabs>
                <w:tab w:val="left" w:pos="720" w:leader="none"/>
              </w:tabs>
              <w:ind w:start="330" w:end="0"/>
              <w:rPr>
                <w:rFonts w:ascii="Arial" w:hAnsi="Arial" w:cs="Arial"/>
                <w:sz w:val="24"/>
              </w:rPr>
            </w:pPr>
            <w:r>
              <w:rPr>
                <w:rFonts w:eastAsia="Arial" w:cs="Arial" w:ascii="Arial" w:hAnsi="Arial"/>
                <w:sz w:val="24"/>
              </w:rPr>
              <w:t xml:space="preserve">      </w:t>
            </w:r>
            <w:r>
              <w:rPr>
                <w:rFonts w:cs="Arial" w:ascii="Arial" w:hAnsi="Arial"/>
                <w:sz w:val="24"/>
              </w:rPr>
              <w:t xml:space="preserve">their rights to a marketer or authorized agent.  Existing customers may bid to contract for up to 100% of their   </w:t>
            </w:r>
          </w:p>
          <w:p>
            <w:pPr>
              <w:pStyle w:val="Normal"/>
              <w:tabs>
                <w:tab w:val="left" w:pos="720" w:leader="none"/>
              </w:tabs>
              <w:ind w:start="330" w:end="0"/>
              <w:rPr>
                <w:rFonts w:ascii="Arial" w:hAnsi="Arial" w:cs="Arial"/>
                <w:sz w:val="24"/>
              </w:rPr>
            </w:pPr>
            <w:r>
              <w:rPr>
                <w:rFonts w:eastAsia="Arial" w:cs="Arial" w:ascii="Arial" w:hAnsi="Arial"/>
                <w:sz w:val="24"/>
              </w:rPr>
              <w:t xml:space="preserve">      </w:t>
            </w:r>
            <w:r>
              <w:rPr>
                <w:rFonts w:cs="Arial" w:ascii="Arial" w:hAnsi="Arial"/>
                <w:sz w:val="24"/>
              </w:rPr>
              <w:t xml:space="preserve">existing historical usage, and may bid to acquire such capacity at any receipt point or combination of receipt </w:t>
            </w:r>
          </w:p>
          <w:p>
            <w:pPr>
              <w:pStyle w:val="Normal"/>
              <w:tabs>
                <w:tab w:val="left" w:pos="720" w:leader="none"/>
              </w:tabs>
              <w:ind w:start="330" w:end="0"/>
              <w:rPr>
                <w:rFonts w:ascii="Arial" w:hAnsi="Arial" w:cs="Arial"/>
                <w:sz w:val="24"/>
              </w:rPr>
            </w:pPr>
            <w:r>
              <w:rPr>
                <w:rFonts w:eastAsia="Arial" w:cs="Arial" w:ascii="Arial" w:hAnsi="Arial"/>
                <w:sz w:val="24"/>
              </w:rPr>
              <w:t xml:space="preserve">      </w:t>
            </w:r>
            <w:r>
              <w:rPr>
                <w:rFonts w:cs="Arial" w:ascii="Arial" w:hAnsi="Arial"/>
                <w:sz w:val="24"/>
              </w:rPr>
              <w:t xml:space="preserve">points.  The customer’s maximum bidding rights shall be determined by a formula that attempts to fairly balance </w:t>
            </w:r>
          </w:p>
          <w:p>
            <w:pPr>
              <w:pStyle w:val="Normal"/>
              <w:tabs>
                <w:tab w:val="left" w:pos="720" w:leader="none"/>
              </w:tabs>
              <w:ind w:start="330" w:end="0"/>
              <w:rPr>
                <w:rFonts w:ascii="Arial" w:hAnsi="Arial" w:cs="Arial"/>
                <w:sz w:val="24"/>
              </w:rPr>
            </w:pPr>
            <w:r>
              <w:rPr>
                <w:rFonts w:eastAsia="Arial" w:cs="Arial" w:ascii="Arial" w:hAnsi="Arial"/>
                <w:sz w:val="24"/>
              </w:rPr>
              <w:t xml:space="preserve">      </w:t>
            </w:r>
            <w:r>
              <w:rPr>
                <w:rFonts w:cs="Arial" w:ascii="Arial" w:hAnsi="Arial"/>
                <w:sz w:val="24"/>
              </w:rPr>
              <w:t xml:space="preserve">seasonal and annual usage (with seasonal purchases at 120% of firm rate, as per PG&amp;E).  No more than 50% of         </w:t>
            </w:r>
          </w:p>
          <w:p>
            <w:pPr>
              <w:pStyle w:val="Normal"/>
              <w:tabs>
                <w:tab w:val="left" w:pos="720" w:leader="none"/>
              </w:tabs>
              <w:ind w:start="330" w:end="0"/>
              <w:rPr>
                <w:rFonts w:ascii="Arial" w:hAnsi="Arial" w:cs="Arial"/>
                <w:sz w:val="24"/>
              </w:rPr>
            </w:pPr>
            <w:r>
              <w:rPr>
                <w:rFonts w:eastAsia="Arial" w:cs="Arial" w:ascii="Arial" w:hAnsi="Arial"/>
                <w:sz w:val="24"/>
              </w:rPr>
              <w:t xml:space="preserve">      </w:t>
            </w:r>
            <w:r>
              <w:rPr>
                <w:rFonts w:cs="Arial" w:ascii="Arial" w:hAnsi="Arial"/>
                <w:sz w:val="24"/>
              </w:rPr>
              <w:t xml:space="preserve">the capacity available at any given receipt point after the retail core capacity reservation has been subtracted  </w:t>
            </w:r>
          </w:p>
          <w:p>
            <w:pPr>
              <w:pStyle w:val="Normal"/>
              <w:tabs>
                <w:tab w:val="left" w:pos="720" w:leader="none"/>
              </w:tabs>
              <w:ind w:start="330" w:end="0"/>
              <w:rPr>
                <w:rFonts w:ascii="Arial" w:hAnsi="Arial" w:cs="Arial"/>
                <w:sz w:val="24"/>
              </w:rPr>
            </w:pPr>
            <w:r>
              <w:rPr>
                <w:rFonts w:eastAsia="Arial" w:cs="Arial" w:ascii="Arial" w:hAnsi="Arial"/>
                <w:sz w:val="24"/>
              </w:rPr>
              <w:t xml:space="preserve">      </w:t>
            </w:r>
            <w:r>
              <w:rPr>
                <w:rFonts w:cs="Arial" w:ascii="Arial" w:hAnsi="Arial"/>
                <w:sz w:val="24"/>
              </w:rPr>
              <w:t xml:space="preserve">may be contracted by the first stage open season.  If more bids of equal term are received at any such receipt   </w:t>
            </w:r>
          </w:p>
          <w:p>
            <w:pPr>
              <w:pStyle w:val="Normal"/>
              <w:tabs>
                <w:tab w:val="left" w:pos="720" w:leader="none"/>
              </w:tabs>
              <w:ind w:start="330" w:end="0"/>
              <w:rPr>
                <w:rFonts w:ascii="Arial" w:hAnsi="Arial" w:cs="Arial"/>
                <w:sz w:val="24"/>
              </w:rPr>
            </w:pPr>
            <w:r>
              <w:rPr>
                <w:rFonts w:eastAsia="Arial" w:cs="Arial" w:ascii="Arial" w:hAnsi="Arial"/>
                <w:sz w:val="24"/>
              </w:rPr>
              <w:t xml:space="preserve">      </w:t>
            </w:r>
            <w:r>
              <w:rPr>
                <w:rFonts w:cs="Arial" w:ascii="Arial" w:hAnsi="Arial"/>
                <w:sz w:val="24"/>
              </w:rPr>
              <w:t xml:space="preserve">point than is available under the 50% limitation, the capacity shall be awarded to all such bidders on a pro-rata </w:t>
            </w:r>
          </w:p>
          <w:p>
            <w:pPr>
              <w:pStyle w:val="Normal"/>
              <w:tabs>
                <w:tab w:val="left" w:pos="720" w:leader="none"/>
              </w:tabs>
              <w:ind w:start="330" w:end="0"/>
              <w:rPr>
                <w:rFonts w:ascii="Arial" w:hAnsi="Arial" w:cs="Arial"/>
                <w:sz w:val="24"/>
              </w:rPr>
            </w:pPr>
            <w:r>
              <w:rPr>
                <w:rFonts w:eastAsia="Arial" w:cs="Arial" w:ascii="Arial" w:hAnsi="Arial"/>
                <w:sz w:val="24"/>
              </w:rPr>
              <w:t xml:space="preserve">      </w:t>
            </w:r>
            <w:r>
              <w:rPr>
                <w:rFonts w:cs="Arial" w:ascii="Arial" w:hAnsi="Arial"/>
                <w:sz w:val="24"/>
              </w:rPr>
              <w:t xml:space="preserve">basis.  </w:t>
            </w:r>
          </w:p>
          <w:p>
            <w:pPr>
              <w:pStyle w:val="Normal"/>
              <w:numPr>
                <w:ilvl w:val="0"/>
                <w:numId w:val="7"/>
              </w:numPr>
              <w:rPr>
                <w:rFonts w:ascii="Arial" w:hAnsi="Arial" w:cs="Arial"/>
                <w:sz w:val="24"/>
              </w:rPr>
            </w:pPr>
            <w:r>
              <w:rPr>
                <w:rFonts w:cs="Arial" w:ascii="Arial" w:hAnsi="Arial"/>
                <w:sz w:val="24"/>
              </w:rPr>
              <w:t xml:space="preserve">Any existing customer which has not contracted for sufficient capacity at the end of the First Stage Open Season  </w:t>
            </w:r>
          </w:p>
          <w:p>
            <w:pPr>
              <w:pStyle w:val="Normal"/>
              <w:tabs>
                <w:tab w:val="left" w:pos="720" w:leader="none"/>
              </w:tabs>
              <w:ind w:start="330" w:end="0"/>
              <w:rPr>
                <w:rFonts w:ascii="Arial" w:hAnsi="Arial" w:cs="Arial"/>
                <w:sz w:val="24"/>
              </w:rPr>
            </w:pPr>
            <w:r>
              <w:rPr>
                <w:rFonts w:eastAsia="Arial" w:cs="Arial" w:ascii="Arial" w:hAnsi="Arial"/>
                <w:sz w:val="24"/>
              </w:rPr>
              <w:t xml:space="preserve">      </w:t>
            </w:r>
            <w:r>
              <w:rPr>
                <w:rFonts w:cs="Arial" w:ascii="Arial" w:hAnsi="Arial"/>
                <w:sz w:val="24"/>
              </w:rPr>
              <w:t xml:space="preserve">may bid for additional capacity in a Second Stage Open Season for any capacity which remains at any receipt </w:t>
            </w:r>
          </w:p>
          <w:p>
            <w:pPr>
              <w:pStyle w:val="Normal"/>
              <w:tabs>
                <w:tab w:val="left" w:pos="720" w:leader="none"/>
              </w:tabs>
              <w:ind w:start="330" w:end="0"/>
              <w:rPr>
                <w:rFonts w:ascii="Arial" w:hAnsi="Arial" w:cs="Arial"/>
                <w:sz w:val="24"/>
              </w:rPr>
            </w:pPr>
            <w:r>
              <w:rPr>
                <w:rFonts w:eastAsia="Arial" w:cs="Arial" w:ascii="Arial" w:hAnsi="Arial"/>
                <w:sz w:val="24"/>
              </w:rPr>
              <w:t xml:space="preserve">      </w:t>
            </w:r>
            <w:r>
              <w:rPr>
                <w:rFonts w:cs="Arial" w:ascii="Arial" w:hAnsi="Arial"/>
                <w:sz w:val="24"/>
              </w:rPr>
              <w:t>point under the 50% limitation.  Once again, oversubscription shall be resolved by pro-rata allocation.</w:t>
            </w:r>
          </w:p>
          <w:p>
            <w:pPr>
              <w:pStyle w:val="Normal"/>
              <w:tabs>
                <w:tab w:val="left" w:pos="720" w:leader="none"/>
              </w:tabs>
              <w:ind w:start="330" w:end="0"/>
              <w:rPr>
                <w:rFonts w:ascii="Arial" w:hAnsi="Arial" w:cs="Arial"/>
                <w:sz w:val="24"/>
              </w:rPr>
            </w:pPr>
            <w:r>
              <w:rPr>
                <w:rFonts w:cs="Arial" w:ascii="Arial" w:hAnsi="Arial"/>
                <w:sz w:val="24"/>
              </w:rPr>
            </w:r>
          </w:p>
          <w:p>
            <w:pPr>
              <w:pStyle w:val="Normal"/>
              <w:tabs>
                <w:tab w:val="left" w:pos="720" w:leader="none"/>
              </w:tabs>
              <w:ind w:start="330" w:end="0"/>
              <w:rPr>
                <w:rFonts w:ascii="Arial" w:hAnsi="Arial" w:cs="Arial"/>
                <w:sz w:val="24"/>
              </w:rPr>
            </w:pPr>
            <w:r>
              <w:rPr>
                <w:rFonts w:cs="Arial" w:ascii="Arial" w:hAnsi="Arial"/>
                <w:sz w:val="24"/>
              </w:rPr>
            </w:r>
          </w:p>
          <w:p>
            <w:pPr>
              <w:pStyle w:val="Normal"/>
              <w:tabs>
                <w:tab w:val="left" w:pos="720" w:leader="none"/>
              </w:tabs>
              <w:ind w:start="330" w:end="0"/>
              <w:rPr>
                <w:rFonts w:ascii="Arial" w:hAnsi="Arial" w:cs="Arial"/>
                <w:sz w:val="24"/>
              </w:rPr>
            </w:pPr>
            <w:r>
              <w:rPr>
                <w:rFonts w:cs="Arial" w:ascii="Arial" w:hAnsi="Arial"/>
                <w:sz w:val="24"/>
              </w:rPr>
            </w:r>
          </w:p>
          <w:p>
            <w:pPr>
              <w:pStyle w:val="Normal"/>
              <w:tabs>
                <w:tab w:val="left" w:pos="720" w:leader="none"/>
              </w:tabs>
              <w:ind w:start="330" w:end="0"/>
              <w:rPr>
                <w:rFonts w:ascii="Arial" w:hAnsi="Arial" w:cs="Arial"/>
                <w:sz w:val="24"/>
              </w:rPr>
            </w:pPr>
            <w:r>
              <w:rPr>
                <w:rFonts w:cs="Arial" w:ascii="Arial" w:hAnsi="Arial"/>
                <w:sz w:val="24"/>
              </w:rPr>
            </w:r>
          </w:p>
          <w:p>
            <w:pPr>
              <w:pStyle w:val="Normal"/>
              <w:tabs>
                <w:tab w:val="left" w:pos="720" w:leader="none"/>
              </w:tabs>
              <w:ind w:start="330" w:end="0"/>
              <w:rPr>
                <w:rFonts w:ascii="Arial" w:hAnsi="Arial" w:cs="Arial"/>
                <w:sz w:val="24"/>
              </w:rPr>
            </w:pPr>
            <w:r>
              <w:rPr>
                <w:rFonts w:cs="Arial" w:ascii="Arial" w:hAnsi="Arial"/>
                <w:sz w:val="24"/>
              </w:rPr>
            </w:r>
          </w:p>
          <w:p>
            <w:pPr>
              <w:pStyle w:val="Normal"/>
              <w:tabs>
                <w:tab w:val="left" w:pos="720" w:leader="none"/>
              </w:tabs>
              <w:ind w:start="330" w:end="0"/>
              <w:rPr>
                <w:rFonts w:ascii="Arial" w:hAnsi="Arial" w:cs="Arial"/>
                <w:sz w:val="24"/>
              </w:rPr>
            </w:pPr>
            <w:r>
              <w:rPr>
                <w:rFonts w:cs="Arial" w:ascii="Arial" w:hAnsi="Arial"/>
                <w:sz w:val="24"/>
              </w:rPr>
            </w:r>
          </w:p>
          <w:p>
            <w:pPr>
              <w:pStyle w:val="Normal"/>
              <w:tabs>
                <w:tab w:val="left" w:pos="720" w:leader="none"/>
              </w:tabs>
              <w:rPr>
                <w:rFonts w:ascii="Arial" w:hAnsi="Arial" w:cs="Arial"/>
                <w:sz w:val="24"/>
              </w:rPr>
            </w:pPr>
            <w:r>
              <w:rPr>
                <w:rFonts w:cs="Arial" w:ascii="Arial" w:hAnsi="Arial"/>
                <w:sz w:val="24"/>
              </w:rPr>
            </w:r>
          </w:p>
          <w:p>
            <w:pPr>
              <w:pStyle w:val="Normal"/>
              <w:tabs>
                <w:tab w:val="left" w:pos="720" w:leader="none"/>
              </w:tabs>
              <w:rPr>
                <w:rFonts w:ascii="Arial" w:hAnsi="Arial" w:cs="Arial"/>
                <w:sz w:val="24"/>
              </w:rPr>
            </w:pPr>
            <w:r>
              <w:rPr>
                <w:rFonts w:cs="Arial" w:ascii="Arial" w:hAnsi="Arial"/>
                <w:sz w:val="24"/>
              </w:rPr>
            </w:r>
          </w:p>
          <w:p>
            <w:pPr>
              <w:pStyle w:val="Normal"/>
              <w:tabs>
                <w:tab w:val="left" w:pos="720" w:leader="none"/>
              </w:tabs>
              <w:ind w:start="330" w:end="0"/>
              <w:jc w:val="center"/>
              <w:rPr>
                <w:rFonts w:ascii="Arial" w:hAnsi="Arial" w:cs="Arial"/>
                <w:i/>
                <w:i/>
                <w:sz w:val="36"/>
                <w:u w:val="single"/>
              </w:rPr>
            </w:pPr>
            <w:r>
              <w:rPr>
                <w:rFonts w:cs="Arial" w:ascii="Arial" w:hAnsi="Arial"/>
                <w:i/>
                <w:sz w:val="36"/>
                <w:u w:val="single"/>
              </w:rPr>
            </w:r>
          </w:p>
          <w:p>
            <w:pPr>
              <w:pStyle w:val="Normal"/>
              <w:tabs>
                <w:tab w:val="left" w:pos="720" w:leader="none"/>
              </w:tabs>
              <w:ind w:start="330" w:end="0"/>
              <w:jc w:val="center"/>
              <w:rPr>
                <w:rFonts w:ascii="Arial" w:hAnsi="Arial" w:cs="Arial"/>
                <w:sz w:val="24"/>
              </w:rPr>
            </w:pPr>
            <w:r>
              <w:rPr>
                <w:rFonts w:cs="Arial" w:ascii="Arial" w:hAnsi="Arial"/>
                <w:i/>
                <w:sz w:val="36"/>
                <w:u w:val="single"/>
              </w:rPr>
              <w:t>Transmission Con’t.</w:t>
            </w:r>
          </w:p>
          <w:p>
            <w:pPr>
              <w:pStyle w:val="Normal"/>
              <w:tabs>
                <w:tab w:val="left" w:pos="720" w:leader="none"/>
              </w:tabs>
              <w:ind w:start="330" w:end="0"/>
              <w:rPr>
                <w:rFonts w:ascii="Arial" w:hAnsi="Arial" w:cs="Arial"/>
                <w:sz w:val="24"/>
              </w:rPr>
            </w:pPr>
            <w:r>
              <w:rPr>
                <w:rFonts w:cs="Arial" w:ascii="Arial" w:hAnsi="Arial"/>
                <w:sz w:val="24"/>
              </w:rPr>
            </w:r>
          </w:p>
          <w:p>
            <w:pPr>
              <w:pStyle w:val="Normal"/>
              <w:numPr>
                <w:ilvl w:val="0"/>
                <w:numId w:val="7"/>
              </w:numPr>
              <w:rPr>
                <w:rFonts w:ascii="Arial" w:hAnsi="Arial" w:cs="Arial"/>
                <w:sz w:val="24"/>
              </w:rPr>
            </w:pPr>
            <w:r>
              <w:rPr>
                <w:rFonts w:cs="Arial" w:ascii="Arial" w:hAnsi="Arial"/>
                <w:sz w:val="24"/>
              </w:rPr>
              <w:t xml:space="preserve">All capacity at any receipt point not subscribed in the First and Second Stage Open Seasons shall be available for bidding in the Third Stage Open Season, in which all parties are eligible to bid, and may bid for capacity at any receipt point.  If more bids of equal term are received at any such receipt point than is available, the capacity </w:t>
            </w:r>
          </w:p>
          <w:p>
            <w:pPr>
              <w:pStyle w:val="Normal"/>
              <w:tabs>
                <w:tab w:val="left" w:pos="720" w:leader="none"/>
              </w:tabs>
              <w:ind w:start="330" w:end="0"/>
              <w:rPr>
                <w:rFonts w:ascii="Arial" w:hAnsi="Arial" w:cs="Arial"/>
                <w:sz w:val="24"/>
              </w:rPr>
            </w:pPr>
            <w:r>
              <w:rPr>
                <w:rFonts w:eastAsia="Arial" w:cs="Arial" w:ascii="Arial" w:hAnsi="Arial"/>
                <w:sz w:val="24"/>
              </w:rPr>
              <w:t xml:space="preserve">      </w:t>
            </w:r>
            <w:r>
              <w:rPr>
                <w:rFonts w:cs="Arial" w:ascii="Arial" w:hAnsi="Arial"/>
                <w:sz w:val="24"/>
              </w:rPr>
              <w:t xml:space="preserve">shall be awarded to all such bidders on a pro-rata basis.  A minimum of 20% of the capacity available in the Third </w:t>
            </w:r>
          </w:p>
          <w:p>
            <w:pPr>
              <w:pStyle w:val="Normal"/>
              <w:tabs>
                <w:tab w:val="left" w:pos="720" w:leader="none"/>
              </w:tabs>
              <w:ind w:start="330" w:end="0"/>
              <w:rPr>
                <w:rFonts w:ascii="Arial" w:hAnsi="Arial" w:cs="Arial"/>
                <w:sz w:val="24"/>
              </w:rPr>
            </w:pPr>
            <w:r>
              <w:rPr>
                <w:rFonts w:eastAsia="Arial" w:cs="Arial" w:ascii="Arial" w:hAnsi="Arial"/>
                <w:sz w:val="24"/>
              </w:rPr>
              <w:t xml:space="preserve">      </w:t>
            </w:r>
            <w:r>
              <w:rPr>
                <w:rFonts w:cs="Arial" w:ascii="Arial" w:hAnsi="Arial"/>
                <w:sz w:val="24"/>
              </w:rPr>
              <w:t xml:space="preserve">Stage Open Season may not be contracted for a term greater than one year.  Successive open seasons shall be </w:t>
            </w:r>
          </w:p>
          <w:p>
            <w:pPr>
              <w:pStyle w:val="Normal"/>
              <w:tabs>
                <w:tab w:val="left" w:pos="720" w:leader="none"/>
              </w:tabs>
              <w:ind w:start="330" w:end="0"/>
              <w:rPr>
                <w:rFonts w:ascii="Arial" w:hAnsi="Arial" w:cs="Arial"/>
                <w:sz w:val="24"/>
              </w:rPr>
            </w:pPr>
            <w:r>
              <w:rPr>
                <w:rFonts w:eastAsia="Arial" w:cs="Arial" w:ascii="Arial" w:hAnsi="Arial"/>
                <w:sz w:val="24"/>
              </w:rPr>
              <w:t xml:space="preserve">      </w:t>
            </w:r>
            <w:r>
              <w:rPr>
                <w:rFonts w:cs="Arial" w:ascii="Arial" w:hAnsi="Arial"/>
                <w:sz w:val="24"/>
              </w:rPr>
              <w:t xml:space="preserve">held each year to offer the capacity whose contract terms expire each year, and at least the same minimum </w:t>
            </w:r>
          </w:p>
          <w:p>
            <w:pPr>
              <w:pStyle w:val="Normal"/>
              <w:tabs>
                <w:tab w:val="left" w:pos="720" w:leader="none"/>
              </w:tabs>
              <w:ind w:start="330" w:end="0"/>
              <w:rPr>
                <w:rFonts w:ascii="Arial" w:hAnsi="Arial" w:cs="Arial"/>
                <w:sz w:val="24"/>
              </w:rPr>
            </w:pPr>
            <w:r>
              <w:rPr>
                <w:rFonts w:eastAsia="Arial" w:cs="Arial" w:ascii="Arial" w:hAnsi="Arial"/>
                <w:sz w:val="24"/>
              </w:rPr>
              <w:t xml:space="preserve">      </w:t>
            </w:r>
            <w:r>
              <w:rPr>
                <w:rFonts w:cs="Arial" w:ascii="Arial" w:hAnsi="Arial"/>
                <w:sz w:val="24"/>
              </w:rPr>
              <w:t>quantity of one-year term capacity must be available for bidding in each such open season.</w:t>
            </w:r>
          </w:p>
          <w:p>
            <w:pPr>
              <w:pStyle w:val="Normal"/>
              <w:tabs>
                <w:tab w:val="left" w:pos="720" w:leader="none"/>
              </w:tabs>
              <w:ind w:start="330" w:end="0"/>
              <w:jc w:val="both"/>
              <w:rPr>
                <w:rFonts w:ascii="Arial" w:hAnsi="Arial" w:cs="Arial"/>
                <w:sz w:val="24"/>
              </w:rPr>
            </w:pPr>
            <w:r>
              <w:rPr>
                <w:rFonts w:cs="Arial" w:ascii="Arial" w:hAnsi="Arial"/>
                <w:sz w:val="24"/>
              </w:rPr>
            </w:r>
          </w:p>
          <w:p>
            <w:pPr>
              <w:pStyle w:val="Normal"/>
              <w:numPr>
                <w:ilvl w:val="0"/>
                <w:numId w:val="7"/>
              </w:numPr>
              <w:rPr>
                <w:rFonts w:ascii="Arial" w:hAnsi="Arial" w:cs="Arial"/>
                <w:sz w:val="24"/>
              </w:rPr>
            </w:pPr>
            <w:r>
              <w:rPr>
                <w:rFonts w:cs="Arial" w:ascii="Arial" w:hAnsi="Arial"/>
                <w:sz w:val="24"/>
              </w:rPr>
              <w:t xml:space="preserve">In all stages of the Open Season, customers may bid only 100% of postage stamp SFV rate &amp; the term of the bid </w:t>
            </w:r>
          </w:p>
          <w:p>
            <w:pPr>
              <w:pStyle w:val="Normal"/>
              <w:tabs>
                <w:tab w:val="left" w:pos="720" w:leader="none"/>
              </w:tabs>
              <w:ind w:start="330" w:end="0"/>
              <w:rPr>
                <w:rFonts w:ascii="Arial" w:hAnsi="Arial" w:cs="Arial"/>
                <w:sz w:val="24"/>
              </w:rPr>
            </w:pPr>
            <w:r>
              <w:rPr>
                <w:rFonts w:eastAsia="Arial" w:cs="Arial" w:ascii="Arial" w:hAnsi="Arial"/>
                <w:sz w:val="24"/>
              </w:rPr>
              <w:t xml:space="preserve">      </w:t>
            </w:r>
            <w:r>
              <w:rPr>
                <w:rFonts w:cs="Arial" w:ascii="Arial" w:hAnsi="Arial"/>
                <w:sz w:val="24"/>
              </w:rPr>
              <w:t xml:space="preserve">decides the priority of the bid.  Thus, for example, if two customers bid maximum term and one customer bids a   </w:t>
            </w:r>
          </w:p>
          <w:p>
            <w:pPr>
              <w:pStyle w:val="Normal"/>
              <w:tabs>
                <w:tab w:val="left" w:pos="720" w:leader="none"/>
              </w:tabs>
              <w:ind w:start="330" w:end="0"/>
              <w:rPr>
                <w:rFonts w:ascii="Arial" w:hAnsi="Arial" w:cs="Arial"/>
                <w:sz w:val="24"/>
              </w:rPr>
            </w:pPr>
            <w:r>
              <w:rPr>
                <w:rFonts w:eastAsia="Arial" w:cs="Arial" w:ascii="Arial" w:hAnsi="Arial"/>
                <w:sz w:val="24"/>
              </w:rPr>
              <w:t xml:space="preserve">      </w:t>
            </w:r>
            <w:r>
              <w:rPr>
                <w:rFonts w:cs="Arial" w:ascii="Arial" w:hAnsi="Arial"/>
                <w:sz w:val="24"/>
              </w:rPr>
              <w:t xml:space="preserve">one year term for the remaining capacity at a receipt point, the capacity would be split pro-rata between the two </w:t>
            </w:r>
          </w:p>
          <w:p>
            <w:pPr>
              <w:pStyle w:val="Normal"/>
              <w:tabs>
                <w:tab w:val="left" w:pos="720" w:leader="none"/>
              </w:tabs>
              <w:ind w:start="330" w:end="0"/>
              <w:rPr>
                <w:rFonts w:ascii="Arial" w:hAnsi="Arial" w:cs="Arial"/>
                <w:sz w:val="24"/>
              </w:rPr>
            </w:pPr>
            <w:r>
              <w:rPr>
                <w:rFonts w:eastAsia="Arial" w:cs="Arial" w:ascii="Arial" w:hAnsi="Arial"/>
                <w:sz w:val="24"/>
              </w:rPr>
              <w:t xml:space="preserve">      </w:t>
            </w:r>
            <w:r>
              <w:rPr>
                <w:rFonts w:cs="Arial" w:ascii="Arial" w:hAnsi="Arial"/>
                <w:sz w:val="24"/>
              </w:rPr>
              <w:t xml:space="preserve">customers who bid maximum term, according to the volumes they bid.  Customers who bid for and acquire </w:t>
            </w:r>
          </w:p>
          <w:p>
            <w:pPr>
              <w:pStyle w:val="Normal"/>
              <w:tabs>
                <w:tab w:val="left" w:pos="720" w:leader="none"/>
              </w:tabs>
              <w:ind w:start="330" w:end="0"/>
              <w:rPr>
                <w:rFonts w:ascii="Arial" w:hAnsi="Arial" w:cs="Arial"/>
                <w:sz w:val="24"/>
              </w:rPr>
            </w:pPr>
            <w:r>
              <w:rPr>
                <w:rFonts w:eastAsia="Arial" w:cs="Arial" w:ascii="Arial" w:hAnsi="Arial"/>
                <w:sz w:val="24"/>
              </w:rPr>
              <w:t xml:space="preserve">      </w:t>
            </w:r>
            <w:r>
              <w:rPr>
                <w:rFonts w:cs="Arial" w:ascii="Arial" w:hAnsi="Arial"/>
                <w:sz w:val="24"/>
              </w:rPr>
              <w:t xml:space="preserve">capacity in any stage of the Open Season have no rights to turn back such capacity prior to the expiration of the </w:t>
            </w:r>
          </w:p>
          <w:p>
            <w:pPr>
              <w:pStyle w:val="Normal"/>
              <w:tabs>
                <w:tab w:val="left" w:pos="720" w:leader="none"/>
              </w:tabs>
              <w:ind w:start="330" w:end="0"/>
              <w:rPr>
                <w:rFonts w:ascii="Arial" w:hAnsi="Arial" w:cs="Arial"/>
                <w:sz w:val="24"/>
              </w:rPr>
            </w:pPr>
            <w:r>
              <w:rPr>
                <w:rFonts w:eastAsia="Arial" w:cs="Arial" w:ascii="Arial" w:hAnsi="Arial"/>
                <w:sz w:val="24"/>
              </w:rPr>
              <w:t xml:space="preserve">      </w:t>
            </w:r>
            <w:r>
              <w:rPr>
                <w:rFonts w:cs="Arial" w:ascii="Arial" w:hAnsi="Arial"/>
                <w:sz w:val="24"/>
              </w:rPr>
              <w:t>term of the contract awarded in the Open Season.</w:t>
            </w:r>
          </w:p>
          <w:p>
            <w:pPr>
              <w:pStyle w:val="Normal"/>
              <w:tabs>
                <w:tab w:val="left" w:pos="720" w:leader="none"/>
              </w:tabs>
              <w:ind w:start="330" w:end="0"/>
              <w:rPr>
                <w:rFonts w:ascii="Arial" w:hAnsi="Arial" w:cs="Arial"/>
                <w:sz w:val="24"/>
              </w:rPr>
            </w:pPr>
            <w:r>
              <w:rPr>
                <w:rFonts w:cs="Arial" w:ascii="Arial" w:hAnsi="Arial"/>
                <w:sz w:val="24"/>
              </w:rPr>
            </w:r>
          </w:p>
          <w:p>
            <w:pPr>
              <w:pStyle w:val="BodyText2"/>
              <w:numPr>
                <w:ilvl w:val="0"/>
                <w:numId w:val="11"/>
              </w:numPr>
              <w:tabs>
                <w:tab w:val="clear" w:pos="720"/>
                <w:tab w:val="left" w:pos="360" w:leader="none"/>
              </w:tabs>
              <w:rPr>
                <w:sz w:val="24"/>
              </w:rPr>
            </w:pPr>
            <w:r>
              <w:rPr>
                <w:sz w:val="24"/>
              </w:rPr>
              <w:t>Remaining capacity can be sold on firm or interruptible basis as described in Appendix A at negotiated prices not to exceed a cap of 120% of the SFV postage stamp rate.</w:t>
            </w:r>
          </w:p>
          <w:p>
            <w:pPr>
              <w:pStyle w:val="Normal"/>
              <w:rPr>
                <w:rFonts w:ascii="Arial" w:hAnsi="Arial" w:cs="Arial"/>
                <w:sz w:val="24"/>
              </w:rPr>
            </w:pPr>
            <w:r>
              <w:rPr>
                <w:rFonts w:cs="Arial" w:ascii="Arial" w:hAnsi="Arial"/>
                <w:sz w:val="24"/>
              </w:rPr>
            </w:r>
          </w:p>
          <w:p>
            <w:pPr>
              <w:pStyle w:val="Heading8"/>
              <w:rPr>
                <w:color w:val="auto"/>
              </w:rPr>
            </w:pPr>
            <w:r>
              <w:rPr>
                <w:color w:val="auto"/>
              </w:rPr>
              <w:t>Market Conditions and Risk</w:t>
            </w:r>
          </w:p>
          <w:p>
            <w:pPr>
              <w:pStyle w:val="Normal"/>
              <w:numPr>
                <w:ilvl w:val="0"/>
                <w:numId w:val="11"/>
              </w:numPr>
              <w:tabs>
                <w:tab w:val="clear" w:pos="720"/>
                <w:tab w:val="left" w:pos="360" w:leader="none"/>
              </w:tabs>
              <w:rPr>
                <w:rFonts w:ascii="Arial" w:hAnsi="Arial" w:cs="Arial"/>
                <w:sz w:val="24"/>
              </w:rPr>
            </w:pPr>
            <w:r>
              <w:rPr>
                <w:rFonts w:cs="Arial" w:ascii="Arial" w:hAnsi="Arial"/>
                <w:sz w:val="24"/>
              </w:rPr>
              <w:t xml:space="preserve">Throughout the 3-Stage Open Season process, a transmission market concentration limit shall be established such that no single customer or shipper may hold more than 40% of the noncore capacity at any single receipt point. </w:t>
            </w:r>
          </w:p>
          <w:p>
            <w:pPr>
              <w:pStyle w:val="Normal"/>
              <w:numPr>
                <w:ilvl w:val="0"/>
                <w:numId w:val="11"/>
              </w:numPr>
              <w:tabs>
                <w:tab w:val="clear" w:pos="720"/>
                <w:tab w:val="left" w:pos="360" w:leader="none"/>
              </w:tabs>
              <w:rPr>
                <w:rFonts w:ascii="Arial" w:hAnsi="Arial" w:cs="Arial"/>
                <w:sz w:val="24"/>
              </w:rPr>
            </w:pPr>
            <w:r>
              <w:rPr>
                <w:rFonts w:cs="Arial" w:ascii="Arial" w:hAnsi="Arial"/>
                <w:sz w:val="24"/>
              </w:rPr>
              <w:t>Secondary and as-available markets shall be established.</w:t>
            </w:r>
          </w:p>
          <w:p>
            <w:pPr>
              <w:pStyle w:val="Normal"/>
              <w:numPr>
                <w:ilvl w:val="0"/>
                <w:numId w:val="11"/>
              </w:numPr>
              <w:tabs>
                <w:tab w:val="clear" w:pos="720"/>
                <w:tab w:val="left" w:pos="360" w:leader="none"/>
              </w:tabs>
              <w:rPr>
                <w:rFonts w:ascii="Arial" w:hAnsi="Arial" w:cs="Arial"/>
                <w:sz w:val="24"/>
              </w:rPr>
            </w:pPr>
            <w:r>
              <w:rPr>
                <w:rFonts w:cs="Arial" w:ascii="Arial" w:hAnsi="Arial"/>
                <w:sz w:val="24"/>
              </w:rPr>
              <w:t>Information sharing, comparable to that to be provided by PG&amp;E under the terms of its OFO settlement, to be made available to customers.</w:t>
            </w:r>
          </w:p>
          <w:p>
            <w:pPr>
              <w:pStyle w:val="Normal"/>
              <w:numPr>
                <w:ilvl w:val="0"/>
                <w:numId w:val="11"/>
              </w:numPr>
              <w:tabs>
                <w:tab w:val="clear" w:pos="720"/>
                <w:tab w:val="left" w:pos="360" w:leader="none"/>
              </w:tabs>
              <w:rPr>
                <w:rFonts w:ascii="Arial" w:hAnsi="Arial" w:cs="Arial"/>
                <w:sz w:val="24"/>
              </w:rPr>
            </w:pPr>
            <w:r>
              <w:rPr>
                <w:rFonts w:cs="Arial" w:ascii="Arial" w:hAnsi="Arial"/>
                <w:sz w:val="24"/>
              </w:rPr>
              <w:t xml:space="preserve">Nothing in this Settlement addresses the direct connection of end use-use customers to the SoCalGas intrastate Backbone Transmission system.  This Settlement does not address whether customers can directly connect to the Backbone system and pay only Backbone charges.  Nothing in this settlement prevents any party from seeking or opposing such treatment or prevents the CPUC from providing or rejecting such treatment. </w:t>
            </w:r>
          </w:p>
          <w:p>
            <w:pPr>
              <w:pStyle w:val="Normal"/>
              <w:tabs>
                <w:tab w:val="clear" w:pos="720"/>
                <w:tab w:val="left" w:pos="360" w:leader="none"/>
              </w:tabs>
              <w:rPr>
                <w:rFonts w:ascii="Arial" w:hAnsi="Arial" w:cs="Arial"/>
                <w:sz w:val="24"/>
              </w:rPr>
            </w:pPr>
            <w:r>
              <w:rPr>
                <w:rFonts w:cs="Arial" w:ascii="Arial" w:hAnsi="Arial"/>
                <w:sz w:val="24"/>
              </w:rPr>
            </w:r>
          </w:p>
          <w:p>
            <w:pPr>
              <w:pStyle w:val="Heading9"/>
              <w:tabs>
                <w:tab w:val="clear" w:pos="720"/>
                <w:tab w:val="left" w:pos="360" w:leader="none"/>
              </w:tabs>
              <w:ind w:hanging="0" w:start="0"/>
              <w:rPr/>
            </w:pPr>
            <w:r>
              <w:rPr/>
            </w:r>
          </w:p>
          <w:p>
            <w:pPr>
              <w:pStyle w:val="Heading9"/>
              <w:tabs>
                <w:tab w:val="clear" w:pos="720"/>
                <w:tab w:val="left" w:pos="360" w:leader="none"/>
              </w:tabs>
              <w:ind w:hanging="0" w:start="0"/>
              <w:rPr/>
            </w:pPr>
            <w:r>
              <w:rPr/>
            </w:r>
          </w:p>
          <w:p>
            <w:pPr>
              <w:pStyle w:val="Heading9"/>
              <w:tabs>
                <w:tab w:val="clear" w:pos="720"/>
                <w:tab w:val="left" w:pos="360" w:leader="none"/>
              </w:tabs>
              <w:ind w:hanging="0" w:start="0"/>
              <w:rPr/>
            </w:pPr>
            <w:r>
              <w:rPr/>
              <w:t>Transmission Con’t.</w:t>
            </w:r>
          </w:p>
          <w:p>
            <w:pPr>
              <w:pStyle w:val="Normal"/>
              <w:rPr/>
            </w:pPr>
            <w:r>
              <w:rPr/>
            </w:r>
          </w:p>
          <w:p>
            <w:pPr>
              <w:pStyle w:val="Normal"/>
              <w:numPr>
                <w:ilvl w:val="0"/>
                <w:numId w:val="11"/>
              </w:numPr>
              <w:tabs>
                <w:tab w:val="clear" w:pos="720"/>
                <w:tab w:val="left" w:pos="360" w:leader="none"/>
              </w:tabs>
              <w:rPr>
                <w:rFonts w:ascii="Arial" w:hAnsi="Arial" w:cs="Arial"/>
                <w:sz w:val="24"/>
              </w:rPr>
            </w:pPr>
            <w:r>
              <w:rPr>
                <w:rFonts w:cs="Arial" w:ascii="Arial" w:hAnsi="Arial"/>
                <w:sz w:val="24"/>
              </w:rPr>
              <w:t>Use of the EBB/Trading system for secondary market transactions is voluntary.</w:t>
            </w:r>
          </w:p>
          <w:p>
            <w:pPr>
              <w:pStyle w:val="Normal"/>
              <w:numPr>
                <w:ilvl w:val="0"/>
                <w:numId w:val="11"/>
              </w:numPr>
              <w:tabs>
                <w:tab w:val="clear" w:pos="720"/>
                <w:tab w:val="left" w:pos="360" w:leader="none"/>
              </w:tabs>
              <w:rPr>
                <w:rFonts w:ascii="Arial" w:hAnsi="Arial" w:cs="Arial"/>
                <w:sz w:val="24"/>
              </w:rPr>
            </w:pPr>
            <w:r>
              <w:rPr>
                <w:rFonts w:cs="Arial" w:ascii="Arial" w:hAnsi="Arial"/>
                <w:sz w:val="24"/>
              </w:rPr>
              <w:t>Pools at receipt points implemented on effective date of Settlement in the manner proposed in the Interim Settlement.  Pools at city gates implemented effective October 2001when Backbone Transmission is unbundled.</w:t>
            </w:r>
          </w:p>
          <w:p>
            <w:pPr>
              <w:pStyle w:val="Normal"/>
              <w:numPr>
                <w:ilvl w:val="0"/>
                <w:numId w:val="11"/>
              </w:numPr>
              <w:tabs>
                <w:tab w:val="clear" w:pos="720"/>
                <w:tab w:val="left" w:pos="360" w:leader="none"/>
              </w:tabs>
              <w:rPr>
                <w:rFonts w:ascii="Arial" w:hAnsi="Arial" w:cs="Arial"/>
                <w:b/>
                <w:sz w:val="24"/>
              </w:rPr>
            </w:pPr>
            <w:r>
              <w:rPr>
                <w:rFonts w:cs="Arial" w:ascii="Arial" w:hAnsi="Arial"/>
                <w:sz w:val="24"/>
              </w:rPr>
              <w:t>SoCalGas to be 100% at-risk for unbundled Backbone Transmission commencing October 2001.</w:t>
            </w:r>
            <w:r>
              <w:rPr>
                <w:rFonts w:cs="Arial" w:ascii="Arial" w:hAnsi="Arial"/>
                <w:b/>
                <w:sz w:val="24"/>
              </w:rPr>
              <w:t xml:space="preserve">  </w:t>
            </w:r>
          </w:p>
          <w:p>
            <w:pPr>
              <w:pStyle w:val="Normal"/>
              <w:rPr>
                <w:rFonts w:ascii="Arial" w:hAnsi="Arial" w:cs="Arial"/>
                <w:b/>
                <w:sz w:val="24"/>
              </w:rPr>
            </w:pPr>
            <w:r>
              <w:rPr>
                <w:rFonts w:cs="Arial" w:ascii="Arial" w:hAnsi="Arial"/>
                <w:b/>
                <w:sz w:val="24"/>
              </w:rPr>
            </w:r>
          </w:p>
          <w:p>
            <w:pPr>
              <w:pStyle w:val="Normal"/>
              <w:ind w:start="360" w:end="0"/>
              <w:rPr>
                <w:rFonts w:ascii="Arial" w:hAnsi="Arial" w:cs="Arial"/>
                <w:sz w:val="24"/>
                <w:u w:val="single"/>
              </w:rPr>
            </w:pPr>
            <w:r>
              <w:rPr>
                <w:rFonts w:cs="Arial" w:ascii="Arial" w:hAnsi="Arial"/>
                <w:sz w:val="24"/>
                <w:u w:val="single"/>
              </w:rPr>
              <w:t>Core Interstate Unbundling</w:t>
            </w:r>
          </w:p>
          <w:p>
            <w:pPr>
              <w:pStyle w:val="Normal"/>
              <w:numPr>
                <w:ilvl w:val="0"/>
                <w:numId w:val="7"/>
              </w:numPr>
              <w:rPr>
                <w:rFonts w:ascii="Arial" w:hAnsi="Arial" w:cs="Arial"/>
                <w:sz w:val="24"/>
              </w:rPr>
            </w:pPr>
            <w:r>
              <w:rPr>
                <w:rFonts w:cs="Arial" w:ascii="Arial" w:hAnsi="Arial"/>
                <w:sz w:val="24"/>
              </w:rPr>
              <w:t xml:space="preserve">Unbundling of interstate capacity for CAT customers Implemented on effective date of Settlement.  The sharing of </w:t>
            </w:r>
          </w:p>
          <w:p>
            <w:pPr>
              <w:pStyle w:val="Normal"/>
              <w:tabs>
                <w:tab w:val="clear" w:pos="720"/>
                <w:tab w:val="left" w:pos="750" w:leader="none"/>
              </w:tabs>
              <w:ind w:start="330" w:end="0"/>
              <w:rPr>
                <w:rFonts w:ascii="Arial" w:hAnsi="Arial" w:cs="Arial"/>
                <w:sz w:val="24"/>
              </w:rPr>
            </w:pPr>
            <w:r>
              <w:rPr>
                <w:rFonts w:eastAsia="Arial" w:cs="Arial" w:ascii="Arial" w:hAnsi="Arial"/>
                <w:sz w:val="24"/>
              </w:rPr>
              <w:t xml:space="preserve">      </w:t>
            </w:r>
            <w:r>
              <w:rPr>
                <w:rFonts w:cs="Arial" w:ascii="Arial" w:hAnsi="Arial"/>
                <w:sz w:val="24"/>
              </w:rPr>
              <w:t xml:space="preserve">stranded costs associated with CAT interstate unbundling shall be 50% core and 50% noncore, with non-core  </w:t>
            </w:r>
          </w:p>
          <w:p>
            <w:pPr>
              <w:pStyle w:val="Normal"/>
              <w:tabs>
                <w:tab w:val="clear" w:pos="720"/>
                <w:tab w:val="left" w:pos="750" w:leader="none"/>
              </w:tabs>
              <w:ind w:start="330" w:end="0"/>
              <w:rPr>
                <w:rFonts w:ascii="Arial" w:hAnsi="Arial" w:cs="Arial"/>
                <w:sz w:val="24"/>
              </w:rPr>
            </w:pPr>
            <w:r>
              <w:rPr>
                <w:rFonts w:eastAsia="Arial" w:cs="Arial" w:ascii="Arial" w:hAnsi="Arial"/>
                <w:sz w:val="24"/>
              </w:rPr>
              <w:t xml:space="preserve">      </w:t>
            </w:r>
            <w:r>
              <w:rPr>
                <w:rFonts w:cs="Arial" w:ascii="Arial" w:hAnsi="Arial"/>
                <w:sz w:val="24"/>
              </w:rPr>
              <w:t xml:space="preserve">share capped @ $2 million in 2000, $5 million in 2001.  Any excess stranded costs to be allocated to core </w:t>
            </w:r>
          </w:p>
          <w:p>
            <w:pPr>
              <w:pStyle w:val="Normal"/>
              <w:tabs>
                <w:tab w:val="clear" w:pos="720"/>
                <w:tab w:val="left" w:pos="750" w:leader="none"/>
              </w:tabs>
              <w:ind w:start="330" w:end="0"/>
              <w:rPr>
                <w:rFonts w:ascii="Arial" w:hAnsi="Arial" w:cs="Arial"/>
                <w:sz w:val="24"/>
              </w:rPr>
            </w:pPr>
            <w:r>
              <w:rPr>
                <w:rFonts w:eastAsia="Arial" w:cs="Arial" w:ascii="Arial" w:hAnsi="Arial"/>
                <w:sz w:val="24"/>
              </w:rPr>
              <w:t xml:space="preserve">      </w:t>
            </w:r>
            <w:r>
              <w:rPr>
                <w:rFonts w:cs="Arial" w:ascii="Arial" w:hAnsi="Arial"/>
                <w:sz w:val="24"/>
              </w:rPr>
              <w:t xml:space="preserve">transport-only customers.  </w:t>
            </w:r>
          </w:p>
          <w:p>
            <w:pPr>
              <w:pStyle w:val="Normal"/>
              <w:numPr>
                <w:ilvl w:val="0"/>
                <w:numId w:val="7"/>
              </w:numPr>
              <w:rPr>
                <w:rFonts w:ascii="Arial" w:hAnsi="Arial" w:cs="Arial"/>
                <w:sz w:val="24"/>
              </w:rPr>
            </w:pPr>
            <w:r>
              <w:rPr>
                <w:rFonts w:cs="Arial" w:ascii="Arial" w:hAnsi="Arial"/>
                <w:sz w:val="24"/>
              </w:rPr>
              <w:t xml:space="preserve">Core will no longer pay its 10% contribution to the traditional noncore ITCS obligations after January 1, 2002.  Core ITCS allocated exclusively to core customers as follows: first 7% allocated equal cents per therm to all core customers; over 7% allocated to each core customer class in proportion to CAT volumes by each core customer class (e.g. residential/commercial). </w:t>
            </w:r>
          </w:p>
          <w:p>
            <w:pPr>
              <w:pStyle w:val="Normal"/>
              <w:numPr>
                <w:ilvl w:val="0"/>
                <w:numId w:val="7"/>
              </w:numPr>
              <w:rPr>
                <w:rFonts w:ascii="Arial" w:hAnsi="Arial" w:cs="Arial"/>
                <w:sz w:val="24"/>
              </w:rPr>
            </w:pPr>
            <w:r>
              <w:rPr>
                <w:rFonts w:cs="Arial" w:ascii="Arial" w:hAnsi="Arial"/>
                <w:sz w:val="24"/>
              </w:rPr>
              <w:t>For the year 2002 only, noncore responsibility for the core’s 10% of ITCS to be capped at $6.0 million.</w:t>
            </w:r>
          </w:p>
          <w:p>
            <w:pPr>
              <w:pStyle w:val="Normal"/>
              <w:numPr>
                <w:ilvl w:val="0"/>
                <w:numId w:val="7"/>
              </w:numPr>
              <w:rPr>
                <w:rFonts w:ascii="Arial" w:hAnsi="Arial" w:cs="Arial"/>
                <w:sz w:val="24"/>
              </w:rPr>
            </w:pPr>
            <w:r>
              <w:rPr>
                <w:rFonts w:cs="Arial" w:ascii="Arial" w:hAnsi="Arial"/>
                <w:sz w:val="24"/>
              </w:rPr>
              <w:t xml:space="preserve">Initial core interstate reservations are; 300 MMcfd on Transwestern at N. Needles; 300 MMcfd on El Paso at Topock; and, 444 MMcfd on El Paso at Blythe.  All subsequent reductions associated with CAT unbundling to occur on El Paso at Blythe.     </w:t>
            </w:r>
          </w:p>
          <w:p>
            <w:pPr>
              <w:pStyle w:val="Normal"/>
              <w:numPr>
                <w:ilvl w:val="0"/>
                <w:numId w:val="7"/>
              </w:numPr>
              <w:tabs>
                <w:tab w:val="clear" w:pos="720"/>
                <w:tab w:val="left" w:pos="750" w:leader="none"/>
              </w:tabs>
              <w:rPr>
                <w:rFonts w:ascii="Arial" w:hAnsi="Arial" w:cs="Arial"/>
                <w:sz w:val="24"/>
              </w:rPr>
            </w:pPr>
            <w:r>
              <w:rPr>
                <w:rFonts w:cs="Arial" w:ascii="Arial" w:hAnsi="Arial"/>
                <w:sz w:val="24"/>
              </w:rPr>
              <w:t>SoCalGas to release core interstate capacity formerly needed by CAT.</w:t>
            </w:r>
            <w:r>
              <w:rPr>
                <w:rFonts w:cs="Arial" w:ascii="Arial" w:hAnsi="Arial"/>
                <w:b/>
                <w:sz w:val="24"/>
              </w:rPr>
              <w:t xml:space="preserve">  </w:t>
            </w:r>
          </w:p>
          <w:p>
            <w:pPr>
              <w:pStyle w:val="Normal"/>
              <w:ind w:start="390" w:end="0"/>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tc>
      </w:tr>
    </w:tbl>
    <w:p>
      <w:pPr>
        <w:pStyle w:val="Normal"/>
        <w:rPr>
          <w:rFonts w:ascii="Arial" w:hAnsi="Arial" w:cs="Arial"/>
          <w:sz w:val="24"/>
        </w:rPr>
      </w:pPr>
      <w:r>
        <w:rPr>
          <w:rFonts w:cs="Arial" w:ascii="Arial" w:hAnsi="Arial"/>
          <w:sz w:val="24"/>
        </w:rPr>
      </w:r>
      <w:r>
        <w:br w:type="page"/>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Heading1"/>
        <w:ind w:hanging="0" w:start="0"/>
        <w:rPr>
          <w:b w:val="false"/>
          <w:sz w:val="36"/>
        </w:rPr>
      </w:pPr>
      <w:r>
        <w:rPr>
          <w:b w:val="false"/>
          <w:sz w:val="36"/>
        </w:rPr>
        <w:t>Implementation</w:t>
      </w:r>
    </w:p>
    <w:p>
      <w:pPr>
        <w:pStyle w:val="Normal"/>
        <w:rPr>
          <w:b/>
          <w:sz w:val="24"/>
        </w:rPr>
      </w:pPr>
      <w:r>
        <w:rPr>
          <w:b/>
          <w:sz w:val="24"/>
        </w:rPr>
      </w:r>
    </w:p>
    <w:p>
      <w:pPr>
        <w:pStyle w:val="Normal"/>
        <w:rPr>
          <w:rFonts w:ascii="Arial" w:hAnsi="Arial" w:cs="Arial"/>
          <w:sz w:val="24"/>
        </w:rPr>
      </w:pPr>
      <w:r>
        <w:rPr>
          <w:rFonts w:cs="Arial" w:ascii="Arial" w:hAnsi="Arial"/>
          <w:sz w:val="24"/>
        </w:rPr>
        <w:tab/>
        <w:t xml:space="preserve"> </w:t>
        <w:tab/>
        <w:tab/>
        <w:tab/>
        <w:tab/>
        <w:tab/>
        <w:tab/>
        <w:tab/>
        <w:tab/>
        <w:tab/>
        <w:tab/>
        <w:tab/>
      </w:r>
    </w:p>
    <w:tbl>
      <w:tblPr>
        <w:tblW w:w="13068" w:type="dxa"/>
        <w:jc w:val="start"/>
        <w:tblInd w:w="0" w:type="dxa"/>
        <w:tblLayout w:type="fixed"/>
        <w:tblCellMar>
          <w:top w:w="0" w:type="dxa"/>
          <w:start w:w="108" w:type="dxa"/>
          <w:bottom w:w="0" w:type="dxa"/>
          <w:end w:w="108" w:type="dxa"/>
        </w:tblCellMar>
      </w:tblPr>
      <w:tblGrid>
        <w:gridCol w:w="13068"/>
      </w:tblGrid>
      <w:tr>
        <w:trPr>
          <w:trHeight w:val="7005" w:hRule="atLeast"/>
        </w:trPr>
        <w:tc>
          <w:tcPr>
            <w:tcW w:w="13068"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Phase 1– effective 90 days following CPUC approval (not prior to Oct. 1, 2000)</w:t>
            </w:r>
          </w:p>
          <w:p>
            <w:pPr>
              <w:pStyle w:val="WW-BodyText2"/>
              <w:numPr>
                <w:ilvl w:val="0"/>
                <w:numId w:val="11"/>
              </w:numPr>
              <w:tabs>
                <w:tab w:val="clear" w:pos="720"/>
                <w:tab w:val="left" w:pos="360" w:leader="none"/>
              </w:tabs>
              <w:rPr/>
            </w:pPr>
            <w:r>
              <w:rPr/>
              <w:t>Replace Windows</w:t>
            </w:r>
          </w:p>
          <w:p>
            <w:pPr>
              <w:pStyle w:val="Normal"/>
              <w:numPr>
                <w:ilvl w:val="0"/>
                <w:numId w:val="11"/>
              </w:numPr>
              <w:tabs>
                <w:tab w:val="clear" w:pos="720"/>
                <w:tab w:val="left" w:pos="360" w:leader="none"/>
              </w:tabs>
              <w:rPr>
                <w:rFonts w:ascii="Arial" w:hAnsi="Arial" w:cs="Arial"/>
                <w:sz w:val="24"/>
              </w:rPr>
            </w:pPr>
            <w:r>
              <w:rPr>
                <w:rFonts w:cs="Arial" w:ascii="Arial" w:hAnsi="Arial"/>
                <w:sz w:val="24"/>
              </w:rPr>
              <w:t>Institute OFO’s</w:t>
            </w:r>
          </w:p>
          <w:p>
            <w:pPr>
              <w:pStyle w:val="Normal"/>
              <w:numPr>
                <w:ilvl w:val="0"/>
                <w:numId w:val="11"/>
              </w:numPr>
              <w:tabs>
                <w:tab w:val="clear" w:pos="720"/>
                <w:tab w:val="left" w:pos="360" w:leader="none"/>
              </w:tabs>
              <w:rPr>
                <w:rFonts w:ascii="Arial" w:hAnsi="Arial" w:cs="Arial"/>
                <w:sz w:val="24"/>
              </w:rPr>
            </w:pPr>
            <w:r>
              <w:rPr>
                <w:rFonts w:cs="Arial" w:ascii="Arial" w:hAnsi="Arial"/>
                <w:sz w:val="24"/>
              </w:rPr>
              <w:t>Maintain Current Balancing</w:t>
            </w:r>
          </w:p>
          <w:p>
            <w:pPr>
              <w:pStyle w:val="Normal"/>
              <w:numPr>
                <w:ilvl w:val="0"/>
                <w:numId w:val="11"/>
              </w:numPr>
              <w:tabs>
                <w:tab w:val="clear" w:pos="720"/>
                <w:tab w:val="left" w:pos="360" w:leader="none"/>
              </w:tabs>
              <w:rPr>
                <w:rFonts w:ascii="Arial" w:hAnsi="Arial" w:cs="Arial"/>
                <w:sz w:val="24"/>
              </w:rPr>
            </w:pPr>
            <w:r>
              <w:rPr>
                <w:rFonts w:cs="Arial" w:ascii="Arial" w:hAnsi="Arial"/>
                <w:sz w:val="24"/>
              </w:rPr>
              <w:t xml:space="preserve">Establish Hector Road as Primary Receipt Point for Incremental 50 MMcfd </w:t>
            </w:r>
          </w:p>
          <w:p>
            <w:pPr>
              <w:pStyle w:val="Normal"/>
              <w:numPr>
                <w:ilvl w:val="0"/>
                <w:numId w:val="11"/>
              </w:numPr>
              <w:tabs>
                <w:tab w:val="clear" w:pos="720"/>
                <w:tab w:val="left" w:pos="360" w:leader="none"/>
              </w:tabs>
              <w:rPr>
                <w:rFonts w:ascii="Arial" w:hAnsi="Arial" w:cs="Arial"/>
                <w:sz w:val="24"/>
              </w:rPr>
            </w:pPr>
            <w:r>
              <w:rPr>
                <w:rFonts w:cs="Arial" w:ascii="Arial" w:hAnsi="Arial"/>
                <w:sz w:val="24"/>
              </w:rPr>
              <w:t>Unbundle Interstate Capacity for CAT customers</w:t>
            </w:r>
          </w:p>
          <w:p>
            <w:pPr>
              <w:pStyle w:val="Normal"/>
              <w:numPr>
                <w:ilvl w:val="0"/>
                <w:numId w:val="11"/>
              </w:numPr>
              <w:tabs>
                <w:tab w:val="clear" w:pos="720"/>
                <w:tab w:val="left" w:pos="360" w:leader="none"/>
              </w:tabs>
              <w:rPr>
                <w:rFonts w:ascii="Arial" w:hAnsi="Arial" w:cs="Arial"/>
                <w:sz w:val="24"/>
              </w:rPr>
            </w:pPr>
            <w:r>
              <w:rPr>
                <w:rFonts w:cs="Arial" w:ascii="Arial" w:hAnsi="Arial"/>
                <w:sz w:val="24"/>
              </w:rPr>
              <w:t>Increase Information Disclosure</w:t>
            </w:r>
          </w:p>
          <w:p>
            <w:pPr>
              <w:pStyle w:val="Normal"/>
              <w:numPr>
                <w:ilvl w:val="0"/>
                <w:numId w:val="11"/>
              </w:numPr>
              <w:tabs>
                <w:tab w:val="clear" w:pos="720"/>
                <w:tab w:val="left" w:pos="360" w:leader="none"/>
              </w:tabs>
              <w:rPr>
                <w:rFonts w:ascii="Arial" w:hAnsi="Arial" w:cs="Arial"/>
                <w:sz w:val="24"/>
              </w:rPr>
            </w:pPr>
            <w:r>
              <w:rPr>
                <w:rFonts w:cs="Arial" w:ascii="Arial" w:hAnsi="Arial"/>
                <w:sz w:val="24"/>
              </w:rPr>
              <w:t>Unbundle Additional (non-reliability) Storage for CAT</w:t>
            </w:r>
          </w:p>
          <w:p>
            <w:pPr>
              <w:pStyle w:val="Normal"/>
              <w:numPr>
                <w:ilvl w:val="0"/>
                <w:numId w:val="11"/>
              </w:numPr>
              <w:tabs>
                <w:tab w:val="clear" w:pos="720"/>
                <w:tab w:val="left" w:pos="360" w:leader="none"/>
              </w:tabs>
              <w:rPr>
                <w:rFonts w:ascii="Arial" w:hAnsi="Arial" w:cs="Arial"/>
                <w:sz w:val="24"/>
              </w:rPr>
            </w:pPr>
            <w:r>
              <w:rPr>
                <w:rFonts w:cs="Arial" w:ascii="Arial" w:hAnsi="Arial"/>
                <w:sz w:val="24"/>
              </w:rPr>
              <w:t>Assignment of Storage Rights</w:t>
            </w:r>
          </w:p>
          <w:p>
            <w:pPr>
              <w:pStyle w:val="Normal"/>
              <w:numPr>
                <w:ilvl w:val="0"/>
                <w:numId w:val="11"/>
              </w:numPr>
              <w:tabs>
                <w:tab w:val="clear" w:pos="720"/>
                <w:tab w:val="left" w:pos="360" w:leader="none"/>
              </w:tabs>
              <w:rPr>
                <w:rFonts w:ascii="Arial" w:hAnsi="Arial" w:cs="Arial"/>
                <w:sz w:val="24"/>
              </w:rPr>
            </w:pPr>
            <w:r>
              <w:rPr>
                <w:rFonts w:cs="Arial" w:ascii="Arial" w:hAnsi="Arial"/>
                <w:sz w:val="24"/>
              </w:rPr>
              <w:t>Track Core Storage</w:t>
            </w:r>
          </w:p>
          <w:p>
            <w:pPr>
              <w:pStyle w:val="Normal"/>
              <w:numPr>
                <w:ilvl w:val="0"/>
                <w:numId w:val="11"/>
              </w:numPr>
              <w:tabs>
                <w:tab w:val="clear" w:pos="720"/>
                <w:tab w:val="left" w:pos="360" w:leader="none"/>
              </w:tabs>
              <w:rPr>
                <w:rFonts w:ascii="Arial" w:hAnsi="Arial" w:cs="Arial"/>
                <w:sz w:val="24"/>
              </w:rPr>
            </w:pPr>
            <w:r>
              <w:rPr>
                <w:rFonts w:cs="Arial" w:ascii="Arial" w:hAnsi="Arial"/>
                <w:sz w:val="24"/>
              </w:rPr>
              <w:t>Pooling at Receipt Points</w:t>
            </w:r>
          </w:p>
          <w:p>
            <w:pPr>
              <w:pStyle w:val="Normal"/>
              <w:rPr>
                <w:rFonts w:ascii="Arial" w:hAnsi="Arial" w:cs="Arial"/>
                <w:sz w:val="24"/>
              </w:rPr>
            </w:pPr>
            <w:r>
              <w:rPr>
                <w:rFonts w:cs="Arial" w:ascii="Arial" w:hAnsi="Arial"/>
                <w:sz w:val="24"/>
              </w:rPr>
            </w:r>
          </w:p>
          <w:p>
            <w:pPr>
              <w:pStyle w:val="BodyText3"/>
              <w:rPr>
                <w:b w:val="false"/>
              </w:rPr>
            </w:pPr>
            <w:r>
              <w:rPr>
                <w:b w:val="false"/>
              </w:rPr>
              <w:t>Phase 2 – effective  April 1, 2001 (assuming CPUC approval prior to Oct. 2000)</w:t>
            </w:r>
          </w:p>
          <w:p>
            <w:pPr>
              <w:pStyle w:val="BodyText3"/>
              <w:numPr>
                <w:ilvl w:val="0"/>
                <w:numId w:val="6"/>
              </w:numPr>
              <w:rPr>
                <w:b w:val="false"/>
              </w:rPr>
            </w:pPr>
            <w:r>
              <w:rPr>
                <w:b w:val="false"/>
              </w:rPr>
              <w:t>Total Core Storage Reservation Reduced</w:t>
            </w:r>
          </w:p>
          <w:p>
            <w:pPr>
              <w:pStyle w:val="BodyText3"/>
              <w:numPr>
                <w:ilvl w:val="0"/>
                <w:numId w:val="6"/>
              </w:numPr>
              <w:rPr>
                <w:b w:val="false"/>
              </w:rPr>
            </w:pPr>
            <w:r>
              <w:rPr>
                <w:b w:val="false"/>
              </w:rPr>
              <w:t>Trade OFO Imbalances &amp; Imbalance Rights</w:t>
            </w:r>
          </w:p>
          <w:p>
            <w:pPr>
              <w:pStyle w:val="BodyText3"/>
              <w:numPr>
                <w:ilvl w:val="0"/>
                <w:numId w:val="11"/>
              </w:numPr>
              <w:tabs>
                <w:tab w:val="clear" w:pos="720"/>
                <w:tab w:val="left" w:pos="360" w:leader="none"/>
              </w:tabs>
              <w:rPr>
                <w:b w:val="false"/>
              </w:rPr>
            </w:pPr>
            <w:r>
              <w:rPr>
                <w:b w:val="false"/>
              </w:rPr>
              <w:t>Unbundle Reliability Storage for CAT</w:t>
            </w:r>
          </w:p>
          <w:p>
            <w:pPr>
              <w:pStyle w:val="Normal"/>
              <w:numPr>
                <w:ilvl w:val="0"/>
                <w:numId w:val="11"/>
              </w:numPr>
              <w:tabs>
                <w:tab w:val="clear" w:pos="720"/>
                <w:tab w:val="left" w:pos="360" w:leader="none"/>
              </w:tabs>
              <w:rPr>
                <w:rFonts w:ascii="Arial" w:hAnsi="Arial" w:cs="Arial"/>
                <w:sz w:val="24"/>
              </w:rPr>
            </w:pPr>
            <w:r>
              <w:rPr>
                <w:rFonts w:cs="Arial" w:ascii="Arial" w:hAnsi="Arial"/>
                <w:sz w:val="24"/>
              </w:rPr>
              <w:t>Unbundle Balancing with Self-Balancing Option</w:t>
            </w:r>
          </w:p>
          <w:p>
            <w:pPr>
              <w:pStyle w:val="Normal"/>
              <w:numPr>
                <w:ilvl w:val="0"/>
                <w:numId w:val="11"/>
              </w:numPr>
              <w:tabs>
                <w:tab w:val="clear" w:pos="720"/>
                <w:tab w:val="left" w:pos="360" w:leader="none"/>
              </w:tabs>
              <w:rPr>
                <w:rFonts w:ascii="Arial" w:hAnsi="Arial" w:cs="Arial"/>
                <w:sz w:val="24"/>
              </w:rPr>
            </w:pPr>
            <w:r>
              <w:rPr>
                <w:rFonts w:cs="Arial" w:ascii="Arial" w:hAnsi="Arial"/>
                <w:sz w:val="24"/>
              </w:rPr>
              <w:t>Core and Noncore Balanced Independently</w:t>
            </w:r>
          </w:p>
          <w:p>
            <w:pPr>
              <w:pStyle w:val="Normal"/>
              <w:numPr>
                <w:ilvl w:val="0"/>
                <w:numId w:val="11"/>
              </w:numPr>
              <w:tabs>
                <w:tab w:val="clear" w:pos="720"/>
                <w:tab w:val="left" w:pos="360" w:leader="none"/>
              </w:tabs>
              <w:rPr>
                <w:rFonts w:ascii="Arial" w:hAnsi="Arial" w:cs="Arial"/>
                <w:sz w:val="24"/>
              </w:rPr>
            </w:pPr>
            <w:r>
              <w:rPr>
                <w:rFonts w:cs="Arial" w:ascii="Arial" w:hAnsi="Arial"/>
                <w:sz w:val="24"/>
              </w:rPr>
              <w:t>Secondary Market for Storage</w:t>
            </w:r>
          </w:p>
          <w:p>
            <w:pPr>
              <w:pStyle w:val="Normal"/>
              <w:numPr>
                <w:ilvl w:val="0"/>
                <w:numId w:val="11"/>
              </w:numPr>
              <w:tabs>
                <w:tab w:val="clear" w:pos="720"/>
                <w:tab w:val="left" w:pos="360" w:leader="none"/>
              </w:tabs>
              <w:rPr>
                <w:rFonts w:ascii="Arial" w:hAnsi="Arial" w:cs="Arial"/>
                <w:sz w:val="24"/>
              </w:rPr>
            </w:pPr>
            <w:r>
              <w:rPr>
                <w:rFonts w:cs="Arial" w:ascii="Arial" w:hAnsi="Arial"/>
                <w:sz w:val="24"/>
              </w:rPr>
              <w:t>OFO Forum</w:t>
            </w:r>
          </w:p>
          <w:p>
            <w:pPr>
              <w:pStyle w:val="Normal"/>
              <w:tabs>
                <w:tab w:val="clear" w:pos="720"/>
                <w:tab w:val="left" w:pos="360" w:leader="none"/>
              </w:tabs>
              <w:rPr>
                <w:rFonts w:ascii="Arial" w:hAnsi="Arial" w:cs="Arial"/>
                <w:sz w:val="24"/>
              </w:rPr>
            </w:pPr>
            <w:r>
              <w:rPr>
                <w:rFonts w:cs="Arial" w:ascii="Arial" w:hAnsi="Arial"/>
                <w:sz w:val="24"/>
              </w:rPr>
            </w:r>
          </w:p>
          <w:p>
            <w:pPr>
              <w:pStyle w:val="Normal"/>
              <w:tabs>
                <w:tab w:val="clear" w:pos="720"/>
                <w:tab w:val="left" w:pos="360" w:leader="none"/>
              </w:tabs>
              <w:rPr>
                <w:rFonts w:ascii="Arial" w:hAnsi="Arial" w:cs="Arial"/>
                <w:sz w:val="24"/>
              </w:rPr>
            </w:pPr>
            <w:r>
              <w:rPr>
                <w:rFonts w:cs="Arial" w:ascii="Arial" w:hAnsi="Arial"/>
                <w:sz w:val="24"/>
              </w:rPr>
              <w:t>Phase 3 – effective October 1, 2001</w:t>
            </w:r>
          </w:p>
          <w:p>
            <w:pPr>
              <w:pStyle w:val="Normal"/>
              <w:numPr>
                <w:ilvl w:val="0"/>
                <w:numId w:val="11"/>
              </w:numPr>
              <w:tabs>
                <w:tab w:val="clear" w:pos="720"/>
                <w:tab w:val="left" w:pos="360" w:leader="none"/>
              </w:tabs>
              <w:rPr>
                <w:rFonts w:ascii="Arial" w:hAnsi="Arial" w:cs="Arial"/>
                <w:sz w:val="24"/>
              </w:rPr>
            </w:pPr>
            <w:r>
              <w:rPr>
                <w:rFonts w:cs="Arial" w:ascii="Arial" w:hAnsi="Arial"/>
                <w:sz w:val="24"/>
              </w:rPr>
              <w:t>Unbundle Intrastate Transmission Receipt Points</w:t>
            </w:r>
          </w:p>
          <w:p>
            <w:pPr>
              <w:pStyle w:val="Normal"/>
              <w:numPr>
                <w:ilvl w:val="0"/>
                <w:numId w:val="11"/>
              </w:numPr>
              <w:tabs>
                <w:tab w:val="clear" w:pos="720"/>
                <w:tab w:val="left" w:pos="360" w:leader="none"/>
              </w:tabs>
              <w:rPr>
                <w:rFonts w:ascii="Arial" w:hAnsi="Arial" w:cs="Arial"/>
                <w:sz w:val="24"/>
              </w:rPr>
            </w:pPr>
            <w:r>
              <w:rPr>
                <w:rFonts w:cs="Arial" w:ascii="Arial" w:hAnsi="Arial"/>
                <w:sz w:val="24"/>
              </w:rPr>
              <w:t xml:space="preserve">Secondary Markets for Backbone Transmission </w:t>
            </w:r>
          </w:p>
          <w:p>
            <w:pPr>
              <w:pStyle w:val="Normal"/>
              <w:numPr>
                <w:ilvl w:val="0"/>
                <w:numId w:val="11"/>
              </w:numPr>
              <w:tabs>
                <w:tab w:val="clear" w:pos="720"/>
                <w:tab w:val="left" w:pos="360" w:leader="none"/>
              </w:tabs>
              <w:rPr>
                <w:rFonts w:ascii="Arial" w:hAnsi="Arial" w:cs="Arial"/>
                <w:b/>
                <w:sz w:val="24"/>
              </w:rPr>
            </w:pPr>
            <w:r>
              <w:rPr>
                <w:rFonts w:cs="Arial" w:ascii="Arial" w:hAnsi="Arial"/>
                <w:sz w:val="24"/>
              </w:rPr>
              <w:t>Pooling at City Gates</w:t>
            </w:r>
          </w:p>
        </w:tc>
      </w:tr>
    </w:tbl>
    <w:p>
      <w:pPr>
        <w:pStyle w:val="Normal"/>
        <w:spacing w:lineRule="exact" w:line="200" w:before="240" w:after="0"/>
        <w:rPr>
          <w:rStyle w:val="zzmpTrailerItem"/>
          <w:b w:val="false"/>
          <w:i w:val="false"/>
          <w:i w:val="false"/>
          <w:caps w:val="false"/>
          <w:smallCaps w:val="false"/>
          <w:shadow w:val="false"/>
          <w:vanish w:val="false"/>
        </w:rPr>
      </w:pPr>
      <w:r>
        <w:rPr>
          <w:caps w:val="false"/>
          <w:smallCaps w:val="false"/>
        </w:rPr>
      </w:r>
    </w:p>
    <w:p>
      <w:pPr>
        <w:pStyle w:val="Normal"/>
        <w:rPr>
          <w:rStyle w:val="zzmpTrailerItem"/>
          <w:b w:val="false"/>
          <w:i w:val="false"/>
          <w:i w:val="false"/>
          <w:caps w:val="false"/>
          <w:smallCaps w:val="false"/>
          <w:shadow w:val="false"/>
          <w:vanish w:val="false"/>
        </w:rPr>
      </w:pPr>
      <w:r>
        <w:rPr/>
      </w:r>
    </w:p>
    <w:sectPr>
      <w:headerReference w:type="default" r:id="rId2"/>
      <w:footerReference w:type="default" r:id="rId3"/>
      <w:type w:val="nextPage"/>
      <w:pgSz w:orient="landscape" w:w="15840" w:h="12240"/>
      <w:pgMar w:left="1440" w:right="1440" w:gutter="0" w:header="720" w:top="1152" w:footer="72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enter" w:pos="4320" w:leader="none"/>
        <w:tab w:val="left" w:pos="7110" w:leader="none"/>
        <w:tab w:val="right" w:pos="8640" w:leader="none"/>
      </w:tabs>
      <w:ind w:start="9360" w:end="0"/>
      <w:rPr>
        <w:sz w:val="28"/>
      </w:rPr>
    </w:pPr>
    <w:r>
      <w:rPr>
        <w:sz w:val="28"/>
      </w:rPr>
      <w:t>Confidential for Settlement Discussions</w:t>
      <w:br/>
      <w:t>Under Rule 51</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numFmt w:val="bullet"/>
      <w:lvlText w:val="-"/>
      <w:lvlJc w:val="start"/>
      <w:pPr>
        <w:tabs>
          <w:tab w:val="num" w:pos="735"/>
        </w:tabs>
        <w:ind w:start="735" w:hanging="405"/>
      </w:pPr>
      <w:rPr>
        <w:rFonts w:ascii="Times New Roman" w:hAnsi="Times New Roman" w:cs="Times New Roman"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numFmt w:val="bullet"/>
      <w:lvlText w:val="-"/>
      <w:lvlJc w:val="start"/>
      <w:pPr>
        <w:tabs>
          <w:tab w:val="num" w:pos="735"/>
        </w:tabs>
        <w:ind w:start="735" w:hanging="405"/>
      </w:pPr>
      <w:rPr>
        <w:rFonts w:ascii="Times New Roman" w:hAnsi="Times New Roman" w:cs="Times New Roman" w:hint="default"/>
      </w:rPr>
    </w:lvl>
  </w:abstractNum>
  <w:abstractNum w:abstractNumId="8">
    <w:lvl w:ilvl="0">
      <w:numFmt w:val="bullet"/>
      <w:lvlText w:val="-"/>
      <w:lvlJc w:val="start"/>
      <w:pPr>
        <w:tabs>
          <w:tab w:val="num" w:pos="690"/>
        </w:tabs>
        <w:ind w:start="690" w:hanging="360"/>
      </w:pPr>
      <w:rPr>
        <w:rFonts w:ascii="Times New Roman" w:hAnsi="Times New Roman" w:cs="Times New Roman" w:hint="default"/>
        <w:i/>
        <w:b w:val="false"/>
      </w:rPr>
    </w:lvl>
  </w:abstractNum>
  <w:abstractNum w:abstractNumId="9">
    <w:lvl w:ilvl="0">
      <w:numFmt w:val="bullet"/>
      <w:lvlText w:val="-"/>
      <w:lvlJc w:val="start"/>
      <w:pPr>
        <w:tabs>
          <w:tab w:val="num" w:pos="735"/>
        </w:tabs>
        <w:ind w:start="735" w:hanging="405"/>
      </w:pPr>
      <w:rPr>
        <w:rFonts w:ascii="Times New Roman" w:hAnsi="Times New Roman" w:cs="Times New Roman" w:hint="default"/>
      </w:rPr>
    </w:lvl>
  </w:abstractNum>
  <w:abstractNum w:abstractNumId="10">
    <w:lvl w:ilvl="0">
      <w:numFmt w:val="bullet"/>
      <w:lvlText w:val=""/>
      <w:lvlJc w:val="start"/>
      <w:pPr>
        <w:tabs>
          <w:tab w:val="num" w:pos="360"/>
        </w:tabs>
        <w:ind w:start="360" w:hanging="360"/>
      </w:pPr>
      <w:rPr>
        <w:rFonts w:ascii="Symbol" w:hAnsi="Symbol" w:cs="Symbol" w:hint="default"/>
        <w:sz w:val="36"/>
      </w:rPr>
    </w:lvl>
  </w:abstractNum>
  <w:abstractNum w:abstractNumId="11">
    <w:lvl w:ilvl="0">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75"/>
  <w:defaultTabStop w:val="720"/>
  <w:autoHyphenation w:val="true"/>
  <w:hyphenationZone w:val="0"/>
  <w:compat>
    <w:doNotExpandShiftReturn/>
    <w:usePrinterMetrics/>
    <w:compatSetting w:name="compatibilityMode" w:uri="http://schemas.microsoft.com/office/word" w:val="11"/>
  </w:compat>
  <w:docVars>
    <w:docVar w:name="iTrailerType" w:val="1"/>
    <w:docVar w:name="zzmpFixedDOC_ID" w:val="2715/016/X10217"/>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rFonts w:ascii="Arial" w:hAnsi="Arial" w:cs="Arial"/>
      <w:b/>
      <w:i/>
      <w:sz w:val="22"/>
      <w:u w:val="single"/>
    </w:rPr>
  </w:style>
  <w:style w:type="paragraph" w:styleId="Heading2">
    <w:name w:val="heading 2"/>
    <w:basedOn w:val="Normal"/>
    <w:next w:val="Normal"/>
    <w:qFormat/>
    <w:pPr>
      <w:keepNext w:val="true"/>
      <w:numPr>
        <w:ilvl w:val="1"/>
        <w:numId w:val="1"/>
      </w:numPr>
      <w:jc w:val="center"/>
      <w:outlineLvl w:val="1"/>
    </w:pPr>
    <w:rPr>
      <w:rFonts w:ascii="Arial" w:hAnsi="Arial" w:cs="Arial"/>
      <w:b/>
      <w:sz w:val="24"/>
      <w:u w:val="single"/>
    </w:rPr>
  </w:style>
  <w:style w:type="paragraph" w:styleId="Heading3">
    <w:name w:val="heading 3"/>
    <w:basedOn w:val="Normal"/>
    <w:next w:val="Normal"/>
    <w:qFormat/>
    <w:pPr>
      <w:keepNext w:val="true"/>
      <w:numPr>
        <w:ilvl w:val="2"/>
        <w:numId w:val="1"/>
      </w:numPr>
      <w:outlineLvl w:val="2"/>
    </w:pPr>
    <w:rPr>
      <w:rFonts w:ascii="Arial" w:hAnsi="Arial" w:cs="Arial"/>
      <w:b/>
      <w:sz w:val="24"/>
    </w:rPr>
  </w:style>
  <w:style w:type="paragraph" w:styleId="Heading4">
    <w:name w:val="heading 4"/>
    <w:basedOn w:val="Normal"/>
    <w:next w:val="Normal"/>
    <w:qFormat/>
    <w:pPr>
      <w:keepNext w:val="true"/>
      <w:numPr>
        <w:ilvl w:val="3"/>
        <w:numId w:val="1"/>
      </w:numPr>
      <w:jc w:val="center"/>
      <w:outlineLvl w:val="3"/>
    </w:pPr>
    <w:rPr>
      <w:rFonts w:ascii="Arial" w:hAnsi="Arial" w:cs="Arial"/>
      <w:b/>
      <w:i/>
      <w:sz w:val="24"/>
      <w:u w:val="single"/>
    </w:rPr>
  </w:style>
  <w:style w:type="paragraph" w:styleId="Heading5">
    <w:name w:val="heading 5"/>
    <w:basedOn w:val="Normal"/>
    <w:next w:val="Normal"/>
    <w:qFormat/>
    <w:pPr>
      <w:keepNext w:val="true"/>
      <w:numPr>
        <w:ilvl w:val="4"/>
        <w:numId w:val="1"/>
      </w:numPr>
      <w:ind w:hanging="0" w:start="360" w:end="0"/>
      <w:outlineLvl w:val="4"/>
    </w:pPr>
    <w:rPr>
      <w:rFonts w:ascii="Arial" w:hAnsi="Arial" w:cs="Arial"/>
      <w:sz w:val="24"/>
    </w:rPr>
  </w:style>
  <w:style w:type="paragraph" w:styleId="Heading6">
    <w:name w:val="heading 6"/>
    <w:basedOn w:val="Normal"/>
    <w:next w:val="Normal"/>
    <w:qFormat/>
    <w:pPr>
      <w:keepNext w:val="true"/>
      <w:numPr>
        <w:ilvl w:val="5"/>
        <w:numId w:val="1"/>
      </w:numPr>
      <w:outlineLvl w:val="5"/>
    </w:pPr>
    <w:rPr>
      <w:b/>
      <w:i/>
      <w:sz w:val="32"/>
      <w:u w:val="single"/>
    </w:rPr>
  </w:style>
  <w:style w:type="paragraph" w:styleId="Heading7">
    <w:name w:val="heading 7"/>
    <w:basedOn w:val="Normal"/>
    <w:next w:val="Normal"/>
    <w:qFormat/>
    <w:pPr>
      <w:keepNext w:val="true"/>
      <w:numPr>
        <w:ilvl w:val="6"/>
        <w:numId w:val="1"/>
      </w:numPr>
      <w:jc w:val="center"/>
      <w:outlineLvl w:val="6"/>
    </w:pPr>
    <w:rPr>
      <w:rFonts w:ascii="Arial" w:hAnsi="Arial" w:cs="Arial"/>
      <w:b/>
      <w:sz w:val="24"/>
    </w:rPr>
  </w:style>
  <w:style w:type="paragraph" w:styleId="Heading8">
    <w:name w:val="heading 8"/>
    <w:basedOn w:val="Normal"/>
    <w:next w:val="Normal"/>
    <w:qFormat/>
    <w:pPr>
      <w:keepNext w:val="true"/>
      <w:numPr>
        <w:ilvl w:val="7"/>
        <w:numId w:val="1"/>
      </w:numPr>
      <w:ind w:hanging="0" w:start="360" w:end="0"/>
      <w:outlineLvl w:val="7"/>
    </w:pPr>
    <w:rPr>
      <w:rFonts w:ascii="Arial" w:hAnsi="Arial" w:cs="Arial"/>
      <w:color w:val="000000"/>
      <w:sz w:val="24"/>
      <w:u w:val="single"/>
    </w:rPr>
  </w:style>
  <w:style w:type="paragraph" w:styleId="Heading9">
    <w:name w:val="heading 9"/>
    <w:basedOn w:val="Normal"/>
    <w:next w:val="Normal"/>
    <w:qFormat/>
    <w:pPr>
      <w:keepNext w:val="true"/>
      <w:numPr>
        <w:ilvl w:val="8"/>
        <w:numId w:val="1"/>
      </w:numPr>
      <w:jc w:val="center"/>
      <w:outlineLvl w:val="8"/>
    </w:pPr>
    <w:rPr>
      <w:rFonts w:ascii="Arial" w:hAnsi="Arial" w:cs="Arial"/>
      <w:i/>
      <w:sz w:val="36"/>
      <w:u w:val="single"/>
    </w:rPr>
  </w:style>
  <w:style w:type="character" w:styleId="WW8Num2z0">
    <w:name w:val="WW8Num2z0"/>
    <w:qFormat/>
    <w:rPr>
      <w:rFonts w:ascii="Symbol" w:hAnsi="Symbol" w:cs="Symbol"/>
    </w:rPr>
  </w:style>
  <w:style w:type="character" w:styleId="WW8Num3z0">
    <w:name w:val="WW8Num3z0"/>
    <w:qFormat/>
    <w:rPr>
      <w:rFonts w:ascii="Times New Roman" w:hAnsi="Times New Roman" w:cs="Times New Roman"/>
    </w:rPr>
  </w:style>
  <w:style w:type="character" w:styleId="WW8Num4z0">
    <w:name w:val="WW8Num4z0"/>
    <w:qFormat/>
    <w:rPr/>
  </w:style>
  <w:style w:type="character" w:styleId="WW8Num5z0">
    <w:name w:val="WW8Num5z0"/>
    <w:qFormat/>
    <w:rPr>
      <w:rFonts w:ascii="Times New Roman" w:hAnsi="Times New Roman" w:cs="Times New Roman"/>
    </w:rPr>
  </w:style>
  <w:style w:type="character" w:styleId="WW8Num6z0">
    <w:name w:val="WW8Num6z0"/>
    <w:qFormat/>
    <w:rPr>
      <w:rFonts w:ascii="Times New Roman" w:hAnsi="Times New Roman" w:cs="Times New Roman"/>
    </w:rPr>
  </w:style>
  <w:style w:type="character" w:styleId="WW8Num7z0">
    <w:name w:val="WW8Num7z0"/>
    <w:qFormat/>
    <w:rPr>
      <w:rFonts w:ascii="Symbol" w:hAnsi="Symbol" w:cs="Symbol"/>
    </w:rPr>
  </w:style>
  <w:style w:type="character" w:styleId="WW8Num8z0">
    <w:name w:val="WW8Num8z0"/>
    <w:qFormat/>
    <w:rPr>
      <w:rFonts w:ascii="Times New Roman" w:hAnsi="Times New Roman" w:cs="Times New Roman"/>
    </w:rPr>
  </w:style>
  <w:style w:type="character" w:styleId="WW8Num9z0">
    <w:name w:val="WW8Num9z0"/>
    <w:qFormat/>
    <w:rPr>
      <w:rFonts w:ascii="Times New Roman" w:hAnsi="Times New Roman" w:cs="Times New Roman"/>
    </w:rPr>
  </w:style>
  <w:style w:type="character" w:styleId="WW8Num10z0">
    <w:name w:val="WW8Num10z0"/>
    <w:qFormat/>
    <w:rPr>
      <w:rFonts w:ascii="Times New Roman" w:hAnsi="Times New Roman" w:cs="Times New Roman"/>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Times New Roman" w:hAnsi="Times New Roman" w:cs="Times New Roman"/>
    </w:rPr>
  </w:style>
  <w:style w:type="character" w:styleId="WW8Num14z0">
    <w:name w:val="WW8Num14z0"/>
    <w:qFormat/>
    <w:rPr>
      <w:rFonts w:ascii="Times New Roman" w:hAnsi="Times New Roman" w:cs="Times New Roman"/>
    </w:rPr>
  </w:style>
  <w:style w:type="character" w:styleId="WW8Num15z0">
    <w:name w:val="WW8Num15z0"/>
    <w:qFormat/>
    <w:rPr>
      <w:rFonts w:ascii="Times New Roman" w:hAnsi="Times New Roman" w:cs="Times New Roman"/>
      <w:b w:val="false"/>
      <w:i/>
    </w:rPr>
  </w:style>
  <w:style w:type="character" w:styleId="WW8Num16z0">
    <w:name w:val="WW8Num16z0"/>
    <w:qFormat/>
    <w:rPr/>
  </w:style>
  <w:style w:type="character" w:styleId="WW8Num17z0">
    <w:name w:val="WW8Num17z0"/>
    <w:qFormat/>
    <w:rPr>
      <w:rFonts w:ascii="Symbol" w:hAnsi="Symbol" w:cs="Symbol"/>
    </w:rPr>
  </w:style>
  <w:style w:type="character" w:styleId="WW8Num18z0">
    <w:name w:val="WW8Num18z0"/>
    <w:qFormat/>
    <w:rPr>
      <w:rFonts w:ascii="Times New Roman" w:hAnsi="Times New Roman" w:cs="Times New Roman"/>
    </w:rPr>
  </w:style>
  <w:style w:type="character" w:styleId="WW8Num19z0">
    <w:name w:val="WW8Num19z0"/>
    <w:qFormat/>
    <w:rPr>
      <w:rFonts w:ascii="Times New Roman" w:hAnsi="Times New Roman" w:cs="Times New Roman"/>
    </w:rPr>
  </w:style>
  <w:style w:type="character" w:styleId="WW8NumSt1z0">
    <w:name w:val="WW8NumSt1z0"/>
    <w:qFormat/>
    <w:rPr>
      <w:rFonts w:ascii="Symbol" w:hAnsi="Symbol" w:cs="Symbol"/>
      <w:sz w:val="36"/>
    </w:rPr>
  </w:style>
  <w:style w:type="character" w:styleId="WW8NumSt2z0">
    <w:name w:val="WW8NumSt2z0"/>
    <w:qFormat/>
    <w:rPr>
      <w:rFonts w:ascii="Symbol" w:hAnsi="Symbol" w:cs="Symbol"/>
    </w:rPr>
  </w:style>
  <w:style w:type="character" w:styleId="WW8NumSt5z0">
    <w:name w:val="WW8NumSt5z0"/>
    <w:qFormat/>
    <w:rPr>
      <w:rFonts w:ascii="Wingdings" w:hAnsi="Wingdings" w:cs="Wingdings"/>
      <w:b/>
    </w:rPr>
  </w:style>
  <w:style w:type="character" w:styleId="DefaultParagraphFont">
    <w:name w:val="Default Paragraph Font"/>
    <w:qFormat/>
    <w:rPr/>
  </w:style>
  <w:style w:type="character" w:styleId="PageNumber">
    <w:name w:val="page number"/>
    <w:basedOn w:val="DefaultParagraphFont"/>
    <w:rPr/>
  </w:style>
  <w:style w:type="character" w:styleId="zzmpTrailerItem">
    <w:name w:val="zzmpTrailerItem"/>
    <w:basedOn w:val="DefaultParagraphFont"/>
    <w:qFormat/>
    <w:rPr>
      <w:rFonts w:ascii="Times New Roman" w:hAnsi="Times New Roman" w:cs="Times New Roman"/>
      <w:b/>
      <w:i/>
      <w:caps/>
      <w:shadow/>
      <w:vanish/>
      <w:color w:val="auto"/>
      <w:spacing w:val="0"/>
      <w:position w:val="0"/>
      <w:sz w:val="16"/>
      <w:sz w:val="16"/>
      <w:u w:val="none"/>
      <w:vertAlign w:val="baseline"/>
      <w:lang w:val="en-CA" w:eastAsia="en-CA"/>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center"/>
    </w:pPr>
    <w:rPr>
      <w:rFonts w:ascii="Arial" w:hAnsi="Arial" w:cs="Arial"/>
      <w:b/>
      <w:sz w:val="22"/>
      <w:u w:val="single"/>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ind w:hanging="0" w:start="360" w:end="0"/>
    </w:pPr>
    <w:rPr>
      <w:rFonts w:ascii="Arial" w:hAnsi="Arial" w:cs="Arial"/>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WW-BodyText2">
    <w:name w:val="WW-Body Text 2"/>
    <w:basedOn w:val="Normal"/>
    <w:qFormat/>
    <w:pPr/>
    <w:rPr>
      <w:rFonts w:ascii="Arial" w:hAnsi="Arial" w:cs="Arial"/>
      <w:sz w:val="24"/>
    </w:rPr>
  </w:style>
  <w:style w:type="paragraph" w:styleId="BodyText3">
    <w:name w:val="Body Text 3"/>
    <w:basedOn w:val="Normal"/>
    <w:qFormat/>
    <w:pPr/>
    <w:rPr>
      <w:rFonts w:ascii="Arial" w:hAnsi="Arial" w:cs="Arial"/>
      <w:b/>
      <w:sz w:val="24"/>
    </w:rPr>
  </w:style>
  <w:style w:type="paragraph" w:styleId="Header">
    <w:name w:val="head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ind w:hanging="0" w:start="360" w:end="0"/>
    </w:pPr>
    <w:rPr>
      <w:rFonts w:ascii="Arial" w:hAnsi="Arial" w:cs="Arial"/>
      <w:b/>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2000-03-31T12:57:00Z</dcterms:created>
  <dc:creator>SoCalGasCo.</dc:creator>
  <dc:description/>
  <dc:language>en-CA</dc:language>
  <cp:lastModifiedBy>Sempra Energy</cp:lastModifiedBy>
  <cp:lastPrinted>2000-03-30T16:10:00Z</cp:lastPrinted>
  <dcterms:modified xsi:type="dcterms:W3CDTF">2000-03-31T12:57:00Z</dcterms:modified>
  <cp:revision>2</cp:revision>
  <dc:subject/>
  <dc:title>Mar 1 Settlement  Proposal  (X102171.DOC;1)</dc:title>
</cp:coreProperties>
</file>