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92964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9640" cy="914400"/>
                    </a:xfrm>
                    <a:prstGeom prst="rect">
                      <a:avLst/>
                    </a:prstGeom>
                    <a:noFill/>
                  </pic:spPr>
                </pic:pic>
              </a:graphicData>
            </a:graphic>
          </wp:inline>
        </w:drawing>
      </w:r>
      <w:r>
        <w:rPr/>
        <w:tab/>
      </w:r>
      <w:r>
        <w:rPr>
          <w:rFonts w:cs="Arial Black" w:ascii="Arial Black" w:hAnsi="Arial Black"/>
        </w:rPr>
        <w:t xml:space="preserve">Enron Transportation </w:t>
      </w:r>
    </w:p>
    <w:p>
      <w:pPr>
        <w:pStyle w:val="Normal"/>
        <w:ind w:firstLine="720" w:start="1440" w:end="0"/>
        <w:rPr>
          <w:rFonts w:ascii="Arial Black" w:hAnsi="Arial Black" w:cs="Arial Black"/>
        </w:rPr>
      </w:pPr>
      <w:r>
        <w:rPr>
          <w:rFonts w:cs="Arial Black" w:ascii="Arial Black" w:hAnsi="Arial Black"/>
        </w:rPr>
        <w:t>&amp; Storage</w:t>
      </w:r>
    </w:p>
    <w:p>
      <w:pPr>
        <w:pStyle w:val="Normal"/>
        <w:ind w:firstLine="720" w:start="1440" w:end="0"/>
        <w:rPr>
          <w:rFonts w:ascii="Arial Black" w:hAnsi="Arial Black" w:cs="Arial Black"/>
          <w:i/>
          <w:i/>
        </w:rPr>
      </w:pPr>
      <w:r>
        <w:rPr>
          <w:rFonts w:cs="Arial Black" w:ascii="Arial Black" w:hAnsi="Arial Black"/>
          <w:i/>
        </w:rPr>
      </w:r>
    </w:p>
    <w:p>
      <w:pPr>
        <w:pStyle w:val="Normal"/>
        <w:ind w:firstLine="720" w:start="1440" w:end="0"/>
        <w:rPr>
          <w:i/>
          <w:i/>
        </w:rPr>
      </w:pPr>
      <w:r>
        <w:rPr>
          <w:i/>
        </w:rPr>
        <w:tab/>
        <w:tab/>
        <w:tab/>
        <w:tab/>
        <w:t>Attorney Client Communication</w:t>
      </w:r>
    </w:p>
    <w:p>
      <w:pPr>
        <w:pStyle w:val="Heading1"/>
        <w:ind w:hanging="0" w:start="0"/>
        <w:rPr/>
      </w:pPr>
      <w:r>
        <w:rPr/>
        <w:tab/>
        <w:tab/>
        <w:tab/>
        <w:tab/>
        <w:tab/>
        <w:tab/>
        <w:tab/>
      </w:r>
      <w:r>
        <w:rPr>
          <w:b w:val="false"/>
          <w:i/>
        </w:rPr>
        <w:t>Privileged &amp; Confidential</w:t>
      </w:r>
    </w:p>
    <w:p>
      <w:pPr>
        <w:pStyle w:val="Normal"/>
        <w:rPr>
          <w:b/>
          <w:i/>
          <w:i/>
        </w:rPr>
      </w:pPr>
      <w:r>
        <w:rPr>
          <w:b/>
          <w:i/>
        </w:rPr>
      </w:r>
    </w:p>
    <w:p>
      <w:pPr>
        <w:pStyle w:val="Normal"/>
        <w:rPr/>
      </w:pPr>
      <w:r>
        <w:rPr/>
      </w:r>
    </w:p>
    <w:p>
      <w:pPr>
        <w:pStyle w:val="Normal"/>
        <w:rPr/>
      </w:pPr>
      <w:r>
        <w:rPr/>
      </w:r>
    </w:p>
    <w:p>
      <w:pPr>
        <w:pStyle w:val="Normal"/>
        <w:rPr/>
      </w:pPr>
      <w:r>
        <w:rPr/>
        <w:t xml:space="preserve">To:  </w:t>
        <w:tab/>
        <w:t xml:space="preserve">Drew Fossum, Steve Harris </w:t>
      </w:r>
    </w:p>
    <w:p>
      <w:pPr>
        <w:pStyle w:val="Normal"/>
        <w:rPr/>
      </w:pPr>
      <w:r>
        <w:rPr/>
      </w:r>
    </w:p>
    <w:p>
      <w:pPr>
        <w:pStyle w:val="Normal"/>
        <w:rPr/>
      </w:pPr>
      <w:r>
        <w:rPr/>
        <w:t>From:</w:t>
        <w:tab/>
        <w:t>Susan Scott</w:t>
      </w:r>
    </w:p>
    <w:p>
      <w:pPr>
        <w:pStyle w:val="Normal"/>
        <w:rPr/>
      </w:pPr>
      <w:r>
        <w:rPr/>
      </w:r>
    </w:p>
    <w:p>
      <w:pPr>
        <w:pStyle w:val="Normal"/>
        <w:rPr/>
      </w:pPr>
      <w:r>
        <w:rPr/>
        <w:t>Subject:</w:t>
        <w:tab/>
        <w:t>Representation of Transwestern in California Gas Industry Restructuring (GIR) Proceeding</w:t>
      </w:r>
    </w:p>
    <w:p>
      <w:pPr>
        <w:pStyle w:val="Normal"/>
        <w:rPr/>
      </w:pPr>
      <w:r>
        <w:rPr/>
      </w:r>
    </w:p>
    <w:p>
      <w:pPr>
        <w:pStyle w:val="Normal"/>
        <w:rPr/>
      </w:pPr>
      <w:r>
        <w:rPr/>
        <w:t>Date:</w:t>
        <w:tab/>
        <w:t>January 18, 2000</w:t>
      </w:r>
    </w:p>
    <w:p>
      <w:pPr>
        <w:pStyle w:val="Heading1"/>
        <w:ind w:hanging="0" w:start="0"/>
        <w:rPr>
          <w:b w:val="false"/>
        </w:rPr>
      </w:pPr>
      <w:r>
        <w:rPr>
          <w:b w:val="false"/>
        </w:rPr>
      </w:r>
    </w:p>
    <w:p>
      <w:pPr>
        <w:pStyle w:val="Heading1"/>
        <w:ind w:hanging="0" w:start="0"/>
        <w:rPr>
          <w:b w:val="false"/>
        </w:rPr>
      </w:pPr>
      <w:r>
        <w:rPr>
          <w:b w:val="false"/>
        </w:rPr>
      </w:r>
    </w:p>
    <w:p>
      <w:pPr>
        <w:pStyle w:val="Normal"/>
        <w:rPr/>
      </w:pPr>
      <w:r>
        <w:rPr/>
        <w:tab/>
        <w:t xml:space="preserve">The purpose of this memo is to give you a quick update of the happenings in California and to outline issues that we will need to resolve pertaining to legal representation at the upcoming evidentiary hearings. </w:t>
      </w:r>
    </w:p>
    <w:p>
      <w:pPr>
        <w:pStyle w:val="Normal"/>
        <w:rPr/>
      </w:pPr>
      <w:r>
        <w:rPr/>
      </w:r>
    </w:p>
    <w:p>
      <w:pPr>
        <w:pStyle w:val="Heading1"/>
        <w:ind w:hanging="0" w:start="0"/>
        <w:rPr/>
      </w:pPr>
      <w:r>
        <w:rPr/>
        <w:t>Procedural Schedule and Background</w:t>
      </w:r>
    </w:p>
    <w:p>
      <w:pPr>
        <w:pStyle w:val="Normal"/>
        <w:rPr>
          <w:b/>
        </w:rPr>
      </w:pPr>
      <w:r>
        <w:rPr>
          <w:b/>
        </w:rPr>
      </w:r>
    </w:p>
    <w:p>
      <w:pPr>
        <w:pStyle w:val="Normal"/>
        <w:rPr/>
      </w:pPr>
      <w:r>
        <w:rPr/>
        <w:tab/>
        <w:t>On November 5, 1999 the CPUC issued an order setting the following procedural schedule for the GIR proceeding:</w:t>
      </w:r>
    </w:p>
    <w:p>
      <w:pPr>
        <w:pStyle w:val="Normal"/>
        <w:rPr/>
      </w:pPr>
      <w:r>
        <w:rPr/>
      </w:r>
    </w:p>
    <w:p>
      <w:pPr>
        <w:pStyle w:val="Normal"/>
        <w:rPr/>
      </w:pPr>
      <w:r>
        <w:rPr/>
        <w:t xml:space="preserve">1/28/00  Settlement(s) or settlement proposals due </w:t>
      </w:r>
    </w:p>
    <w:p>
      <w:pPr>
        <w:pStyle w:val="Normal"/>
        <w:rPr/>
      </w:pPr>
      <w:r>
        <w:rPr/>
      </w:r>
    </w:p>
    <w:p>
      <w:pPr>
        <w:pStyle w:val="Normal"/>
        <w:rPr/>
      </w:pPr>
      <w:r>
        <w:rPr/>
        <w:t xml:space="preserve">2/7/00  Preliminary hearing </w:t>
      </w:r>
    </w:p>
    <w:p>
      <w:pPr>
        <w:pStyle w:val="Normal"/>
        <w:rPr/>
      </w:pPr>
      <w:r>
        <w:rPr/>
      </w:r>
    </w:p>
    <w:p>
      <w:pPr>
        <w:pStyle w:val="Normal"/>
        <w:rPr/>
      </w:pPr>
      <w:r>
        <w:rPr/>
        <w:t xml:space="preserve">3/7/00  Prepared testimony due </w:t>
      </w:r>
    </w:p>
    <w:p>
      <w:pPr>
        <w:pStyle w:val="Normal"/>
        <w:rPr/>
      </w:pPr>
      <w:r>
        <w:rPr/>
      </w:r>
    </w:p>
    <w:p>
      <w:pPr>
        <w:pStyle w:val="Normal"/>
        <w:rPr/>
      </w:pPr>
      <w:r>
        <w:rPr/>
        <w:t xml:space="preserve">4/4/00  Rebuttal testimony due </w:t>
      </w:r>
    </w:p>
    <w:p>
      <w:pPr>
        <w:pStyle w:val="Normal"/>
        <w:rPr/>
      </w:pPr>
      <w:r>
        <w:rPr/>
      </w:r>
    </w:p>
    <w:p>
      <w:pPr>
        <w:pStyle w:val="Normal"/>
        <w:rPr/>
      </w:pPr>
      <w:r>
        <w:rPr/>
        <w:t xml:space="preserve">4/18/00  Surebuttal testimony due </w:t>
      </w:r>
    </w:p>
    <w:p>
      <w:pPr>
        <w:pStyle w:val="Normal"/>
        <w:rPr/>
      </w:pPr>
      <w:r>
        <w:rPr/>
      </w:r>
    </w:p>
    <w:p>
      <w:pPr>
        <w:pStyle w:val="Normal"/>
        <w:rPr/>
      </w:pPr>
      <w:r>
        <w:rPr/>
        <w:t xml:space="preserve">4/24/00  Preliminary hearing </w:t>
      </w:r>
    </w:p>
    <w:p>
      <w:pPr>
        <w:pStyle w:val="Normal"/>
        <w:rPr/>
      </w:pPr>
      <w:r>
        <w:rPr/>
      </w:r>
    </w:p>
    <w:p>
      <w:pPr>
        <w:pStyle w:val="Normal"/>
        <w:rPr/>
      </w:pPr>
      <w:r>
        <w:rPr/>
        <w:t>5/3/00 to 5/7/00  Evidentiary hearing</w:t>
      </w:r>
    </w:p>
    <w:p>
      <w:pPr>
        <w:pStyle w:val="Normal"/>
        <w:rPr/>
      </w:pPr>
      <w:r>
        <w:rPr/>
      </w:r>
    </w:p>
    <w:p>
      <w:pPr>
        <w:pStyle w:val="Normal"/>
        <w:rPr/>
      </w:pPr>
      <w:r>
        <w:rPr/>
        <w:t>30 days after close of EH:  Opening Briefs due</w:t>
      </w:r>
    </w:p>
    <w:p>
      <w:pPr>
        <w:pStyle w:val="Normal"/>
        <w:rPr/>
      </w:pPr>
      <w:r>
        <w:rPr/>
      </w:r>
    </w:p>
    <w:p>
      <w:pPr>
        <w:pStyle w:val="Normal"/>
        <w:rPr/>
      </w:pPr>
      <w:r>
        <w:rPr/>
        <w:t>21 days thereafter:  Reply Briefs due</w:t>
      </w:r>
    </w:p>
    <w:p>
      <w:pPr>
        <w:pStyle w:val="Normal"/>
        <w:rPr/>
      </w:pPr>
      <w:r>
        <w:rPr/>
      </w:r>
    </w:p>
    <w:p>
      <w:pPr>
        <w:pStyle w:val="BodyText"/>
        <w:rPr/>
      </w:pPr>
      <w:r>
        <w:rPr/>
        <w:tab/>
        <w:t>It is possible, but not likely, that all the parties to this proceeding will reach settlement by Jan. 28.  More likely is that CAC and SoCal will file separate settlement proposals.  While the two groups agree that a structural solution is needed, they are still at odds on the timeline for change and the level of risk to be borne by the various players (particularly with regard to storage), as well as some other matters.  If the parties do not settle, the evidentiary hearing process will begin.  If the parties do settle, the CPUC may still have the evidentiary hearings if it finds that some or all of the settlement does not conform to the July 1999 order identifying promising options for the gas industry.</w:t>
      </w:r>
    </w:p>
    <w:p>
      <w:pPr>
        <w:pStyle w:val="Normal"/>
        <w:rPr/>
      </w:pPr>
      <w:r>
        <w:rPr/>
      </w:r>
    </w:p>
    <w:p>
      <w:pPr>
        <w:pStyle w:val="BodyText"/>
        <w:rPr/>
      </w:pPr>
      <w:r>
        <w:rPr/>
        <w:tab/>
        <w:t xml:space="preserve">Transwestern currently finds itself in the unusual situation of having support in both of the competing proposals.  The CAC (which consists of Enron, Edison and others) is adopting the receipt point allocation format that Transwestern presented to all the parties last fall.  Meanwhile, SoCal and its supporters have modified the SoCal proposal so that 750 MMcfd are allocated to Transwestern at North Needles and only 50 MMcfd to Hector Road.  Transwestern has not signed on in support of either proposal.  Transwestern has little or no interest in the other issues in this proceeding, and there is simply no need to risk alienating either SoCal or Enron at this point.  If the Commission accepts comments prior to the evidentiary hearing TW may file comments favorable to the receipt point proposals of both parties. </w:t>
      </w:r>
    </w:p>
    <w:p>
      <w:pPr>
        <w:pStyle w:val="Normal"/>
        <w:rPr/>
      </w:pPr>
      <w:r>
        <w:rPr/>
      </w:r>
    </w:p>
    <w:p>
      <w:pPr>
        <w:pStyle w:val="Heading1"/>
        <w:ind w:hanging="0" w:start="0"/>
        <w:rPr/>
      </w:pPr>
      <w:r>
        <w:rPr/>
        <w:t>Representation of TW in Evidentiary Phase</w:t>
      </w:r>
    </w:p>
    <w:p>
      <w:pPr>
        <w:pStyle w:val="Normal"/>
        <w:rPr/>
      </w:pPr>
      <w:r>
        <w:rPr/>
      </w:r>
    </w:p>
    <w:p>
      <w:pPr>
        <w:pStyle w:val="BodyText"/>
        <w:rPr/>
      </w:pPr>
      <w:r>
        <w:rPr/>
        <w:tab/>
        <w:t xml:space="preserve">Assuming there is an evidentiary proceeding, Transwestern will need to present testimony on the Hector Road issue and its proposal for resolving the issue.  Since we probably will not join either the SoCal or CAC groups, there is a risk that those groups (especially SoCal) will snub TW once the evidentiary phase begins.  It is therefore imperative that Transwestern be well-prepared to defend its own interests.   </w:t>
      </w:r>
    </w:p>
    <w:p>
      <w:pPr>
        <w:pStyle w:val="Normal"/>
        <w:rPr/>
      </w:pPr>
      <w:r>
        <w:rPr/>
      </w:r>
    </w:p>
    <w:p>
      <w:pPr>
        <w:pStyle w:val="BodyText"/>
        <w:rPr/>
      </w:pPr>
      <w:r>
        <w:rPr/>
        <w:tab/>
        <w:t xml:space="preserve">I would recommend that Transwestern have legal representation in the evidentiary proceeding.  While one need not be a lawyer to appear in a CPUC proceeding, all of the other major parties to this particular proceeding are represented by either in-house or outside counsel and I assume those attorneys will be making the presentations on behalf of their clients. Because of my experience in other state regulatory proceedings and my knowledge of the current proceeding, I would feel comfortable appearing as Transwestern's attorney at the hearings.  However, regardless of who we decide should appear at the hearings, since I am no expert in CPUC matters I think it would be advantageous to have outside counsel to consult on procedural issues at the very least.  We need to discuss whether Mike Day is still an option in this regard.  Previously he expressed concern that a conflict of interest would develop if Transwestern's position in this proceeding diverged with that of ENA.  I had thought that this problem could easily be resolved by asking ENA to waive the conflict.  However, given recent developments (i.e., Mike is now chief spokesman for the CAC), I think it would be advisable at this point to see if we can find other counsel.  This late in the game, all the best known practitioners in this area seem to be spoken for so we will have to be open-minded. </w:t>
      </w:r>
    </w:p>
    <w:p>
      <w:pPr>
        <w:pStyle w:val="Normal"/>
        <w:jc w:val="both"/>
        <w:rPr/>
      </w:pPr>
      <w:r>
        <w:rPr/>
      </w:r>
    </w:p>
    <w:p>
      <w:pPr>
        <w:pStyle w:val="Normal"/>
        <w:jc w:val="both"/>
        <w:rPr/>
      </w:pPr>
      <w:r>
        <w:rPr/>
        <w:tab/>
        <w:t xml:space="preserve">Jeff Fawcett and I, along with Jeff Dasovich and Mark Baldwin, have already expended significant time sorting through the parties' positions and developing and presenting a receipt point proposal.  Most of the analysis required for developing testimony has already been done.  On the other hand, attendance at the evidentiary hearings and the prehearing conferences will require significant out-of-office time: one day for each of the prehearing conferences and five days for the hearings on May 3 – 7, plus travel time.  </w:t>
      </w:r>
    </w:p>
    <w:p>
      <w:pPr>
        <w:pStyle w:val="Normal"/>
        <w:jc w:val="both"/>
        <w:rPr/>
      </w:pPr>
      <w:r>
        <w:rPr/>
      </w:r>
    </w:p>
    <w:p>
      <w:pPr>
        <w:pStyle w:val="Normal"/>
        <w:jc w:val="both"/>
        <w:rPr/>
      </w:pPr>
      <w:r>
        <w:rPr/>
        <w:tab/>
        <w:t>I would like to discuss with you whether my attending these hearings as attorney for Transwestern is feasible given my duties to the TW Commercial Group, and, if not, who should appear on TW's behalf.   Please let me know when you might be available to discuss this by teleconference next week.</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Black">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2000-01-18T19:30:00Z</dcterms:created>
  <dc:creator>Susan Scott</dc:creator>
  <dc:description/>
  <dc:language>en-CA</dc:language>
  <cp:lastModifiedBy>Susan Scott</cp:lastModifiedBy>
  <dcterms:modified xsi:type="dcterms:W3CDTF">2000-01-18T21:21:00Z</dcterms:modified>
  <cp:revision>4</cp:revision>
  <dc:subject/>
  <dc:title>RULING </dc:title>
</cp:coreProperties>
</file>