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drawing>
          <wp:inline distT="0" distB="0" distL="0" distR="0">
            <wp:extent cx="725805" cy="7315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25805" cy="731520"/>
                    </a:xfrm>
                    <a:prstGeom prst="rect">
                      <a:avLst/>
                    </a:prstGeom>
                    <a:noFill/>
                  </pic:spPr>
                </pic:pic>
              </a:graphicData>
            </a:graphic>
          </wp:inline>
        </w:drawing>
      </w:r>
    </w:p>
    <w:p>
      <w:pPr>
        <w:pStyle w:val="Caption"/>
        <w:tabs>
          <w:tab w:val="clear" w:pos="720"/>
          <w:tab w:val="left" w:pos="7380" w:leader="none"/>
        </w:tabs>
        <w:jc w:val="start"/>
        <w:rPr>
          <w:rFonts w:ascii="Arial" w:hAnsi="Arial" w:cs="Arial"/>
        </w:rPr>
      </w:pPr>
      <w:r>
        <w:rPr>
          <w:rFonts w:cs="Arial" w:ascii="Arial" w:hAnsi="Arial"/>
        </w:rPr>
        <w:tab/>
        <w:t>Susan Scott</w:t>
      </w:r>
    </w:p>
    <w:p>
      <w:pPr>
        <w:pStyle w:val="Heading1"/>
        <w:tabs>
          <w:tab w:val="clear" w:pos="720"/>
          <w:tab w:val="left" w:pos="7380" w:leader="none"/>
        </w:tabs>
        <w:ind w:hanging="0" w:start="0"/>
        <w:jc w:val="start"/>
        <w:rPr>
          <w:i w:val="false"/>
          <w:i w:val="false"/>
        </w:rPr>
      </w:pPr>
      <w:r>
        <w:rPr/>
        <w:tab/>
        <w:t>Senior Counsel</w:t>
      </w:r>
    </w:p>
    <w:p>
      <w:pPr>
        <w:pStyle w:val="Normal"/>
        <w:tabs>
          <w:tab w:val="clear" w:pos="720"/>
          <w:tab w:val="left" w:pos="7380" w:leader="none"/>
        </w:tabs>
        <w:jc w:val="start"/>
        <w:rPr>
          <w:sz w:val="18"/>
        </w:rPr>
      </w:pPr>
      <w:r>
        <w:rPr/>
        <w:tab/>
      </w:r>
    </w:p>
    <w:p>
      <w:pPr>
        <w:pStyle w:val="Heading2"/>
        <w:tabs>
          <w:tab w:val="clear" w:pos="720"/>
          <w:tab w:val="left" w:pos="7380" w:leader="none"/>
        </w:tabs>
        <w:ind w:hanging="0" w:start="0"/>
        <w:jc w:val="start"/>
        <w:rPr/>
      </w:pPr>
      <w:r>
        <w:rPr/>
        <w:tab/>
      </w:r>
      <w:r>
        <w:rPr>
          <w:rFonts w:cs="Arial" w:ascii="Arial" w:hAnsi="Arial"/>
        </w:rPr>
        <w:t>Enron Transportation</w:t>
      </w:r>
    </w:p>
    <w:p>
      <w:pPr>
        <w:pStyle w:val="Normal"/>
        <w:tabs>
          <w:tab w:val="clear" w:pos="720"/>
          <w:tab w:val="left" w:pos="7380" w:leader="none"/>
        </w:tabs>
        <w:jc w:val="start"/>
        <w:rPr>
          <w:rFonts w:ascii="Arial" w:hAnsi="Arial" w:cs="Arial"/>
          <w:b/>
          <w:sz w:val="18"/>
        </w:rPr>
      </w:pPr>
      <w:r>
        <w:rPr>
          <w:rFonts w:cs="Arial" w:ascii="Arial" w:hAnsi="Arial"/>
          <w:b/>
          <w:sz w:val="18"/>
        </w:rPr>
        <w:tab/>
        <w:t>&amp; Storage</w:t>
      </w:r>
    </w:p>
    <w:p>
      <w:pPr>
        <w:pStyle w:val="Heading3"/>
        <w:tabs>
          <w:tab w:val="clear" w:pos="720"/>
          <w:tab w:val="left" w:pos="7380" w:leader="none"/>
        </w:tabs>
        <w:ind w:hanging="0" w:start="0"/>
        <w:jc w:val="start"/>
        <w:rPr>
          <w:sz w:val="14"/>
        </w:rPr>
      </w:pPr>
      <w:r>
        <w:rPr>
          <w:sz w:val="14"/>
        </w:rPr>
        <w:tab/>
        <w:t>Services Provided by Northern</w:t>
      </w:r>
    </w:p>
    <w:p>
      <w:pPr>
        <w:pStyle w:val="Heading5"/>
        <w:tabs>
          <w:tab w:val="clear" w:pos="720"/>
          <w:tab w:val="left" w:pos="7380" w:leader="none"/>
        </w:tabs>
        <w:ind w:start="0" w:end="0"/>
        <w:rPr/>
      </w:pPr>
      <w:r>
        <w:rPr/>
        <w:tab/>
        <w:t>Natural Gas  Company and</w:t>
      </w:r>
    </w:p>
    <w:p>
      <w:pPr>
        <w:pStyle w:val="Normal"/>
        <w:tabs>
          <w:tab w:val="clear" w:pos="720"/>
          <w:tab w:val="left" w:pos="7380" w:leader="none"/>
        </w:tabs>
        <w:jc w:val="start"/>
        <w:rPr>
          <w:i/>
          <w:i/>
          <w:sz w:val="16"/>
        </w:rPr>
      </w:pPr>
      <w:r>
        <w:rPr>
          <w:i/>
          <w:sz w:val="14"/>
        </w:rPr>
        <w:tab/>
        <w:t>Transwestern Pipeline Company</w:t>
      </w:r>
    </w:p>
    <w:p>
      <w:pPr>
        <w:pStyle w:val="Heading3"/>
        <w:tabs>
          <w:tab w:val="clear" w:pos="720"/>
          <w:tab w:val="left" w:pos="7380" w:leader="none"/>
        </w:tabs>
        <w:ind w:hanging="0" w:start="0"/>
        <w:jc w:val="start"/>
        <w:rPr/>
      </w:pPr>
      <w:r>
        <w:rPr/>
        <w:tab/>
        <w:t>P.O. Box 1188</w:t>
      </w:r>
    </w:p>
    <w:p>
      <w:pPr>
        <w:pStyle w:val="Heading6"/>
        <w:ind w:hanging="0" w:start="0"/>
        <w:rPr/>
      </w:pPr>
      <w:r>
        <w:rPr/>
        <w:tab/>
        <w:t>Houston, TX  77251-1188</w:t>
      </w:r>
    </w:p>
    <w:p>
      <w:pPr>
        <w:pStyle w:val="Normal"/>
        <w:tabs>
          <w:tab w:val="clear" w:pos="720"/>
          <w:tab w:val="left" w:pos="7380" w:leader="none"/>
        </w:tabs>
        <w:jc w:val="start"/>
        <w:rPr>
          <w:i/>
          <w:i/>
          <w:sz w:val="16"/>
        </w:rPr>
      </w:pPr>
      <w:r>
        <w:rPr>
          <w:i/>
          <w:sz w:val="16"/>
        </w:rPr>
      </w:r>
    </w:p>
    <w:p>
      <w:pPr>
        <w:pStyle w:val="Normal"/>
        <w:tabs>
          <w:tab w:val="clear" w:pos="720"/>
          <w:tab w:val="left" w:pos="7380" w:leader="none"/>
        </w:tabs>
        <w:jc w:val="start"/>
        <w:rPr>
          <w:i/>
          <w:i/>
          <w:sz w:val="16"/>
        </w:rPr>
      </w:pPr>
      <w:r>
        <w:rPr>
          <w:i/>
          <w:sz w:val="16"/>
        </w:rPr>
        <w:tab/>
        <w:t>1400 Smith Street</w:t>
      </w:r>
    </w:p>
    <w:p>
      <w:pPr>
        <w:pStyle w:val="Normal"/>
        <w:tabs>
          <w:tab w:val="clear" w:pos="720"/>
          <w:tab w:val="left" w:pos="7380" w:leader="none"/>
        </w:tabs>
        <w:jc w:val="start"/>
        <w:rPr>
          <w:i/>
          <w:i/>
          <w:sz w:val="16"/>
        </w:rPr>
      </w:pPr>
      <w:r>
        <w:rPr>
          <w:i/>
          <w:sz w:val="16"/>
        </w:rPr>
        <w:tab/>
        <w:t>Houston, TX  77002-7361</w:t>
      </w:r>
    </w:p>
    <w:p>
      <w:pPr>
        <w:pStyle w:val="Normal"/>
        <w:tabs>
          <w:tab w:val="clear" w:pos="720"/>
          <w:tab w:val="left" w:pos="7380" w:leader="none"/>
        </w:tabs>
        <w:jc w:val="start"/>
        <w:rPr>
          <w:i/>
          <w:i/>
          <w:sz w:val="16"/>
        </w:rPr>
      </w:pPr>
      <w:r>
        <w:rPr>
          <w:i/>
          <w:sz w:val="16"/>
        </w:rPr>
        <w:tab/>
        <w:t>(713) 853-0596</w:t>
      </w:r>
    </w:p>
    <w:p>
      <w:pPr>
        <w:pStyle w:val="Normal"/>
        <w:tabs>
          <w:tab w:val="clear" w:pos="720"/>
          <w:tab w:val="left" w:pos="7380" w:leader="none"/>
        </w:tabs>
        <w:jc w:val="start"/>
        <w:rPr>
          <w:i/>
          <w:i/>
          <w:sz w:val="16"/>
        </w:rPr>
      </w:pPr>
      <w:r>
        <w:rPr>
          <w:i/>
          <w:sz w:val="16"/>
        </w:rPr>
        <w:tab/>
        <w:t>Fax (713) 853-5425</w:t>
      </w:r>
    </w:p>
    <w:p>
      <w:pPr>
        <w:pStyle w:val="Normal"/>
        <w:tabs>
          <w:tab w:val="clear" w:pos="720"/>
          <w:tab w:val="left" w:pos="7380" w:leader="none"/>
        </w:tabs>
        <w:rPr/>
      </w:pPr>
      <w:r>
        <w:rPr>
          <w:rStyle w:val="Hyperlink"/>
          <w:i/>
          <w:u w:val="none"/>
        </w:rPr>
        <w:tab/>
      </w:r>
      <w:r>
        <w:rPr>
          <w:rStyle w:val="Hyperlink"/>
          <w:i/>
          <w:sz w:val="16"/>
          <w:u w:val="none"/>
        </w:rPr>
        <w:t>sscott3@enron.com</w:t>
      </w:r>
    </w:p>
    <w:p>
      <w:pPr>
        <w:pStyle w:val="Normal"/>
        <w:tabs>
          <w:tab w:val="clear" w:pos="720"/>
          <w:tab w:val="left" w:pos="7380" w:leader="none"/>
        </w:tabs>
        <w:rPr>
          <w:rStyle w:val="Hyperlink"/>
          <w:i/>
          <w:i/>
          <w:sz w:val="16"/>
          <w:u w:val="none"/>
        </w:rPr>
      </w:pPr>
      <w:r>
        <w:rPr/>
      </w:r>
    </w:p>
    <w:p>
      <w:pPr>
        <w:pStyle w:val="Normal"/>
        <w:rPr>
          <w:rStyle w:val="Hyperlink"/>
          <w:i/>
          <w:i/>
          <w:sz w:val="16"/>
          <w:u w:val="none"/>
        </w:rPr>
      </w:pPr>
      <w:r>
        <w:rPr/>
      </w:r>
    </w:p>
    <w:p>
      <w:pPr>
        <w:pStyle w:val="Heading2"/>
        <w:ind w:hanging="0" w:start="0"/>
        <w:jc w:val="center"/>
        <w:rPr>
          <w:b w:val="false"/>
          <w:sz w:val="24"/>
        </w:rPr>
      </w:pPr>
      <w:r>
        <w:rPr>
          <w:b w:val="false"/>
          <w:sz w:val="24"/>
        </w:rPr>
        <w:t>July 10, 2000</w:t>
      </w:r>
    </w:p>
    <w:p>
      <w:pPr>
        <w:pStyle w:val="Normal"/>
        <w:jc w:val="center"/>
        <w:rPr>
          <w:b/>
          <w:sz w:val="24"/>
        </w:rPr>
      </w:pPr>
      <w:r>
        <w:rPr>
          <w:b/>
          <w:sz w:val="24"/>
        </w:rPr>
      </w:r>
    </w:p>
    <w:p>
      <w:pPr>
        <w:pStyle w:val="Heading1"/>
        <w:ind w:hanging="0" w:start="0"/>
        <w:jc w:val="start"/>
        <w:rPr>
          <w:b/>
          <w:caps/>
          <w:sz w:val="24"/>
        </w:rPr>
      </w:pPr>
      <w:r>
        <w:rPr>
          <w:b/>
          <w:caps/>
          <w:sz w:val="24"/>
        </w:rPr>
        <w:t>By Hand Delivery</w:t>
      </w:r>
    </w:p>
    <w:p>
      <w:pPr>
        <w:pStyle w:val="Heading3"/>
        <w:ind w:hanging="0" w:start="0"/>
        <w:rPr>
          <w:b/>
          <w:i w:val="false"/>
          <w:i w:val="false"/>
          <w:caps/>
          <w:sz w:val="24"/>
        </w:rPr>
      </w:pPr>
      <w:r>
        <w:rPr>
          <w:b/>
          <w:i w:val="false"/>
          <w:caps/>
          <w:sz w:val="24"/>
        </w:rPr>
      </w:r>
    </w:p>
    <w:p>
      <w:pPr>
        <w:pStyle w:val="Heading3"/>
        <w:ind w:hanging="0" w:start="0"/>
        <w:rPr>
          <w:i w:val="false"/>
          <w:i w:val="false"/>
          <w:sz w:val="24"/>
        </w:rPr>
      </w:pPr>
      <w:r>
        <w:rPr>
          <w:i w:val="false"/>
          <w:sz w:val="24"/>
        </w:rPr>
        <w:t>Docket Office</w:t>
      </w:r>
    </w:p>
    <w:p>
      <w:pPr>
        <w:pStyle w:val="Heading3"/>
        <w:ind w:hanging="0" w:start="0"/>
        <w:rPr>
          <w:i w:val="false"/>
          <w:i w:val="false"/>
          <w:sz w:val="24"/>
        </w:rPr>
      </w:pPr>
      <w:r>
        <w:rPr>
          <w:i w:val="false"/>
          <w:sz w:val="24"/>
        </w:rPr>
        <w:t>California Public Utilities Commission</w:t>
      </w:r>
    </w:p>
    <w:p>
      <w:pPr>
        <w:pStyle w:val="Normal"/>
        <w:rPr/>
      </w:pPr>
      <w:r>
        <w:rPr/>
        <w:t>505 Van Ness Avenue, Room 2001</w:t>
      </w:r>
    </w:p>
    <w:p>
      <w:pPr>
        <w:pStyle w:val="Normal"/>
        <w:rPr/>
      </w:pPr>
      <w:r>
        <w:rPr/>
        <w:t>San Francisco, CA 94102</w:t>
      </w:r>
    </w:p>
    <w:p>
      <w:pPr>
        <w:pStyle w:val="Normal"/>
        <w:rPr/>
      </w:pPr>
      <w:r>
        <w:rPr/>
      </w:r>
    </w:p>
    <w:p>
      <w:pPr>
        <w:pStyle w:val="Normal"/>
        <w:ind w:hanging="720" w:start="1440" w:end="0"/>
        <w:rPr/>
      </w:pPr>
      <w:r>
        <w:rPr/>
        <w:t>RE:</w:t>
        <w:tab/>
        <w:t>Investigation on the Commission's Own Motion to Consider the Costs and Benefits of Various Promising Revisions to the Regulatory and Market Structure Governing California's Natural Gas Industry and to Report to the California Legislature on the Commission's Findings (I.99-07-003)</w:t>
      </w:r>
    </w:p>
    <w:p>
      <w:pPr>
        <w:pStyle w:val="Normal"/>
        <w:ind w:hanging="720" w:start="1440" w:end="0"/>
        <w:rPr/>
      </w:pPr>
      <w:r>
        <w:rPr/>
      </w:r>
    </w:p>
    <w:p>
      <w:pPr>
        <w:pStyle w:val="Normal"/>
        <w:rPr/>
      </w:pPr>
      <w:r>
        <w:rPr/>
        <w:t>Dear Docket Clerk:</w:t>
      </w:r>
    </w:p>
    <w:p>
      <w:pPr>
        <w:pStyle w:val="Normal"/>
        <w:rPr/>
      </w:pPr>
      <w:r>
        <w:rPr/>
      </w:r>
    </w:p>
    <w:p>
      <w:pPr>
        <w:pStyle w:val="Normal"/>
        <w:rPr/>
      </w:pPr>
      <w:r>
        <w:rPr/>
        <w:tab/>
        <w:t>Enclosed are an original and (3) copies of Transwestern Pipeline Company's Opening Brief in Support of Comprehensive Settlement Agreement in the referenced proceeding.</w:t>
      </w:r>
    </w:p>
    <w:p>
      <w:pPr>
        <w:pStyle w:val="Normal"/>
        <w:rPr/>
      </w:pPr>
      <w:r>
        <w:rPr/>
      </w:r>
    </w:p>
    <w:p>
      <w:pPr>
        <w:pStyle w:val="Normal"/>
        <w:rPr/>
      </w:pPr>
      <w:r>
        <w:rPr/>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rPr/>
      </w:pPr>
      <w:r>
        <w:rPr/>
        <w:t>Enclosures</w:t>
      </w:r>
    </w:p>
    <w:p>
      <w:pPr>
        <w:pStyle w:val="Normal"/>
        <w:rPr/>
      </w:pPr>
      <w:r>
        <w:rPr/>
        <w:t>cc:</w:t>
        <w:tab/>
        <w:t>Judge Andrea Biren</w:t>
      </w:r>
    </w:p>
    <w:p>
      <w:pPr>
        <w:pStyle w:val="Normal"/>
        <w:rPr/>
      </w:pPr>
      <w:r>
        <w:rPr/>
        <w:tab/>
        <w:t>Service List</w:t>
      </w:r>
    </w:p>
    <w:p>
      <w:pPr>
        <w:pStyle w:val="Normal"/>
        <w:rPr/>
      </w:pPr>
      <w:r>
        <w:rPr/>
      </w:r>
    </w:p>
    <w:p>
      <w:pPr>
        <w:pStyle w:val="Normal"/>
        <w:tabs>
          <w:tab w:val="clear" w:pos="720"/>
          <w:tab w:val="left" w:pos="7380" w:leader="none"/>
        </w:tabs>
        <w:rPr/>
      </w:pPr>
      <w:r>
        <w:rPr/>
      </w:r>
    </w:p>
    <w:sectPr>
      <w:headerReference w:type="default" r:id="rId3"/>
      <w:headerReference w:type="first" r:id="rId4"/>
      <w:footerReference w:type="default" r:id="rId5"/>
      <w:footerReference w:type="first" r:id="rId6"/>
      <w:type w:val="nextPage"/>
      <w:pgSz w:w="12240" w:h="15840"/>
      <w:pgMar w:left="1440" w:right="1440" w:gutter="0" w:header="432" w:top="576" w:footer="432"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n:\homedept\legal\mpavlou\rate case\initial data requests\edwards letter.doc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sz w:val="20"/>
      </w:rPr>
    </w:pPr>
    <w:r>
      <w:rPr>
        <w:rFonts w:cs="Arial" w:ascii="Arial" w:hAnsi="Arial"/>
        <w:sz w:val="20"/>
      </w:rPr>
      <w:t>Natural gas.  Electricity.  Endless possibilities.™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Ms. Katherine B. Edwards</w:t>
    </w:r>
  </w:p>
  <w:p>
    <w:pPr>
      <w:pStyle w:val="Header"/>
      <w:rPr/>
    </w:pPr>
    <w:r>
      <w:rPr/>
      <w:t>December 30, 1998</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end"/>
      <w:outlineLvl w:val="0"/>
    </w:pPr>
    <w:rPr>
      <w:i/>
      <w:sz w:val="18"/>
    </w:rPr>
  </w:style>
  <w:style w:type="paragraph" w:styleId="Heading2">
    <w:name w:val="heading 2"/>
    <w:basedOn w:val="Normal"/>
    <w:next w:val="Normal"/>
    <w:qFormat/>
    <w:pPr>
      <w:keepNext w:val="true"/>
      <w:numPr>
        <w:ilvl w:val="1"/>
        <w:numId w:val="1"/>
      </w:numPr>
      <w:outlineLvl w:val="1"/>
    </w:pPr>
    <w:rPr>
      <w:b/>
      <w:sz w:val="18"/>
    </w:rPr>
  </w:style>
  <w:style w:type="paragraph" w:styleId="Heading3">
    <w:name w:val="heading 3"/>
    <w:basedOn w:val="Normal"/>
    <w:next w:val="Normal"/>
    <w:qFormat/>
    <w:pPr>
      <w:keepNext w:val="true"/>
      <w:numPr>
        <w:ilvl w:val="2"/>
        <w:numId w:val="1"/>
      </w:numPr>
      <w:outlineLvl w:val="2"/>
    </w:pPr>
    <w:rPr>
      <w:i/>
      <w:sz w:val="16"/>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ind w:hanging="0" w:start="7560" w:end="0"/>
      <w:jc w:val="start"/>
      <w:outlineLvl w:val="4"/>
    </w:pPr>
    <w:rPr>
      <w:i/>
      <w:sz w:val="14"/>
    </w:rPr>
  </w:style>
  <w:style w:type="paragraph" w:styleId="Heading6">
    <w:name w:val="heading 6"/>
    <w:basedOn w:val="Normal"/>
    <w:next w:val="Normal"/>
    <w:qFormat/>
    <w:pPr>
      <w:keepNext w:val="true"/>
      <w:numPr>
        <w:ilvl w:val="5"/>
        <w:numId w:val="1"/>
      </w:numPr>
      <w:tabs>
        <w:tab w:val="clear" w:pos="720"/>
        <w:tab w:val="left" w:pos="7380" w:leader="none"/>
      </w:tabs>
      <w:jc w:val="start"/>
      <w:outlineLvl w:val="5"/>
    </w:pPr>
    <w:rPr>
      <w:i/>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rPr>
  </w:style>
  <w:style w:type="paragraph" w:styleId="List">
    <w:name w:val="List"/>
    <w:basedOn w:val="BodyText"/>
    <w:pPr/>
    <w:rPr>
      <w:rFonts w:cs="NotoSans NF"/>
    </w:rPr>
  </w:style>
  <w:style w:type="paragraph" w:styleId="Caption">
    <w:name w:val="caption"/>
    <w:basedOn w:val="Normal"/>
    <w:next w:val="Normal"/>
    <w:qFormat/>
    <w:pPr>
      <w:jc w:val="end"/>
    </w:pPr>
    <w:rPr>
      <w:b/>
      <w:sz w:val="1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2000-07-10T14:52:00Z</dcterms:created>
  <dc:creator>Earleen Thomas</dc:creator>
  <dc:description/>
  <dc:language>en-CA</dc:language>
  <cp:lastModifiedBy>jcones</cp:lastModifiedBy>
  <cp:lastPrinted>2000-07-10T15:14:00Z</cp:lastPrinted>
  <dcterms:modified xsi:type="dcterms:W3CDTF">2000-07-10T17:49:00Z</dcterms:modified>
  <cp:revision>4</cp:revision>
  <dc:subject/>
  <dc:title> </dc:title>
</cp:coreProperties>
</file>