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rFonts w:ascii="Comic Sans MS" w:hAnsi="Comic Sans MS" w:cs="Comic Sans MS"/>
          <w:sz w:val="24"/>
        </w:rPr>
      </w:pPr>
      <w:r>
        <w:rPr>
          <w:rFonts w:cs="Comic Sans MS" w:ascii="Comic Sans MS" w:hAnsi="Comic Sans MS"/>
          <w:sz w:val="24"/>
        </w:rPr>
        <w:t xml:space="preserve">Southern California Gas Company has scheduled a conference call on Monday, May 21, at 8:30 AM to coordinate the comments that we will make to the CPUC at the Tuesday, May 22, GIR en-banc hearing. </w:t>
      </w:r>
    </w:p>
    <w:p>
      <w:pPr>
        <w:pStyle w:val="Normal"/>
        <w:ind w:firstLine="720" w:end="0"/>
        <w:rPr>
          <w:rFonts w:ascii="Comic Sans MS" w:hAnsi="Comic Sans MS" w:cs="Comic Sans MS"/>
          <w:sz w:val="24"/>
        </w:rPr>
      </w:pPr>
      <w:r>
        <w:rPr>
          <w:rFonts w:cs="Comic Sans MS" w:ascii="Comic Sans MS" w:hAnsi="Comic Sans MS"/>
          <w:sz w:val="24"/>
        </w:rPr>
      </w:r>
    </w:p>
    <w:p>
      <w:pPr>
        <w:pStyle w:val="Normal"/>
        <w:ind w:firstLine="720" w:end="0"/>
        <w:rPr>
          <w:rFonts w:ascii="Comic Sans MS" w:hAnsi="Comic Sans MS" w:cs="Comic Sans MS"/>
          <w:sz w:val="24"/>
        </w:rPr>
      </w:pPr>
      <w:r>
        <w:rPr>
          <w:rFonts w:cs="Comic Sans MS" w:ascii="Comic Sans MS" w:hAnsi="Comic Sans MS"/>
          <w:sz w:val="24"/>
        </w:rPr>
        <w:t>At the hearing, I think, it would be appropriate to address the following topics:</w:t>
      </w:r>
    </w:p>
    <w:p>
      <w:pPr>
        <w:pStyle w:val="Normal"/>
        <w:ind w:firstLine="720" w:end="0"/>
        <w:rPr>
          <w:rFonts w:ascii="Comic Sans MS" w:hAnsi="Comic Sans MS" w:cs="Comic Sans MS"/>
          <w:sz w:val="24"/>
        </w:rPr>
      </w:pPr>
      <w:r>
        <w:rPr>
          <w:rFonts w:cs="Comic Sans MS" w:ascii="Comic Sans MS" w:hAnsi="Comic Sans MS"/>
          <w:sz w:val="24"/>
        </w:rPr>
      </w:r>
    </w:p>
    <w:p>
      <w:pPr>
        <w:pStyle w:val="Normal"/>
        <w:numPr>
          <w:ilvl w:val="0"/>
          <w:numId w:val="1"/>
        </w:numPr>
        <w:tabs>
          <w:tab w:val="clear" w:pos="720"/>
          <w:tab w:val="left" w:pos="1260" w:leader="none"/>
        </w:tabs>
        <w:rPr>
          <w:rFonts w:ascii="Comic Sans MS" w:hAnsi="Comic Sans MS" w:cs="Comic Sans MS"/>
          <w:sz w:val="24"/>
        </w:rPr>
      </w:pPr>
      <w:r>
        <w:rPr>
          <w:rFonts w:cs="Comic Sans MS" w:ascii="Comic Sans MS" w:hAnsi="Comic Sans MS"/>
          <w:sz w:val="24"/>
        </w:rPr>
        <w:t>history/context of GIR proceeding;</w:t>
      </w:r>
    </w:p>
    <w:p>
      <w:pPr>
        <w:pStyle w:val="Normal"/>
        <w:numPr>
          <w:ilvl w:val="0"/>
          <w:numId w:val="1"/>
        </w:numPr>
        <w:tabs>
          <w:tab w:val="clear" w:pos="720"/>
          <w:tab w:val="left" w:pos="1260" w:leader="none"/>
        </w:tabs>
        <w:rPr>
          <w:rFonts w:ascii="Comic Sans MS" w:hAnsi="Comic Sans MS" w:cs="Comic Sans MS"/>
          <w:sz w:val="24"/>
        </w:rPr>
      </w:pPr>
      <w:r>
        <w:rPr>
          <w:rFonts w:cs="Comic Sans MS" w:ascii="Comic Sans MS" w:hAnsi="Comic Sans MS"/>
          <w:sz w:val="24"/>
        </w:rPr>
        <w:t>benefits of intrastate transmission unbundling;</w:t>
      </w:r>
    </w:p>
    <w:p>
      <w:pPr>
        <w:pStyle w:val="Normal"/>
        <w:numPr>
          <w:ilvl w:val="0"/>
          <w:numId w:val="1"/>
        </w:numPr>
        <w:tabs>
          <w:tab w:val="clear" w:pos="720"/>
          <w:tab w:val="left" w:pos="1260" w:leader="none"/>
        </w:tabs>
        <w:rPr>
          <w:rFonts w:ascii="Comic Sans MS" w:hAnsi="Comic Sans MS" w:cs="Comic Sans MS"/>
          <w:sz w:val="24"/>
        </w:rPr>
      </w:pPr>
      <w:r>
        <w:rPr>
          <w:rFonts w:cs="Comic Sans MS" w:ascii="Comic Sans MS" w:hAnsi="Comic Sans MS"/>
          <w:sz w:val="24"/>
        </w:rPr>
        <w:t>benefits of storage unbundling;</w:t>
      </w:r>
    </w:p>
    <w:p>
      <w:pPr>
        <w:pStyle w:val="Normal"/>
        <w:numPr>
          <w:ilvl w:val="0"/>
          <w:numId w:val="1"/>
        </w:numPr>
        <w:tabs>
          <w:tab w:val="clear" w:pos="720"/>
          <w:tab w:val="left" w:pos="1260" w:leader="none"/>
        </w:tabs>
        <w:rPr>
          <w:rFonts w:ascii="Comic Sans MS" w:hAnsi="Comic Sans MS" w:cs="Comic Sans MS"/>
          <w:sz w:val="24"/>
        </w:rPr>
      </w:pPr>
      <w:r>
        <w:rPr>
          <w:rFonts w:cs="Comic Sans MS" w:ascii="Comic Sans MS" w:hAnsi="Comic Sans MS"/>
          <w:sz w:val="24"/>
        </w:rPr>
        <w:t>benefits derived on PG&amp;E system from unbundling;</w:t>
      </w:r>
    </w:p>
    <w:p>
      <w:pPr>
        <w:pStyle w:val="Normal"/>
        <w:numPr>
          <w:ilvl w:val="0"/>
          <w:numId w:val="1"/>
        </w:numPr>
        <w:tabs>
          <w:tab w:val="clear" w:pos="720"/>
          <w:tab w:val="left" w:pos="1260" w:leader="none"/>
        </w:tabs>
        <w:rPr>
          <w:rFonts w:ascii="Comic Sans MS" w:hAnsi="Comic Sans MS" w:cs="Comic Sans MS"/>
          <w:sz w:val="24"/>
        </w:rPr>
      </w:pPr>
      <w:r>
        <w:rPr>
          <w:rFonts w:cs="Comic Sans MS" w:ascii="Comic Sans MS" w:hAnsi="Comic Sans MS"/>
          <w:sz w:val="24"/>
        </w:rPr>
        <w:t>benefits of retail market enhancements; and</w:t>
      </w:r>
    </w:p>
    <w:p>
      <w:pPr>
        <w:pStyle w:val="Normal"/>
        <w:numPr>
          <w:ilvl w:val="0"/>
          <w:numId w:val="1"/>
        </w:numPr>
        <w:tabs>
          <w:tab w:val="clear" w:pos="720"/>
          <w:tab w:val="left" w:pos="1260" w:leader="none"/>
        </w:tabs>
        <w:rPr>
          <w:rFonts w:ascii="Comic Sans MS" w:hAnsi="Comic Sans MS" w:cs="Comic Sans MS"/>
          <w:sz w:val="24"/>
        </w:rPr>
      </w:pPr>
      <w:r>
        <w:rPr>
          <w:rFonts w:cs="Comic Sans MS" w:ascii="Comic Sans MS" w:hAnsi="Comic Sans MS"/>
          <w:sz w:val="24"/>
        </w:rPr>
        <w:t>benefits from CPUC exerting regulatory control.</w:t>
      </w:r>
    </w:p>
    <w:p>
      <w:pPr>
        <w:pStyle w:val="Normal"/>
        <w:ind w:start="720" w:end="0"/>
        <w:rPr>
          <w:rFonts w:ascii="Comic Sans MS" w:hAnsi="Comic Sans MS" w:cs="Comic Sans MS"/>
          <w:sz w:val="24"/>
        </w:rPr>
      </w:pPr>
      <w:r>
        <w:rPr>
          <w:rFonts w:cs="Comic Sans MS" w:ascii="Comic Sans MS" w:hAnsi="Comic Sans MS"/>
          <w:sz w:val="24"/>
        </w:rPr>
      </w:r>
    </w:p>
    <w:p>
      <w:pPr>
        <w:pStyle w:val="Normal"/>
        <w:ind w:firstLine="720" w:end="0"/>
        <w:rPr>
          <w:rFonts w:ascii="Comic Sans MS" w:hAnsi="Comic Sans MS" w:cs="Comic Sans MS"/>
          <w:sz w:val="24"/>
        </w:rPr>
      </w:pPr>
      <w:r>
        <w:rPr>
          <w:rFonts w:cs="Comic Sans MS" w:ascii="Comic Sans MS" w:hAnsi="Comic Sans MS"/>
          <w:sz w:val="24"/>
        </w:rPr>
        <w:t>Perhaps, it would be best for each of us to choose on one or two of the above topics and focus our comments in those areas.  We will discuss who is best suited to address these topics during the conference call on Monday.</w:t>
      </w:r>
    </w:p>
    <w:p>
      <w:pPr>
        <w:pStyle w:val="Normal"/>
        <w:ind w:firstLine="720" w:end="0"/>
        <w:rPr>
          <w:rFonts w:ascii="Comic Sans MS" w:hAnsi="Comic Sans MS" w:cs="Comic Sans MS"/>
          <w:sz w:val="24"/>
        </w:rPr>
      </w:pPr>
      <w:r>
        <w:rPr>
          <w:rFonts w:cs="Comic Sans MS" w:ascii="Comic Sans MS" w:hAnsi="Comic Sans MS"/>
          <w:sz w:val="24"/>
        </w:rPr>
      </w:r>
    </w:p>
    <w:p>
      <w:pPr>
        <w:pStyle w:val="Normal"/>
        <w:rPr>
          <w:rFonts w:ascii="Comic Sans MS" w:hAnsi="Comic Sans MS" w:cs="Comic Sans MS"/>
          <w:sz w:val="24"/>
        </w:rPr>
      </w:pPr>
      <w:r>
        <w:rPr>
          <w:rFonts w:cs="Comic Sans MS" w:ascii="Comic Sans MS" w:hAnsi="Comic Sans MS"/>
          <w:sz w:val="24"/>
        </w:rPr>
        <w:tab/>
        <w:t>Please use the call in information below to access the conference call:</w:t>
      </w:r>
    </w:p>
    <w:p>
      <w:pPr>
        <w:pStyle w:val="Normal"/>
        <w:jc w:val="center"/>
        <w:rPr>
          <w:rFonts w:ascii="Comic Sans MS" w:hAnsi="Comic Sans MS" w:cs="Comic Sans MS"/>
          <w:sz w:val="24"/>
        </w:rPr>
      </w:pPr>
      <w:r>
        <w:rPr>
          <w:rFonts w:cs="Comic Sans MS" w:ascii="Comic Sans MS" w:hAnsi="Comic Sans MS"/>
          <w:sz w:val="24"/>
        </w:rPr>
        <w:t>Dial In:  (877) 676-6548</w:t>
      </w:r>
    </w:p>
    <w:p>
      <w:pPr>
        <w:pStyle w:val="Normal"/>
        <w:ind w:firstLine="720" w:end="0"/>
        <w:jc w:val="center"/>
        <w:rPr>
          <w:rFonts w:ascii="Comic Sans MS" w:hAnsi="Comic Sans MS" w:cs="Comic Sans MS"/>
          <w:sz w:val="24"/>
        </w:rPr>
      </w:pPr>
      <w:r>
        <w:rPr>
          <w:rFonts w:cs="Comic Sans MS" w:ascii="Comic Sans MS" w:hAnsi="Comic Sans MS"/>
          <w:sz w:val="24"/>
        </w:rPr>
        <w:t>Pass code:  4455426</w:t>
      </w:r>
    </w:p>
    <w:p>
      <w:pPr>
        <w:pStyle w:val="Normal"/>
        <w:ind w:firstLine="720" w:end="0"/>
        <w:rPr>
          <w:rFonts w:ascii="Comic Sans MS" w:hAnsi="Comic Sans MS" w:cs="Comic Sans MS"/>
          <w:sz w:val="24"/>
        </w:rPr>
      </w:pPr>
      <w:r>
        <w:rPr>
          <w:rFonts w:cs="Comic Sans MS" w:ascii="Comic Sans MS" w:hAnsi="Comic Sans MS"/>
          <w:sz w:val="24"/>
        </w:rPr>
      </w:r>
    </w:p>
    <w:p>
      <w:pPr>
        <w:pStyle w:val="Normal"/>
        <w:rPr>
          <w:rFonts w:ascii="Comic Sans MS" w:hAnsi="Comic Sans MS" w:cs="Comic Sans MS"/>
          <w:sz w:val="24"/>
        </w:rPr>
      </w:pPr>
      <w:r>
        <w:rPr>
          <w:rFonts w:cs="Comic Sans MS" w:ascii="Comic Sans MS" w:hAnsi="Comic Sans MS"/>
          <w:sz w:val="24"/>
        </w:rPr>
        <w:tab/>
        <w:t xml:space="preserve">If there are any questions, please call Lad Lorenz at (213) 244-3820.  </w:t>
      </w:r>
    </w:p>
    <w:p>
      <w:pPr>
        <w:pStyle w:val="Normal"/>
        <w:rPr>
          <w:rFonts w:ascii="Comic Sans MS" w:hAnsi="Comic Sans MS" w:cs="Comic Sans MS"/>
          <w:sz w:val="24"/>
        </w:rPr>
      </w:pPr>
      <w:r>
        <w:rPr>
          <w:rFonts w:cs="Comic Sans MS" w:ascii="Comic Sans MS" w:hAnsi="Comic Sans MS"/>
          <w:sz w:val="24"/>
        </w:rPr>
      </w:r>
    </w:p>
    <w:p>
      <w:pPr>
        <w:pStyle w:val="Normal"/>
        <w:ind w:firstLine="720" w:end="0"/>
        <w:rPr>
          <w:rFonts w:ascii="Comic Sans MS" w:hAnsi="Comic Sans MS" w:cs="Comic Sans MS"/>
          <w:sz w:val="24"/>
        </w:rPr>
      </w:pPr>
      <w:r>
        <w:rPr>
          <w:rFonts w:cs="Comic Sans MS" w:ascii="Comic Sans MS" w:hAnsi="Comic Sans MS"/>
          <w:sz w:val="24"/>
        </w:rPr>
        <w:t>Thank you.</w:t>
      </w:r>
    </w:p>
    <w:p>
      <w:pPr>
        <w:pStyle w:val="Normal"/>
        <w:rPr>
          <w:rFonts w:ascii="Comic Sans MS" w:hAnsi="Comic Sans MS" w:cs="Comic Sans MS"/>
          <w:sz w:val="24"/>
        </w:rPr>
      </w:pPr>
      <w:r>
        <w:rPr>
          <w:rFonts w:cs="Comic Sans MS" w:ascii="Comic Sans MS" w:hAnsi="Comic Sans MS"/>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mic Sans MS">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2001-05-18T16:29:00Z</dcterms:created>
  <dc:creator>SEMPRA ENERGY</dc:creator>
  <dc:description/>
  <dc:language>en-CA</dc:language>
  <cp:lastModifiedBy>SEMPRA ENERGY</cp:lastModifiedBy>
  <cp:lastPrinted>2001-05-18T11:49:00Z</cp:lastPrinted>
  <dcterms:modified xsi:type="dcterms:W3CDTF">2001-05-18T16:52:00Z</dcterms:modified>
  <cp:revision>4</cp:revision>
  <dc:subject/>
  <dc:title>Southern California Gas Company has scheduled a conference call to coordinate the comments that we will make to the CPUC at the Tuesday, May 22, GIR en-banc hearing</dc:title>
</cp:coreProperties>
</file>