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504"/>
        <w:jc w:val="end"/>
        <w:rPr>
          <w:b/>
        </w:rPr>
      </w:pPr>
      <w:r>
        <w:rPr>
          <w:b/>
        </w:rPr>
        <w:t>Exhibit No. 17</w:t>
      </w:r>
    </w:p>
    <w:p>
      <w:pPr>
        <w:pStyle w:val="Normal"/>
        <w:ind w:end="504"/>
        <w:jc w:val="center"/>
        <w:rPr>
          <w:b/>
        </w:rPr>
      </w:pPr>
      <w:r>
        <w:rPr>
          <w:b/>
        </w:rPr>
      </w:r>
    </w:p>
    <w:p>
      <w:pPr>
        <w:pStyle w:val="Normal"/>
        <w:ind w:end="504"/>
        <w:jc w:val="center"/>
        <w:rPr/>
      </w:pPr>
      <w:r>
        <w:rPr/>
      </w:r>
    </w:p>
    <w:p>
      <w:pPr>
        <w:pStyle w:val="Normal"/>
        <w:ind w:end="504"/>
        <w:jc w:val="center"/>
        <w:rPr>
          <w:sz w:val="24"/>
        </w:rPr>
      </w:pPr>
      <w:r>
        <w:rPr>
          <w:sz w:val="24"/>
        </w:rPr>
      </w:r>
    </w:p>
    <w:p>
      <w:pPr>
        <w:pStyle w:val="Normal"/>
        <w:ind w:end="504"/>
        <w:jc w:val="center"/>
        <w:rPr>
          <w:sz w:val="24"/>
        </w:rPr>
      </w:pPr>
      <w:r>
        <w:rPr>
          <w:sz w:val="24"/>
        </w:rPr>
        <w:t>BEFORE THE</w:t>
      </w:r>
    </w:p>
    <w:p>
      <w:pPr>
        <w:pStyle w:val="Normal"/>
        <w:ind w:end="504"/>
        <w:jc w:val="center"/>
        <w:rPr>
          <w:sz w:val="24"/>
        </w:rPr>
      </w:pPr>
      <w:r>
        <w:rPr>
          <w:sz w:val="24"/>
        </w:rPr>
        <w:t>PUBLIC UTILITIES COMMISSION</w:t>
      </w:r>
    </w:p>
    <w:p>
      <w:pPr>
        <w:pStyle w:val="Normal"/>
        <w:ind w:end="504"/>
        <w:jc w:val="center"/>
        <w:rPr>
          <w:sz w:val="24"/>
        </w:rPr>
      </w:pPr>
      <w:r>
        <w:rPr>
          <w:sz w:val="24"/>
        </w:rPr>
        <w:t>OF THE</w:t>
      </w:r>
    </w:p>
    <w:p>
      <w:pPr>
        <w:pStyle w:val="Normal"/>
        <w:ind w:end="504"/>
        <w:jc w:val="center"/>
        <w:rPr>
          <w:sz w:val="24"/>
        </w:rPr>
      </w:pPr>
      <w:r>
        <w:rPr>
          <w:sz w:val="24"/>
        </w:rPr>
        <w:t>STATE OF CALIFORNIA</w:t>
      </w:r>
    </w:p>
    <w:p>
      <w:pPr>
        <w:pStyle w:val="Normal"/>
        <w:ind w:end="504"/>
        <w:jc w:val="center"/>
        <w:rPr>
          <w:sz w:val="24"/>
        </w:rPr>
      </w:pPr>
      <w:r>
        <w:rPr>
          <w:sz w:val="24"/>
        </w:rPr>
      </w:r>
    </w:p>
    <w:p>
      <w:pPr>
        <w:pStyle w:val="Normal"/>
        <w:ind w:end="504"/>
        <w:jc w:val="center"/>
        <w:rPr>
          <w:sz w:val="24"/>
        </w:rPr>
      </w:pPr>
      <w:r>
        <w:rPr>
          <w:sz w:val="24"/>
        </w:rPr>
      </w:r>
    </w:p>
    <w:p>
      <w:pPr>
        <w:pStyle w:val="Normal"/>
        <w:ind w:end="504"/>
        <w:jc w:val="center"/>
        <w:rPr>
          <w:sz w:val="24"/>
        </w:rPr>
      </w:pPr>
      <w:r>
        <w:rPr>
          <w:sz w:val="24"/>
        </w:rPr>
      </w:r>
    </w:p>
    <w:p>
      <w:pPr>
        <w:pStyle w:val="Normal"/>
        <w:ind w:end="504"/>
        <w:rPr>
          <w:sz w:val="24"/>
        </w:rPr>
      </w:pPr>
      <w:r>
        <w:rPr>
          <w:sz w:val="24"/>
        </w:rPr>
        <w:t>Investigation on the Commission’s Own</w:t>
        <w:tab/>
        <w:tab/>
        <w:t>)</w:t>
      </w:r>
    </w:p>
    <w:p>
      <w:pPr>
        <w:pStyle w:val="Normal"/>
        <w:ind w:end="504"/>
        <w:rPr>
          <w:sz w:val="24"/>
        </w:rPr>
      </w:pPr>
      <w:r>
        <w:rPr>
          <w:sz w:val="24"/>
        </w:rPr>
        <w:t xml:space="preserve">Motion To Consider the Costs and </w:t>
        <w:tab/>
        <w:tab/>
        <w:tab/>
        <w:t>)</w:t>
      </w:r>
    </w:p>
    <w:p>
      <w:pPr>
        <w:pStyle w:val="Normal"/>
        <w:ind w:end="504"/>
        <w:rPr>
          <w:sz w:val="24"/>
        </w:rPr>
      </w:pPr>
      <w:r>
        <w:rPr>
          <w:sz w:val="24"/>
        </w:rPr>
        <w:t>Benefits of Various Promising Revisions</w:t>
        <w:tab/>
        <w:tab/>
        <w:t>)</w:t>
      </w:r>
    </w:p>
    <w:p>
      <w:pPr>
        <w:pStyle w:val="Normal"/>
        <w:ind w:end="504"/>
        <w:rPr>
          <w:sz w:val="24"/>
        </w:rPr>
      </w:pPr>
      <w:r>
        <w:rPr>
          <w:sz w:val="24"/>
        </w:rPr>
        <w:t>to the Regulatory and Market Structure</w:t>
        <w:tab/>
        <w:tab/>
        <w:t>)  I.99-07-003</w:t>
      </w:r>
    </w:p>
    <w:p>
      <w:pPr>
        <w:pStyle w:val="Normal"/>
        <w:ind w:end="504"/>
        <w:rPr>
          <w:sz w:val="24"/>
        </w:rPr>
      </w:pPr>
      <w:r>
        <w:rPr>
          <w:sz w:val="24"/>
        </w:rPr>
        <w:t>Governing California’s Natural Gas Industry</w:t>
        <w:tab/>
        <w:tab/>
        <w:t>)</w:t>
      </w:r>
    </w:p>
    <w:p>
      <w:pPr>
        <w:pStyle w:val="Normal"/>
        <w:ind w:end="504"/>
        <w:rPr>
          <w:sz w:val="24"/>
        </w:rPr>
      </w:pPr>
      <w:r>
        <w:rPr>
          <w:sz w:val="24"/>
        </w:rPr>
        <w:t>and to Report to the California Legislature</w:t>
        <w:tab/>
        <w:tab/>
        <w:t>)</w:t>
      </w:r>
    </w:p>
    <w:p>
      <w:pPr>
        <w:pStyle w:val="Normal"/>
        <w:ind w:end="504"/>
        <w:rPr>
          <w:sz w:val="24"/>
        </w:rPr>
      </w:pPr>
      <w:r>
        <w:rPr>
          <w:sz w:val="24"/>
        </w:rPr>
        <w:t>On the Commission’s Findings</w:t>
        <w:tab/>
        <w:tab/>
        <w:tab/>
        <w:t>)</w:t>
      </w:r>
    </w:p>
    <w:p>
      <w:pPr>
        <w:pStyle w:val="Normal"/>
        <w:ind w:end="504"/>
        <w:rPr>
          <w:sz w:val="24"/>
        </w:rPr>
      </w:pPr>
      <w:r>
        <w:rPr>
          <w:sz w:val="24"/>
        </w:rPr>
        <w:t>__________________________________________)</w:t>
      </w:r>
    </w:p>
    <w:p>
      <w:pPr>
        <w:pStyle w:val="Normal"/>
        <w:ind w:end="504"/>
        <w:jc w:val="center"/>
        <w:rPr>
          <w:sz w:val="24"/>
        </w:rPr>
      </w:pPr>
      <w:r>
        <w:rPr>
          <w:sz w:val="24"/>
        </w:rPr>
      </w:r>
    </w:p>
    <w:p>
      <w:pPr>
        <w:pStyle w:val="Normal"/>
        <w:ind w:end="504"/>
        <w:jc w:val="center"/>
        <w:rPr>
          <w:sz w:val="24"/>
        </w:rPr>
      </w:pPr>
      <w:r>
        <w:rPr>
          <w:sz w:val="24"/>
        </w:rPr>
      </w:r>
    </w:p>
    <w:p>
      <w:pPr>
        <w:pStyle w:val="Normal"/>
        <w:ind w:end="504"/>
        <w:jc w:val="center"/>
        <w:rPr>
          <w:b/>
          <w:caps/>
          <w:sz w:val="24"/>
        </w:rPr>
      </w:pPr>
      <w:r>
        <w:rPr>
          <w:b/>
          <w:caps/>
          <w:sz w:val="24"/>
        </w:rPr>
      </w:r>
    </w:p>
    <w:p>
      <w:pPr>
        <w:pStyle w:val="Normal"/>
        <w:ind w:end="504"/>
        <w:jc w:val="center"/>
        <w:rPr>
          <w:b/>
          <w:caps/>
          <w:sz w:val="24"/>
        </w:rPr>
      </w:pPr>
      <w:r>
        <w:rPr>
          <w:b/>
          <w:caps/>
          <w:sz w:val="24"/>
        </w:rPr>
      </w:r>
    </w:p>
    <w:p>
      <w:pPr>
        <w:pStyle w:val="Normal"/>
        <w:ind w:end="504"/>
        <w:jc w:val="center"/>
        <w:rPr>
          <w:b/>
          <w:caps/>
          <w:sz w:val="24"/>
        </w:rPr>
      </w:pPr>
      <w:r>
        <w:rPr>
          <w:b/>
          <w:caps/>
          <w:sz w:val="24"/>
        </w:rPr>
        <w:t>Prepared rebuttal Testimony of Jeffery C. Fawcett</w:t>
      </w:r>
    </w:p>
    <w:p>
      <w:pPr>
        <w:pStyle w:val="Normal"/>
        <w:ind w:end="504"/>
        <w:jc w:val="center"/>
        <w:rPr>
          <w:b/>
          <w:caps/>
          <w:sz w:val="24"/>
        </w:rPr>
      </w:pPr>
      <w:r>
        <w:rPr>
          <w:b/>
          <w:caps/>
          <w:sz w:val="24"/>
        </w:rPr>
        <w:t>for transwestern pipeline company</w:t>
      </w:r>
    </w:p>
    <w:p>
      <w:pPr>
        <w:pStyle w:val="Normal"/>
        <w:ind w:end="504"/>
        <w:jc w:val="center"/>
        <w:rPr>
          <w:b/>
          <w:caps/>
          <w:sz w:val="24"/>
        </w:rPr>
      </w:pPr>
      <w:r>
        <w:rPr>
          <w:b/>
          <w:caps/>
          <w:sz w:val="24"/>
        </w:rPr>
        <w:t xml:space="preserve">in Support of the </w:t>
      </w:r>
    </w:p>
    <w:p>
      <w:pPr>
        <w:pStyle w:val="Normal"/>
        <w:ind w:end="504"/>
        <w:jc w:val="center"/>
        <w:rPr>
          <w:b/>
          <w:caps/>
          <w:sz w:val="24"/>
        </w:rPr>
      </w:pPr>
      <w:r>
        <w:rPr>
          <w:b/>
          <w:caps/>
          <w:sz w:val="24"/>
        </w:rPr>
        <w:t>Comprehensive Settlement Agreement</w:t>
      </w:r>
    </w:p>
    <w:p>
      <w:pPr>
        <w:pStyle w:val="Normal"/>
        <w:jc w:val="both"/>
        <w:rPr>
          <w:b/>
          <w:caps/>
          <w:sz w:val="24"/>
        </w:rPr>
      </w:pPr>
      <w:r>
        <w:rPr>
          <w:b/>
          <w:caps/>
          <w:sz w:val="24"/>
        </w:rPr>
      </w:r>
    </w:p>
    <w:p>
      <w:pPr>
        <w:pStyle w:val="Normal"/>
        <w:jc w:val="both"/>
        <w:rPr>
          <w:sz w:val="24"/>
        </w:rPr>
      </w:pPr>
      <w:r>
        <w:rPr>
          <w:sz w:val="24"/>
        </w:rPr>
      </w:r>
    </w:p>
    <w:p>
      <w:pPr>
        <w:pStyle w:val="Normal"/>
        <w:jc w:val="both"/>
        <w:rPr>
          <w:sz w:val="24"/>
        </w:rPr>
      </w:pPr>
      <w:r>
        <w:rPr>
          <w:sz w:val="24"/>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FirmName"/>
        <w:spacing w:lineRule="exact" w:line="454"/>
        <w:rPr>
          <w:rFonts w:ascii="Times New Roman" w:hAnsi="Times New Roman" w:cs="Times New Roman"/>
          <w:b/>
        </w:rPr>
      </w:pPr>
      <w:r>
        <w:rPr>
          <w:rFonts w:cs="Times New Roman" w:ascii="Times New Roman" w:hAnsi="Times New Roman"/>
          <w:b/>
        </w:rPr>
        <w:t>May 19, 2000</w:t>
      </w:r>
    </w:p>
    <w:p>
      <w:pPr>
        <w:pStyle w:val="Normal"/>
        <w:jc w:val="both"/>
        <w:rPr>
          <w:rFonts w:ascii="Times New Roman" w:hAnsi="Times New Roman" w:cs="Times New Roman"/>
          <w:b/>
        </w:rPr>
      </w:pPr>
      <w:r>
        <w:rPr>
          <w:rFonts w:cs="Times New Roman"/>
          <w:b/>
        </w:rPr>
      </w:r>
    </w:p>
    <w:p>
      <w:pPr>
        <w:sectPr>
          <w:footerReference w:type="default" r:id="rId2"/>
          <w:footerReference w:type="first" r:id="rId3"/>
          <w:type w:val="nextPage"/>
          <w:pgSz w:w="12240" w:h="15840"/>
          <w:pgMar w:left="1800" w:right="1800" w:gutter="0" w:header="0" w:top="1440" w:footer="720" w:bottom="1440"/>
          <w:lnNumType w:countBy="1" w:restart="newPage" w:distance="283"/>
          <w:pgNumType w:fmt="decimal"/>
          <w:formProt w:val="false"/>
          <w:titlePg/>
          <w:textDirection w:val="lrTb"/>
          <w:docGrid w:type="default" w:linePitch="360" w:charSpace="0"/>
        </w:sectPr>
        <w:pStyle w:val="Normal"/>
        <w:jc w:val="center"/>
        <w:rPr>
          <w:rFonts w:ascii="Book Antiqua;Times New Roman" w:hAnsi="Book Antiqua;Times New Roman" w:cs="Book Antiqua;Times New Roman"/>
          <w:b/>
          <w:sz w:val="24"/>
        </w:rPr>
      </w:pPr>
      <w:r>
        <w:rPr>
          <w:rFonts w:cs="Book Antiqua;Times New Roman" w:ascii="Book Antiqua;Times New Roman" w:hAnsi="Book Antiqua;Times New Roman"/>
          <w:b/>
          <w:sz w:val="24"/>
        </w:rPr>
      </w:r>
    </w:p>
    <w:p>
      <w:pPr>
        <w:pStyle w:val="Normal"/>
        <w:rPr>
          <w:rFonts w:ascii="Book Antiqua;Times New Roman" w:hAnsi="Book Antiqua;Times New Roman" w:cs="Book Antiqua;Times New Roman"/>
          <w:b/>
          <w:sz w:val="24"/>
        </w:rPr>
      </w:pPr>
      <w:r>
        <w:rPr>
          <w:rFonts w:cs="Book Antiqua;Times New Roman" w:ascii="Book Antiqua;Times New Roman" w:hAnsi="Book Antiqua;Times New Roman"/>
          <w:b/>
          <w:sz w:val="24"/>
        </w:rPr>
      </w:r>
    </w:p>
    <w:p>
      <w:pPr>
        <w:pStyle w:val="Heading"/>
        <w:rPr/>
      </w:pPr>
      <w:r>
        <w:rPr>
          <w:b/>
        </w:rPr>
        <w:t xml:space="preserve">PREPARED </w:t>
      </w:r>
      <w:r>
        <w:rPr>
          <w:b/>
          <w:caps/>
        </w:rPr>
        <w:t>Rebuttal</w:t>
      </w:r>
      <w:r>
        <w:rPr>
          <w:b/>
        </w:rPr>
        <w:t xml:space="preserve"> TESTIMONY OF JEFFERY C. FAWCETT</w:t>
      </w:r>
    </w:p>
    <w:p>
      <w:pPr>
        <w:pStyle w:val="Normal"/>
        <w:spacing w:lineRule="auto" w:line="360"/>
        <w:jc w:val="center"/>
        <w:rPr>
          <w:b/>
          <w:sz w:val="24"/>
        </w:rPr>
      </w:pPr>
      <w:r>
        <w:rPr>
          <w:b/>
          <w:sz w:val="24"/>
        </w:rPr>
        <w:t>ON BEHALF OF TRANSWESTERN PIPELINE COMPANY</w:t>
      </w:r>
    </w:p>
    <w:p>
      <w:pPr>
        <w:pStyle w:val="Normal"/>
        <w:spacing w:lineRule="auto" w:line="360"/>
        <w:jc w:val="center"/>
        <w:rPr>
          <w:b/>
          <w:sz w:val="24"/>
        </w:rPr>
      </w:pPr>
      <w:r>
        <w:rPr>
          <w:b/>
          <w:sz w:val="24"/>
        </w:rPr>
        <w:t>IN SUPPORT OF THE COMPREHENSIVE SETTLEMENT AGREEMENT</w:t>
      </w:r>
    </w:p>
    <w:p>
      <w:pPr>
        <w:pStyle w:val="Normal"/>
        <w:spacing w:lineRule="auto" w:line="360"/>
        <w:jc w:val="center"/>
        <w:rPr>
          <w:b/>
          <w:sz w:val="24"/>
        </w:rPr>
      </w:pPr>
      <w:r>
        <w:rPr>
          <w:b/>
          <w:sz w:val="24"/>
        </w:rPr>
        <w:t>IN I.99-07-003</w:t>
      </w:r>
    </w:p>
    <w:p>
      <w:pPr>
        <w:pStyle w:val="Normal"/>
        <w:spacing w:lineRule="auto" w:line="360"/>
        <w:jc w:val="center"/>
        <w:rPr>
          <w:b/>
          <w:sz w:val="24"/>
        </w:rPr>
      </w:pPr>
      <w:r>
        <w:rPr>
          <w:b/>
          <w:sz w:val="24"/>
        </w:rPr>
      </w:r>
    </w:p>
    <w:p>
      <w:pPr>
        <w:pStyle w:val="BodyText"/>
        <w:spacing w:lineRule="auto" w:line="360"/>
        <w:rPr/>
      </w:pPr>
      <w:r>
        <w:rPr/>
        <w:tab/>
        <w:t>This testimony is in response to statements made by witnesses on behalf of Kern River and the parties to the Post-Interim Settlement.</w:t>
      </w:r>
    </w:p>
    <w:p>
      <w:pPr>
        <w:pStyle w:val="Normal"/>
        <w:spacing w:lineRule="auto" w:line="360"/>
        <w:jc w:val="both"/>
        <w:rPr/>
      </w:pPr>
      <w:r>
        <w:rPr>
          <w:sz w:val="24"/>
        </w:rPr>
        <w:tab/>
        <w:t>Kern River's witness, Kirk Morgan, states that the Comprehensive Settlement's provisions granting secondary rights to new or expanded interconnections amounts to an effort to "discourage new pipeline interconnections."  Testimony of Kirk T. Morgan at p. 2, lines 18 – 23.  There is no basis for this statement.  On the contrary, the Settlement parties envisioned that future market conditions might warrant new supply interconnects and nothing in the Comprehensive Settlement precludes such interconnections from occurring.</w:t>
      </w:r>
      <w:r>
        <w:rPr>
          <w:color w:val="000000"/>
          <w:sz w:val="24"/>
        </w:rPr>
        <w:t xml:space="preserve">  </w:t>
      </w:r>
      <w:r>
        <w:rPr>
          <w:sz w:val="24"/>
        </w:rPr>
        <w:t xml:space="preserve">The Settlement parties designed the receipt point protocol to allow interconnections while protecting existing shippers' primary firm rights from unnecessary disruption.  In fact, one of the chief </w:t>
      </w:r>
      <w:r>
        <w:rPr>
          <w:color w:val="000000"/>
          <w:sz w:val="24"/>
        </w:rPr>
        <w:t>benefits of the Comprehensive Settlement is that during the entire settlement period holders of SoCalGas backbone capacity are assured of a high level of stability and certainty for their backbone capacity entitlements.</w:t>
      </w:r>
    </w:p>
    <w:p>
      <w:pPr>
        <w:pStyle w:val="BodyText"/>
        <w:spacing w:lineRule="auto" w:line="360"/>
        <w:rPr/>
      </w:pPr>
      <w:r>
        <w:rPr/>
        <w:tab/>
        <w:t>Mr. Morgan also states that the Comprehensive Settlement should be modified to allow new supply interconnections "primary firm receipt capacity, where such new interconnections do not degrade existing delivery capacity at the existing SoCalGas receipt points." Testimony at p. 3, lines 3 – 6.  The Comprehensive Settlement does not prohibit such an outcome. The Comprehensive Settlement parties simply envision that this matter and any other pertinent interconnection issues would be the subject of negotiations between SoCalGas and the new interconnection counterparty or would be determined in a separate Commission proceeding.</w:t>
      </w:r>
    </w:p>
    <w:p>
      <w:pPr>
        <w:pStyle w:val="Normal"/>
        <w:spacing w:lineRule="auto" w:line="360"/>
        <w:jc w:val="both"/>
        <w:rPr>
          <w:color w:val="000000"/>
          <w:sz w:val="24"/>
        </w:rPr>
      </w:pPr>
      <w:r>
        <w:rPr>
          <w:color w:val="000000"/>
          <w:sz w:val="24"/>
        </w:rPr>
        <w:tab/>
        <w:t>The various parties supporting the Post-Interim Settlement presented the prepared direct testimonies of several witnesses as Exhibit 101 in this proceeding.  Witness Michel Peter Florio correctly observes that there have been serious concerns with respect to SoCalGas "windowing" procedures but incorrectly characterizes the primary/secondary receipt point protocol as a "resort to extreme measures."  Exh. 101 at p. 8, lines 8 – 12.  Mr. Florio ignores the fact that Transwestern and many other interstate pipelines have successfully operated their pipeline systems under a similar protocol.  The primary/secondary protocol is a proven workable solution.  Meanwhile, the receipt point protocol in the Post-Interim Settlement appears to be nothing more than a modified "windowing" procedure which does not offer a principled, long term solution to receipt point access on the SoCalGas system.</w:t>
      </w:r>
    </w:p>
    <w:p>
      <w:pPr>
        <w:pStyle w:val="Normal"/>
        <w:spacing w:lineRule="auto" w:line="360"/>
        <w:jc w:val="both"/>
        <w:rPr>
          <w:color w:val="000000"/>
          <w:sz w:val="24"/>
        </w:rPr>
      </w:pPr>
      <w:r>
        <w:rPr>
          <w:color w:val="000000"/>
          <w:sz w:val="24"/>
        </w:rPr>
        <w:tab/>
        <w:t>Witness Catherine Yap states that "it may be possible to put a system of capacity rights into practice."  Exh. 101 at p. 13, lines 13 - 15.  Transwestern agrees that it is not only possible, but in fact the Comprehensive Settlement accomplishes this.  Transwestern agrees with this witness that customers are currently benefiting from competitively priced gas at the interstate/intrastate California border.  However, there is no evidence that the unbundling of SoCalGas' backbone system will reduce competition at the California border.  In fact, the Post-Interim Settlement fails to recognize that through the unbundling of intrastate transmission, an additional SoCalGas competitive trading point is created:  the SoCalGas city gate.  Therefore, customers will have more, not fewer, trading opportunities under the Comprehensive Settlement.</w:t>
      </w:r>
    </w:p>
    <w:p>
      <w:pPr>
        <w:pStyle w:val="Normal"/>
        <w:spacing w:lineRule="auto" w:line="360"/>
        <w:jc w:val="both"/>
        <w:rPr>
          <w:color w:val="000000"/>
          <w:sz w:val="24"/>
        </w:rPr>
      </w:pPr>
      <w:r>
        <w:rPr>
          <w:color w:val="000000"/>
          <w:sz w:val="24"/>
        </w:rPr>
        <w:tab/>
        <w:t>Ms. Yap suggests that creating an intrastate city gate where gas supplies trade would create a "bottleneck situation" at the SoCalGas city gate.  Exh. 101 at p. 14, lines 7 – 10.  Transwestern disagrees.  The full 3,500 Mmcf/d of existing interstate capacity is available to supply the city gate market.  Most importantly, in addition to these supplies the entirety of SoCalGas storage withdrawal capacity (over 3 Bcf/d) would also trade at the city gate point.  In view of the storage opportunities created under the Comprehensive Settlement, this city gate capacity could increase even further.  So rather than creating a "bottleneck situation" at the city gate, SoCalGas customers could reasonably expect to enjoy even greater capacities at the city gate marketplace than currently available at the SoCalGas border.</w:t>
      </w:r>
    </w:p>
    <w:p>
      <w:pPr>
        <w:pStyle w:val="BodyText"/>
        <w:spacing w:lineRule="auto" w:line="360"/>
        <w:rPr/>
      </w:pPr>
      <w:r>
        <w:rPr/>
        <w:tab/>
        <w:t>Additionally, Ms. Yap is incorrect that marketers could increase prices by withholding backbone capacity during alleged "constrained periods."  Exh. 101 at p. 14, lines 30 – 31.  The parties to the Comprehensive Settlement have ensured that SoCalGas has the opportunity and incentive to sell either operational available firm capacity or interruptible capacity at any time. If a firm backbone capacity holder is not utilizing its full capacity entitlements, SoCalGas will have the appropriate incentives to make capacity available to the marketplace.</w:t>
      </w:r>
    </w:p>
    <w:p>
      <w:pPr>
        <w:pStyle w:val="Normal"/>
        <w:spacing w:lineRule="auto" w:line="360"/>
        <w:jc w:val="both"/>
        <w:rPr>
          <w:color w:val="000000"/>
          <w:sz w:val="24"/>
        </w:rPr>
      </w:pPr>
      <w:r>
        <w:rPr>
          <w:color w:val="000000"/>
          <w:sz w:val="24"/>
        </w:rPr>
        <w:tab/>
        <w:t>Ms. Yap observes that generators do not receive confirmation of their electric bid award from the California Power Exchange ("PX") until after the first gas nomination cycle. Exh. 101 at p. 17, lines 20 – 25.  This situation is easily managed under the Comprehensive Settlement primary/secondary protocol.  Firm primary receipt point capacity holders have full use of their backbone capacity through the first three nomination cycles.  That is to say, generators can bid competitively into the PX market and be certain that their SoCalGas primary access and backbone transmission service capacities will be available to them.  These certainties do not exist under the current "windowing" procedure or that contemplated by the Post-Interim Settlement.  Therefore, for purposes of both certainty and flexibility, the Comprehensive Settlement offers a real long term improvement for generators.</w:t>
      </w:r>
    </w:p>
    <w:p>
      <w:pPr>
        <w:pStyle w:val="Normal"/>
        <w:spacing w:lineRule="auto" w:line="360"/>
        <w:rPr>
          <w:color w:val="000000"/>
          <w:sz w:val="24"/>
        </w:rPr>
      </w:pPr>
      <w:r>
        <w:rPr>
          <w:color w:val="000000"/>
          <w:sz w:val="24"/>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lnNumType w:countBy="1" w:restart="newPage" w:distance="283"/>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Jeffery Fawcett Rebuttal Testimony</w:t>
      <w:tab/>
      <w:tab/>
      <w:t>I.99-07-003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spacing w:lineRule="auto" w:line="360"/>
      <w:jc w:val="center"/>
    </w:pPr>
    <w:rPr>
      <w:sz w:val="24"/>
    </w:rPr>
  </w:style>
  <w:style w:type="paragraph" w:styleId="BodyText">
    <w:name w:val="Body Text"/>
    <w:basedOn w:val="Normal"/>
    <w:pPr>
      <w:spacing w:lineRule="atLeast" w:line="240"/>
      <w:jc w:val="both"/>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irmName">
    <w:name w:val="Firm Name"/>
    <w:basedOn w:val="Normal"/>
    <w:qFormat/>
    <w:pPr>
      <w:spacing w:lineRule="exact" w:line="227"/>
      <w:jc w:val="center"/>
    </w:pPr>
    <w:rPr>
      <w:rFonts w:ascii="Courier New" w:hAnsi="Courier New" w:cs="Courier New"/>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2000-05-15T13:24:00Z</dcterms:created>
  <dc:creator>Susan Scott</dc:creator>
  <dc:description/>
  <dc:language>en-CA</dc:language>
  <cp:lastModifiedBy>Susan Scott</cp:lastModifiedBy>
  <cp:lastPrinted>2000-05-15T15:40:00Z</cp:lastPrinted>
  <dcterms:modified xsi:type="dcterms:W3CDTF">2000-05-17T19:26:00Z</dcterms:modified>
  <cp:revision>6</cp:revision>
  <dc:subject/>
  <dc:title>Kern Rebuttal:</dc:title>
</cp:coreProperties>
</file>