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Book Antiqua" w:hAnsi="Book Antiqua" w:eastAsia="Book Antiqua" w:cs="Book Antiqua"/>
          <w:b/>
          <w:bCs/>
          <w:sz w:val="24"/>
          <w:szCs w:val="24"/>
        </w:rPr>
      </w:pPr>
      <w:r>
        <w:rPr>
          <w:rFonts w:eastAsia="Book Antiqua" w:cs="Book Antiqua" w:ascii="Book Antiqua" w:hAnsi="Book Antiqua"/>
          <w:b/>
          <w:bCs/>
          <w:sz w:val="24"/>
          <w:szCs w:val="24"/>
        </w:rPr>
        <w:t>Prepared Direct Testimony</w:t>
      </w:r>
    </w:p>
    <w:p>
      <w:pPr>
        <w:pStyle w:val="Normal"/>
        <w:spacing w:lineRule="auto" w:line="240"/>
        <w:jc w:val="center"/>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Normal"/>
        <w:spacing w:lineRule="auto" w:line="240"/>
        <w:jc w:val="center"/>
        <w:rPr>
          <w:rFonts w:ascii="Book Antiqua" w:hAnsi="Book Antiqua" w:eastAsia="Book Antiqua" w:cs="Book Antiqua"/>
          <w:b/>
          <w:bCs/>
          <w:sz w:val="24"/>
          <w:szCs w:val="24"/>
        </w:rPr>
      </w:pPr>
      <w:r>
        <w:rPr>
          <w:rFonts w:eastAsia="Book Antiqua" w:cs="Book Antiqua" w:ascii="Book Antiqua" w:hAnsi="Book Antiqua"/>
          <w:b/>
          <w:bCs/>
          <w:sz w:val="24"/>
          <w:szCs w:val="24"/>
        </w:rPr>
        <w:t>of</w:t>
      </w:r>
    </w:p>
    <w:p>
      <w:pPr>
        <w:pStyle w:val="Normal"/>
        <w:spacing w:lineRule="auto" w:line="240"/>
        <w:jc w:val="center"/>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Normal"/>
        <w:spacing w:lineRule="auto" w:line="240"/>
        <w:jc w:val="center"/>
        <w:rPr>
          <w:rFonts w:ascii="Book Antiqua" w:hAnsi="Book Antiqua" w:eastAsia="Book Antiqua" w:cs="Book Antiqua"/>
          <w:b/>
          <w:bCs/>
          <w:sz w:val="24"/>
          <w:szCs w:val="24"/>
        </w:rPr>
      </w:pPr>
      <w:r>
        <w:rPr>
          <w:rFonts w:eastAsia="Book Antiqua" w:cs="Book Antiqua" w:ascii="Book Antiqua" w:hAnsi="Book Antiqua"/>
          <w:b/>
          <w:bCs/>
          <w:sz w:val="24"/>
          <w:szCs w:val="24"/>
        </w:rPr>
        <w:t>Latimer P. Lorenz</w:t>
      </w:r>
    </w:p>
    <w:p>
      <w:pPr>
        <w:pStyle w:val="Normal"/>
        <w:spacing w:lineRule="auto" w:line="240"/>
        <w:jc w:val="center"/>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Normal"/>
        <w:spacing w:lineRule="auto" w:line="240"/>
        <w:jc w:val="center"/>
        <w:rPr>
          <w:rFonts w:ascii="Book Antiqua" w:hAnsi="Book Antiqua" w:eastAsia="Book Antiqua" w:cs="Book Antiqua"/>
          <w:sz w:val="24"/>
          <w:szCs w:val="24"/>
        </w:rPr>
      </w:pPr>
      <w:r>
        <w:rPr>
          <w:rFonts w:eastAsia="Book Antiqua" w:cs="Book Antiqua" w:ascii="Book Antiqua" w:hAnsi="Book Antiqua"/>
          <w:sz w:val="24"/>
          <w:szCs w:val="24"/>
        </w:rPr>
      </w:r>
    </w:p>
    <w:p>
      <w:pPr>
        <w:pStyle w:val="Normal"/>
        <w:spacing w:lineRule="auto" w:line="240"/>
        <w:jc w:val="center"/>
        <w:rPr>
          <w:rFonts w:ascii="Book Antiqua" w:hAnsi="Book Antiqua" w:eastAsia="Book Antiqua" w:cs="Book Antiqua"/>
          <w:sz w:val="24"/>
          <w:szCs w:val="24"/>
        </w:rPr>
      </w:pPr>
      <w:r>
        <w:rPr>
          <w:rFonts w:eastAsia="Book Antiqua" w:cs="Book Antiqua" w:ascii="Book Antiqua" w:hAnsi="Book Antiqua"/>
          <w:sz w:val="24"/>
          <w:szCs w:val="24"/>
        </w:rPr>
      </w:r>
    </w:p>
    <w:p>
      <w:pPr>
        <w:pStyle w:val="Normal"/>
        <w:spacing w:lineRule="auto" w:line="480"/>
        <w:ind w:hanging="720" w:start="720" w:end="0"/>
        <w:rPr>
          <w:rFonts w:ascii="Book Antiqua" w:hAnsi="Book Antiqua" w:eastAsia="Book Antiqua" w:cs="Book Antiqua"/>
          <w:sz w:val="24"/>
          <w:szCs w:val="24"/>
        </w:rPr>
      </w:pPr>
      <w:r>
        <w:rPr>
          <w:rFonts w:eastAsia="Book Antiqua" w:cs="Book Antiqua" w:ascii="Book Antiqua" w:hAnsi="Book Antiqua"/>
          <w:sz w:val="24"/>
          <w:szCs w:val="24"/>
        </w:rPr>
        <w:t>1.</w:t>
        <w:tab/>
        <w:t>My name is Latimer P. (Lad) Lorenz.  My business address is 555 West Fifth Street, Los Angeles, California  90013.</w:t>
      </w:r>
    </w:p>
    <w:p>
      <w:pPr>
        <w:pStyle w:val="Normal"/>
        <w:spacing w:lineRule="auto" w:line="480"/>
        <w:ind w:hanging="720" w:start="720" w:end="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spacing w:lineRule="auto" w:line="480"/>
        <w:ind w:hanging="720" w:start="720" w:end="0"/>
        <w:rPr>
          <w:rFonts w:ascii="Book Antiqua" w:hAnsi="Book Antiqua" w:eastAsia="Book Antiqua" w:cs="Book Antiqua"/>
          <w:sz w:val="24"/>
          <w:szCs w:val="24"/>
        </w:rPr>
      </w:pPr>
      <w:r>
        <w:rPr>
          <w:rFonts w:eastAsia="Book Antiqua" w:cs="Book Antiqua" w:ascii="Book Antiqua" w:hAnsi="Book Antiqua"/>
          <w:sz w:val="24"/>
          <w:szCs w:val="24"/>
        </w:rPr>
        <w:t>2.</w:t>
        <w:tab/>
        <w:t>I am employed by Southern California Gas Company (SoCalGas) as the Director of Capacity and Operational Planning in the Energy Transportation Services Business Unit.  My responsibilities include managing the Company’s interstate, intrastate pipeline and storage assets.  In addition, I was the Company’s chief spokesperson and lead negotiator in creating the GIR Settlement on Capacity issues that is the subject of this proceeding.  I joined SoCalGas in 1967 and have held various positions of increasing responsibility within Marketing, Regulatory Affairs, Gas Supply, and Customer Services.  I hold a BS Degree in Thermodynamic Engineering from California State University at Northridge and an MBA from Pepperdine University.</w:t>
      </w:r>
    </w:p>
    <w:p>
      <w:pPr>
        <w:pStyle w:val="Normal"/>
        <w:spacing w:lineRule="auto" w:line="480"/>
        <w:rPr>
          <w:rFonts w:ascii="Book Antiqua" w:hAnsi="Book Antiqua" w:eastAsia="Book Antiqua" w:cs="Book Antiqua"/>
          <w:sz w:val="24"/>
          <w:szCs w:val="24"/>
        </w:rPr>
      </w:pPr>
      <w:r>
        <w:rPr>
          <w:rFonts w:eastAsia="Book Antiqua" w:cs="Book Antiqua" w:ascii="Book Antiqua" w:hAnsi="Book Antiqua"/>
          <w:sz w:val="24"/>
          <w:szCs w:val="24"/>
        </w:rPr>
      </w:r>
    </w:p>
    <w:p>
      <w:pPr>
        <w:pStyle w:val="Heading6"/>
        <w:spacing w:lineRule="auto" w:line="480"/>
        <w:ind w:hanging="0" w:start="0"/>
        <w:rPr>
          <w:u w:val="single"/>
        </w:rPr>
      </w:pPr>
      <w:r>
        <w:rPr>
          <w:u w:val="single"/>
        </w:rPr>
        <w:t>Introduction</w:t>
      </w:r>
    </w:p>
    <w:p>
      <w:pPr>
        <w:pStyle w:val="BodyText"/>
        <w:spacing w:lineRule="auto" w:line="480"/>
        <w:rPr/>
      </w:pPr>
      <w:r>
        <w:rPr/>
        <w:t>In D.99-07-015 the CPUC identified the most promising options for continued restructuring of the natural gas industry in S. California.  A number of these most promising options address the restructuring of capacity related services on the SoCalGas system.  The purpose of my testimony is to show that the settlement resolves all the capacity related issues described in D.99-07-015 that would otherwise be litigated, and to describe the benefits that the settlement will produce for all participants in the natural gas market of S. California.</w:t>
      </w:r>
    </w:p>
    <w:p>
      <w:pPr>
        <w:pStyle w:val="BodyText"/>
        <w:spacing w:lineRule="auto" w:line="480"/>
        <w:rPr/>
      </w:pPr>
      <w:r>
        <w:rPr/>
      </w:r>
    </w:p>
    <w:p>
      <w:pPr>
        <w:pStyle w:val="BodyText"/>
        <w:spacing w:lineRule="auto" w:line="480"/>
        <w:rPr/>
      </w:pPr>
      <w:r>
        <w:rPr/>
        <w:t>The Settlement Agreement is the result of substantial time, effort and energy being devoted by the settlement parties.  It represents a consensus developed through arduous negotiations and is thus a balancing of the interests of all parties.  Taken as a whole, the settlement creates benefits for all participants in the natural gas market in S. California.  In addition, the Settlement substantially advances the existence of statewide consistency by creating a system in S. California that is fundamentally similar, and in many respects identical, to that which already exists in N. California.</w:t>
      </w:r>
    </w:p>
    <w:p>
      <w:pPr>
        <w:pStyle w:val="BodyText"/>
        <w:spacing w:lineRule="auto" w:line="480"/>
        <w:rPr/>
      </w:pPr>
      <w:r>
        <w:rPr/>
      </w:r>
    </w:p>
    <w:p>
      <w:pPr>
        <w:pStyle w:val="BodyText"/>
        <w:spacing w:lineRule="auto" w:line="480"/>
        <w:rPr/>
      </w:pPr>
      <w:r>
        <w:rPr/>
        <w:t>The Settlement Agreement specifically addresses the following most promising options listed in Appendix __ to D.99-07-015:</w:t>
      </w:r>
    </w:p>
    <w:p>
      <w:pPr>
        <w:pStyle w:val="BodyText"/>
        <w:numPr>
          <w:ilvl w:val="0"/>
          <w:numId w:val="2"/>
        </w:numPr>
        <w:tabs>
          <w:tab w:val="clear" w:pos="720"/>
          <w:tab w:val="left" w:pos="0" w:leader="none"/>
        </w:tabs>
        <w:spacing w:lineRule="auto" w:line="480"/>
        <w:ind w:hanging="720" w:start="1440" w:end="0"/>
        <w:rPr/>
      </w:pPr>
      <w:r>
        <w:rPr/>
        <w:t>Create firm, tradable intrastate transmission and storage storage.</w:t>
      </w:r>
    </w:p>
    <w:p>
      <w:pPr>
        <w:pStyle w:val="BodyText"/>
        <w:numPr>
          <w:ilvl w:val="0"/>
          <w:numId w:val="2"/>
        </w:numPr>
        <w:tabs>
          <w:tab w:val="clear" w:pos="720"/>
          <w:tab w:val="left" w:pos="0" w:leader="none"/>
        </w:tabs>
        <w:spacing w:lineRule="auto" w:line="480"/>
        <w:ind w:hanging="720" w:start="1440" w:end="0"/>
        <w:rPr/>
      </w:pPr>
      <w:r>
        <w:rPr/>
        <w:t>Place the utility at risk for recovery of the cost of transmission and storage resources.</w:t>
      </w:r>
    </w:p>
    <w:p>
      <w:pPr>
        <w:pStyle w:val="BodyText"/>
        <w:numPr>
          <w:ilvl w:val="0"/>
          <w:numId w:val="2"/>
        </w:numPr>
        <w:tabs>
          <w:tab w:val="clear" w:pos="720"/>
          <w:tab w:val="left" w:pos="0" w:leader="none"/>
        </w:tabs>
        <w:spacing w:lineRule="auto" w:line="480"/>
        <w:ind w:hanging="720" w:start="1440" w:end="0"/>
        <w:rPr/>
      </w:pPr>
      <w:r>
        <w:rPr/>
        <w:t>Remove the core from the balancing function.</w:t>
      </w:r>
    </w:p>
    <w:p>
      <w:pPr>
        <w:pStyle w:val="BodyText"/>
        <w:numPr>
          <w:ilvl w:val="0"/>
          <w:numId w:val="2"/>
        </w:numPr>
        <w:tabs>
          <w:tab w:val="clear" w:pos="720"/>
          <w:tab w:val="left" w:pos="0" w:leader="none"/>
        </w:tabs>
        <w:spacing w:lineRule="auto" w:line="480"/>
        <w:ind w:hanging="720" w:start="1440" w:end="0"/>
        <w:rPr/>
      </w:pPr>
      <w:r>
        <w:rPr/>
        <w:t>Separate utility HUB services from the core procurement function.</w:t>
      </w:r>
    </w:p>
    <w:p>
      <w:pPr>
        <w:pStyle w:val="BodyText"/>
        <w:numPr>
          <w:ilvl w:val="0"/>
          <w:numId w:val="2"/>
        </w:numPr>
        <w:tabs>
          <w:tab w:val="clear" w:pos="720"/>
          <w:tab w:val="left" w:pos="0" w:leader="none"/>
        </w:tabs>
        <w:spacing w:lineRule="auto" w:line="480"/>
        <w:ind w:hanging="720" w:start="1440" w:end="0"/>
        <w:rPr/>
      </w:pPr>
      <w:r>
        <w:rPr/>
        <w:t>Establish Hector Road as a delivery point to the SoCalGas system.</w:t>
      </w:r>
    </w:p>
    <w:p>
      <w:pPr>
        <w:pStyle w:val="BodyText"/>
        <w:numPr>
          <w:ilvl w:val="0"/>
          <w:numId w:val="2"/>
        </w:numPr>
        <w:tabs>
          <w:tab w:val="clear" w:pos="720"/>
          <w:tab w:val="left" w:pos="0" w:leader="none"/>
        </w:tabs>
        <w:spacing w:lineRule="auto" w:line="480"/>
        <w:ind w:hanging="720" w:start="1440" w:end="0"/>
        <w:rPr/>
      </w:pPr>
      <w:r>
        <w:rPr/>
        <w:t>Unbundle interstate transmission costs for core transportation customers.</w:t>
      </w:r>
    </w:p>
    <w:p>
      <w:pPr>
        <w:pStyle w:val="BodyText"/>
        <w:numPr>
          <w:ilvl w:val="0"/>
          <w:numId w:val="2"/>
        </w:numPr>
        <w:tabs>
          <w:tab w:val="clear" w:pos="720"/>
          <w:tab w:val="left" w:pos="0" w:leader="none"/>
        </w:tabs>
        <w:spacing w:lineRule="auto" w:line="480"/>
        <w:ind w:hanging="720" w:start="1440" w:end="0"/>
        <w:rPr/>
      </w:pPr>
      <w:r>
        <w:rPr/>
        <w:t>Make available expanded customer access to consumption information.</w:t>
      </w:r>
    </w:p>
    <w:p>
      <w:pPr>
        <w:pStyle w:val="Heading4"/>
        <w:numPr>
          <w:ilvl w:val="0"/>
          <w:numId w:val="0"/>
        </w:numPr>
        <w:ind w:hanging="0" w:start="0"/>
        <w:jc w:val="start"/>
        <w:rPr>
          <w:b w:val="false"/>
          <w:bCs w:val="false"/>
          <w:u w:val="none"/>
        </w:rPr>
      </w:pPr>
      <w:r>
        <w:rPr>
          <w:b w:val="false"/>
          <w:bCs w:val="false"/>
          <w:u w:val="none"/>
        </w:rPr>
      </w:r>
    </w:p>
    <w:p>
      <w:pPr>
        <w:pStyle w:val="Heading4"/>
        <w:numPr>
          <w:ilvl w:val="0"/>
          <w:numId w:val="0"/>
        </w:numPr>
        <w:ind w:hanging="0" w:start="0"/>
        <w:jc w:val="start"/>
        <w:rPr>
          <w:b w:val="false"/>
          <w:bCs w:val="false"/>
          <w:u w:val="none"/>
        </w:rPr>
      </w:pPr>
      <w:r>
        <w:rPr>
          <w:b w:val="false"/>
          <w:bCs w:val="false"/>
          <w:u w:val="none"/>
        </w:rPr>
        <w:t>By addressing these most promising options, and in the process addressing other restructuring provisions, the Settlement creates substantial benefits for all market participants in S. California.  Principle among the benefits that the Settlement produced or advances are:</w:t>
      </w:r>
    </w:p>
    <w:p>
      <w:pPr>
        <w:pStyle w:val="Normal"/>
        <w:numPr>
          <w:ilvl w:val="0"/>
          <w:numId w:val="2"/>
        </w:numPr>
        <w:tabs>
          <w:tab w:val="clear" w:pos="720"/>
          <w:tab w:val="left" w:pos="0" w:leader="none"/>
        </w:tabs>
        <w:ind w:hanging="720" w:start="1440" w:end="0"/>
        <w:rPr>
          <w:rFonts w:ascii="Book Antiqua" w:hAnsi="Book Antiqua" w:eastAsia="Book Antiqua" w:cs="Book Antiqua"/>
          <w:sz w:val="24"/>
          <w:szCs w:val="24"/>
        </w:rPr>
      </w:pPr>
      <w:r>
        <w:rPr>
          <w:rFonts w:eastAsia="Book Antiqua" w:cs="Book Antiqua" w:ascii="Book Antiqua" w:hAnsi="Book Antiqua"/>
          <w:sz w:val="24"/>
          <w:szCs w:val="24"/>
        </w:rPr>
        <w:t>Increased competition that will benefit customers through lower prices.</w:t>
      </w:r>
    </w:p>
    <w:p>
      <w:pPr>
        <w:pStyle w:val="Normal"/>
        <w:numPr>
          <w:ilvl w:val="0"/>
          <w:numId w:val="2"/>
        </w:numPr>
        <w:tabs>
          <w:tab w:val="clear" w:pos="720"/>
          <w:tab w:val="left" w:pos="0" w:leader="none"/>
        </w:tabs>
        <w:ind w:hanging="720" w:start="1440" w:end="0"/>
        <w:rPr>
          <w:rFonts w:ascii="Book Antiqua" w:hAnsi="Book Antiqua" w:eastAsia="Book Antiqua" w:cs="Book Antiqua"/>
          <w:sz w:val="24"/>
          <w:szCs w:val="24"/>
        </w:rPr>
      </w:pPr>
      <w:r>
        <w:rPr>
          <w:rFonts w:eastAsia="Book Antiqua" w:cs="Book Antiqua" w:ascii="Book Antiqua" w:hAnsi="Book Antiqua"/>
          <w:sz w:val="24"/>
          <w:szCs w:val="24"/>
        </w:rPr>
        <w:t>Increased customer choice, thus providing tailored services to meet the needs of a diverse market.</w:t>
      </w:r>
    </w:p>
    <w:p>
      <w:pPr>
        <w:pStyle w:val="Normal"/>
        <w:numPr>
          <w:ilvl w:val="0"/>
          <w:numId w:val="2"/>
        </w:numPr>
        <w:tabs>
          <w:tab w:val="clear" w:pos="720"/>
          <w:tab w:val="left" w:pos="0" w:leader="none"/>
        </w:tabs>
        <w:ind w:hanging="720" w:start="1440" w:end="0"/>
        <w:rPr>
          <w:rFonts w:ascii="Book Antiqua" w:hAnsi="Book Antiqua" w:eastAsia="Book Antiqua" w:cs="Book Antiqua"/>
          <w:sz w:val="24"/>
          <w:szCs w:val="24"/>
        </w:rPr>
      </w:pPr>
      <w:r>
        <w:rPr>
          <w:rFonts w:eastAsia="Book Antiqua" w:cs="Book Antiqua" w:ascii="Book Antiqua" w:hAnsi="Book Antiqua"/>
          <w:sz w:val="24"/>
          <w:szCs w:val="24"/>
        </w:rPr>
        <w:t>Creation of new pricing points and trading opportunities that will increase liquidity and lower prices.</w:t>
      </w:r>
    </w:p>
    <w:p>
      <w:pPr>
        <w:pStyle w:val="Normal"/>
        <w:numPr>
          <w:ilvl w:val="0"/>
          <w:numId w:val="2"/>
        </w:numPr>
        <w:tabs>
          <w:tab w:val="clear" w:pos="720"/>
          <w:tab w:val="left" w:pos="0" w:leader="none"/>
        </w:tabs>
        <w:ind w:hanging="720" w:start="1440" w:end="0"/>
        <w:rPr>
          <w:rFonts w:ascii="Book Antiqua" w:hAnsi="Book Antiqua" w:eastAsia="Book Antiqua" w:cs="Book Antiqua"/>
          <w:sz w:val="24"/>
          <w:szCs w:val="24"/>
        </w:rPr>
      </w:pPr>
      <w:r>
        <w:rPr>
          <w:rFonts w:eastAsia="Book Antiqua" w:cs="Book Antiqua" w:ascii="Book Antiqua" w:hAnsi="Book Antiqua"/>
          <w:sz w:val="24"/>
          <w:szCs w:val="24"/>
        </w:rPr>
        <w:t>Increased market efficiency through the trading of capacity rights and imbalances that will lower costs.</w:t>
      </w:r>
    </w:p>
    <w:p>
      <w:pPr>
        <w:pStyle w:val="Normal"/>
        <w:numPr>
          <w:ilvl w:val="0"/>
          <w:numId w:val="2"/>
        </w:numPr>
        <w:tabs>
          <w:tab w:val="clear" w:pos="720"/>
          <w:tab w:val="left" w:pos="0" w:leader="none"/>
        </w:tabs>
        <w:ind w:hanging="720" w:start="1440" w:end="0"/>
        <w:rPr>
          <w:rFonts w:ascii="Book Antiqua" w:hAnsi="Book Antiqua" w:eastAsia="Book Antiqua" w:cs="Book Antiqua"/>
          <w:sz w:val="24"/>
          <w:szCs w:val="24"/>
        </w:rPr>
      </w:pPr>
      <w:r>
        <w:rPr>
          <w:rFonts w:eastAsia="Book Antiqua" w:cs="Book Antiqua" w:ascii="Book Antiqua" w:hAnsi="Book Antiqua"/>
          <w:sz w:val="24"/>
          <w:szCs w:val="24"/>
        </w:rPr>
        <w:t>Increased certainty through rate stability and the creation of firm capacity rights that will result in lower costs.</w:t>
      </w:r>
    </w:p>
    <w:p>
      <w:pPr>
        <w:pStyle w:val="Normal"/>
        <w:numPr>
          <w:ilvl w:val="0"/>
          <w:numId w:val="2"/>
        </w:numPr>
        <w:tabs>
          <w:tab w:val="clear" w:pos="720"/>
          <w:tab w:val="left" w:pos="0" w:leader="none"/>
        </w:tabs>
        <w:ind w:hanging="720" w:start="1440" w:end="0"/>
        <w:rPr>
          <w:rFonts w:ascii="Book Antiqua" w:hAnsi="Book Antiqua" w:eastAsia="Book Antiqua" w:cs="Book Antiqua"/>
          <w:sz w:val="24"/>
          <w:szCs w:val="24"/>
        </w:rPr>
      </w:pPr>
      <w:r>
        <w:rPr>
          <w:rFonts w:eastAsia="Book Antiqua" w:cs="Book Antiqua" w:ascii="Book Antiqua" w:hAnsi="Book Antiqua"/>
          <w:sz w:val="24"/>
          <w:szCs w:val="24"/>
        </w:rPr>
        <w:t>Restructuring on an embedded cost basis (as compared to an LRMC basis) that will reduce regulatory uncertainty and contention while stabilizing results.</w:t>
      </w:r>
    </w:p>
    <w:p>
      <w:pPr>
        <w:pStyle w:val="Normal"/>
        <w:numPr>
          <w:ilvl w:val="0"/>
          <w:numId w:val="2"/>
        </w:numPr>
        <w:tabs>
          <w:tab w:val="clear" w:pos="720"/>
          <w:tab w:val="left" w:pos="0" w:leader="none"/>
        </w:tabs>
        <w:ind w:hanging="720" w:start="1440" w:end="0"/>
        <w:rPr>
          <w:rFonts w:ascii="Book Antiqua" w:hAnsi="Book Antiqua" w:eastAsia="Book Antiqua" w:cs="Book Antiqua"/>
          <w:sz w:val="24"/>
          <w:szCs w:val="24"/>
        </w:rPr>
      </w:pPr>
      <w:r>
        <w:rPr>
          <w:rFonts w:eastAsia="Book Antiqua" w:cs="Book Antiqua" w:ascii="Book Antiqua" w:hAnsi="Book Antiqua"/>
          <w:sz w:val="24"/>
          <w:szCs w:val="24"/>
        </w:rPr>
        <w:t>Protection against market power concerns through the use of open season, capacity reservations and market concentration restrictions to ensure a functioning, competitive capacity market.</w:t>
      </w:r>
    </w:p>
    <w:p>
      <w:pPr>
        <w:pStyle w:val="BodyText"/>
        <w:numPr>
          <w:ilvl w:val="0"/>
          <w:numId w:val="0"/>
        </w:numPr>
        <w:ind w:hanging="0" w:start="0"/>
        <w:rPr/>
      </w:pPr>
      <w:r>
        <w:rPr/>
        <w:t>The Settlement on capacity issues can be viewed in terms of its restructuring provisions that relate to the following broad categories:</w:t>
      </w:r>
    </w:p>
    <w:p>
      <w:pPr>
        <w:pStyle w:val="Normal"/>
        <w:numPr>
          <w:ilvl w:val="0"/>
          <w:numId w:val="2"/>
        </w:numPr>
        <w:tabs>
          <w:tab w:val="clear" w:pos="720"/>
          <w:tab w:val="left" w:pos="0" w:leader="none"/>
        </w:tabs>
        <w:ind w:hanging="720" w:start="1440" w:end="0"/>
        <w:rPr>
          <w:rFonts w:ascii="Book Antiqua" w:hAnsi="Book Antiqua" w:eastAsia="Book Antiqua" w:cs="Book Antiqua"/>
          <w:sz w:val="24"/>
          <w:szCs w:val="24"/>
        </w:rPr>
      </w:pPr>
      <w:r>
        <w:rPr>
          <w:rFonts w:eastAsia="Book Antiqua" w:cs="Book Antiqua" w:ascii="Book Antiqua" w:hAnsi="Book Antiqua"/>
          <w:sz w:val="24"/>
          <w:szCs w:val="24"/>
        </w:rPr>
        <w:t>Restructuring Intrastate Transmission</w:t>
      </w:r>
    </w:p>
    <w:p>
      <w:pPr>
        <w:pStyle w:val="Normal"/>
        <w:numPr>
          <w:ilvl w:val="0"/>
          <w:numId w:val="2"/>
        </w:numPr>
        <w:tabs>
          <w:tab w:val="clear" w:pos="720"/>
          <w:tab w:val="left" w:pos="0" w:leader="none"/>
        </w:tabs>
        <w:ind w:hanging="720" w:start="1440" w:end="0"/>
        <w:rPr>
          <w:rFonts w:ascii="Book Antiqua" w:hAnsi="Book Antiqua" w:eastAsia="Book Antiqua" w:cs="Book Antiqua"/>
          <w:sz w:val="24"/>
          <w:szCs w:val="24"/>
        </w:rPr>
      </w:pPr>
      <w:r>
        <w:rPr>
          <w:rFonts w:eastAsia="Book Antiqua" w:cs="Book Antiqua" w:ascii="Book Antiqua" w:hAnsi="Book Antiqua"/>
          <w:sz w:val="24"/>
          <w:szCs w:val="24"/>
        </w:rPr>
        <w:t>Restructuring Storage</w:t>
      </w:r>
    </w:p>
    <w:p>
      <w:pPr>
        <w:pStyle w:val="Normal"/>
        <w:numPr>
          <w:ilvl w:val="0"/>
          <w:numId w:val="2"/>
        </w:numPr>
        <w:tabs>
          <w:tab w:val="clear" w:pos="720"/>
          <w:tab w:val="left" w:pos="0" w:leader="none"/>
        </w:tabs>
        <w:ind w:hanging="720" w:start="1440" w:end="0"/>
        <w:rPr>
          <w:rFonts w:ascii="Book Antiqua" w:hAnsi="Book Antiqua" w:eastAsia="Book Antiqua" w:cs="Book Antiqua"/>
          <w:sz w:val="24"/>
          <w:szCs w:val="24"/>
        </w:rPr>
      </w:pPr>
      <w:r>
        <w:rPr>
          <w:rFonts w:eastAsia="Book Antiqua" w:cs="Book Antiqua" w:ascii="Book Antiqua" w:hAnsi="Book Antiqua"/>
          <w:sz w:val="24"/>
          <w:szCs w:val="24"/>
        </w:rPr>
        <w:t>Restructuring Balancing</w:t>
      </w:r>
    </w:p>
    <w:p>
      <w:pPr>
        <w:pStyle w:val="Normal"/>
        <w:numPr>
          <w:ilvl w:val="0"/>
          <w:numId w:val="2"/>
        </w:numPr>
        <w:tabs>
          <w:tab w:val="clear" w:pos="720"/>
          <w:tab w:val="left" w:pos="0" w:leader="none"/>
        </w:tabs>
        <w:ind w:hanging="720" w:start="1440" w:end="0"/>
        <w:rPr>
          <w:rFonts w:ascii="Book Antiqua" w:hAnsi="Book Antiqua" w:eastAsia="Book Antiqua" w:cs="Book Antiqua"/>
          <w:sz w:val="24"/>
          <w:szCs w:val="24"/>
        </w:rPr>
      </w:pPr>
      <w:r>
        <w:rPr>
          <w:rFonts w:eastAsia="Book Antiqua" w:cs="Book Antiqua" w:ascii="Book Antiqua" w:hAnsi="Book Antiqua"/>
          <w:sz w:val="24"/>
          <w:szCs w:val="24"/>
        </w:rPr>
        <w:t>Restructuring Core Interstate</w:t>
      </w:r>
    </w:p>
    <w:p>
      <w:pPr>
        <w:pStyle w:val="Normal"/>
        <w:numPr>
          <w:ilvl w:val="0"/>
          <w:numId w:val="2"/>
        </w:numPr>
        <w:tabs>
          <w:tab w:val="clear" w:pos="720"/>
          <w:tab w:val="left" w:pos="0" w:leader="none"/>
        </w:tabs>
        <w:ind w:hanging="360" w:start="1440" w:end="0"/>
        <w:rPr>
          <w:rFonts w:ascii="Book Antiqua" w:hAnsi="Book Antiqua" w:eastAsia="Book Antiqua" w:cs="Book Antiqua"/>
          <w:sz w:val="24"/>
          <w:szCs w:val="24"/>
        </w:rPr>
      </w:pPr>
      <w:r>
        <w:rPr>
          <w:rFonts w:eastAsia="Book Antiqua" w:cs="Book Antiqua" w:ascii="Book Antiqua" w:hAnsi="Book Antiqua"/>
          <w:sz w:val="24"/>
          <w:szCs w:val="24"/>
        </w:rPr>
        <w:t>Restructuring Information Sharing</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BodyText"/>
        <w:rPr/>
      </w:pPr>
      <w:r>
        <w:rPr/>
        <w:t>The following is an overview of the Settlement provisions and the benefits for each of these major restructuring initiatives.</w:t>
      </w:r>
    </w:p>
    <w:p>
      <w:pPr>
        <w:pStyle w:val="Heading4"/>
        <w:ind w:hanging="0" w:start="0"/>
        <w:rPr/>
      </w:pPr>
      <w:r>
        <w:rPr/>
      </w:r>
    </w:p>
    <w:p>
      <w:pPr>
        <w:pStyle w:val="Heading4"/>
        <w:ind w:hanging="0" w:start="0"/>
        <w:rPr/>
      </w:pPr>
      <w:r>
        <w:rPr/>
        <w:t>Restructuring Intrastate Transmission</w:t>
      </w:r>
    </w:p>
    <w:p>
      <w:pPr>
        <w:pStyle w:val="BodyText"/>
        <w:rPr/>
      </w:pPr>
      <w:r>
        <w:rPr/>
        <w:t>The Settlement unbundles the embedded cost of the transmission system, divides the cost between backbone transmission and local transmission, creates firm tradable backbone transmission rights, establishes a process for making firm backbone transmission rights available to all market participants, creates a secondary market for the trading of firm backbone transmission rights and places SoCalGas fully at risk for the recovery of restructured firm backbone transmission costs.  In addition, the Settlement establishes Hector Road as a new firm backbone transmission receipt point and creates pooling on the SoCalGas’ system.  All these restructurings are desired to enhance competition, increase customer choice, increase market efficiency and lower costs to all market participants.  In addition, the proposed restructurings are consistent with the most promising options identified in D.99-07-015.</w:t>
      </w:r>
    </w:p>
    <w:p>
      <w:pPr>
        <w:pStyle w:val="Normal"/>
        <w:rPr>
          <w:rFonts w:ascii="Book Antiqua" w:hAnsi="Book Antiqua" w:eastAsia="Book Antiqua" w:cs="Book Antiqua"/>
          <w:sz w:val="24"/>
          <w:szCs w:val="24"/>
          <w:u w:val="single"/>
        </w:rPr>
      </w:pPr>
      <w:r>
        <w:rPr>
          <w:rFonts w:eastAsia="Book Antiqua" w:cs="Book Antiqua" w:ascii="Book Antiqua" w:hAnsi="Book Antiqua"/>
          <w:sz w:val="24"/>
          <w:szCs w:val="24"/>
          <w:u w:val="single"/>
        </w:rPr>
      </w:r>
    </w:p>
    <w:p>
      <w:pPr>
        <w:pStyle w:val="Heading5"/>
        <w:ind w:hanging="0" w:start="0"/>
        <w:rPr/>
      </w:pPr>
      <w:r>
        <w:rPr/>
        <w:t>Embedded Cost of Transmission</w:t>
      </w:r>
    </w:p>
    <w:p>
      <w:pPr>
        <w:pStyle w:val="BodyText"/>
        <w:rPr/>
      </w:pPr>
      <w:r>
        <w:rPr/>
        <w:t>The SoCalGas system is currently classified into two categories of facilities, transmission and distribution, based primarily on the size, operating pressure or use of the pipeline and compression facilities.</w:t>
      </w:r>
    </w:p>
    <w:p>
      <w:pPr>
        <w:pStyle w:val="BodyText"/>
        <w:rPr/>
      </w:pPr>
      <w:r>
        <w:rPr/>
      </w:r>
    </w:p>
    <w:p>
      <w:pPr>
        <w:pStyle w:val="BodyText"/>
        <w:rPr/>
      </w:pPr>
      <w:r>
        <w:rPr/>
        <w:t>The SoCalGas transmission system consists of an integrated network of large diameter pipelines and compressor stations that link our customers with supplies provided through interstate pipelines, underground storage fields, and local California gas production.  The transmission system covers most of southern California extending from the California-Arizona border to Los Angeles, up the coast through San Luis Obispo county, down to the San Diego county line, south to the Imperial Valley, and north into the San Joaquin Valley.</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Based on the existing 1998 classification of facilities between transmission and distribution, the embedded cost of the transmission system in 1998 was determined as $138.0 MM.  This calculation is shown in Exhibit 1.</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Heading5"/>
        <w:ind w:hanging="0" w:start="0"/>
        <w:rPr/>
      </w:pPr>
      <w:r>
        <w:rPr/>
        <w:t>Backbone/Local Transmission</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The total transmission system can be further separated into two general categories:  Backbone Transmission and Local Transmission.  This structure is identical of that employed in N. California and will enhance statewide consistency in the restructuring of the gas industry within the state.</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BlockText"/>
        <w:tabs>
          <w:tab w:val="clear" w:pos="360"/>
        </w:tabs>
        <w:spacing w:lineRule="auto" w:line="480"/>
        <w:ind w:hanging="0" w:start="0" w:end="-360"/>
        <w:rPr>
          <w:rFonts w:ascii="Book Antiqua" w:hAnsi="Book Antiqua" w:eastAsia="Book Antiqua" w:cs="Book Antiqua"/>
        </w:rPr>
      </w:pPr>
      <w:r>
        <w:rPr>
          <w:rFonts w:eastAsia="Book Antiqua" w:cs="Book Antiqua" w:ascii="Book Antiqua" w:hAnsi="Book Antiqua"/>
        </w:rPr>
        <w:t>The Backbone Transmission System (described in more detail in Attachment 1) includes the transmission facilities, whose primary purpose is receiving gas from supply points and transporting it to major load centers or underground storage facilities.  The major sources of supply include the receipt points with the interstate pipelines and the local California producers that deliver gas supplies to the SoCalGas system.  The interstate pipelines include El Paso, Transwestern, Kern River, Mojave, and PG&amp;E Transmission NW (PG&amp;E).  El Paso delivers gas to SoCalGas at the Colorado River near Needles and Blythe, California.  Transwestern interconnects with SoCalGas at the Colorado River near Needles, California.  The Kern River and Mojave systems are interconnected with SoCalGas at Wheeler Ridge and at Hector Road.  SoCalGas has a large volume interconnection point with PG&amp;E at the Kern River Station intertie upstream of Wheeler Ridge. In addition to interstate pipeline deliveries, local California supplies are also received from both on and offshore natural gas producers.  The major California supplies enter the SoCalGas system in the San Joaquin Valley (through the Line 85 or Line 225 systems) and along the north coastal section of the system located in Ventura and Santa Barbara counties.  The firm overall capacity of the SoCalGas backbone transmission system to accept deliveries from the various supply sources is 3,500 MMcfd/d.  The following table summarizes the available firm backbone transmission capacity by receipt point.</w:t>
      </w:r>
    </w:p>
    <w:p>
      <w:pPr>
        <w:pStyle w:val="Heading2"/>
        <w:ind w:hanging="0" w:start="0"/>
        <w:jc w:val="center"/>
        <w:rPr/>
      </w:pPr>
      <w:r>
        <w:rPr/>
        <w:t>SoCalGas Backbone Transmission Receipt Point Capacity</w:t>
      </w:r>
    </w:p>
    <w:tbl>
      <w:tblPr>
        <w:tblW w:w="7041" w:type="dxa"/>
        <w:jc w:val="start"/>
        <w:tblInd w:w="1278" w:type="dxa"/>
        <w:tblLayout w:type="fixed"/>
        <w:tblCellMar>
          <w:top w:w="0" w:type="dxa"/>
          <w:start w:w="108" w:type="dxa"/>
          <w:bottom w:w="0" w:type="dxa"/>
          <w:end w:w="108" w:type="dxa"/>
        </w:tblCellMar>
      </w:tblPr>
      <w:tblGrid>
        <w:gridCol w:w="2347"/>
        <w:gridCol w:w="2783"/>
        <w:gridCol w:w="1911"/>
      </w:tblGrid>
      <w:tr>
        <w:trPr/>
        <w:tc>
          <w:tcPr>
            <w:tcW w:w="234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jc w:val="center"/>
              <w:rPr>
                <w:rFonts w:ascii="Book Antiqua" w:hAnsi="Book Antiqua" w:eastAsia="Book Antiqua" w:cs="Book Antiqua"/>
                <w:sz w:val="22"/>
                <w:szCs w:val="22"/>
              </w:rPr>
            </w:pPr>
            <w:r>
              <w:rPr>
                <w:rFonts w:eastAsia="Book Antiqua" w:cs="Book Antiqua" w:ascii="Book Antiqua" w:hAnsi="Book Antiqua"/>
                <w:sz w:val="22"/>
                <w:szCs w:val="22"/>
              </w:rPr>
              <w:t>Receipt Point</w:t>
            </w:r>
          </w:p>
        </w:tc>
        <w:tc>
          <w:tcPr>
            <w:tcW w:w="2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jc w:val="center"/>
              <w:rPr>
                <w:rFonts w:ascii="Book Antiqua" w:hAnsi="Book Antiqua" w:eastAsia="Book Antiqua" w:cs="Book Antiqua"/>
                <w:sz w:val="22"/>
                <w:szCs w:val="22"/>
              </w:rPr>
            </w:pPr>
            <w:r>
              <w:rPr>
                <w:rFonts w:eastAsia="Book Antiqua" w:cs="Book Antiqua" w:ascii="Book Antiqua" w:hAnsi="Book Antiqua"/>
                <w:sz w:val="22"/>
                <w:szCs w:val="22"/>
              </w:rPr>
              <w:t>Interconnecting Pipeline</w:t>
            </w:r>
          </w:p>
        </w:tc>
        <w:tc>
          <w:tcPr>
            <w:tcW w:w="191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jc w:val="center"/>
              <w:rPr>
                <w:rFonts w:ascii="Book Antiqua" w:hAnsi="Book Antiqua" w:eastAsia="Book Antiqua" w:cs="Book Antiqua"/>
                <w:sz w:val="22"/>
                <w:szCs w:val="22"/>
              </w:rPr>
            </w:pPr>
            <w:r>
              <w:rPr>
                <w:rFonts w:eastAsia="Book Antiqua" w:cs="Book Antiqua" w:ascii="Book Antiqua" w:hAnsi="Book Antiqua"/>
                <w:sz w:val="22"/>
                <w:szCs w:val="22"/>
              </w:rPr>
              <w:t>Firm Capacity</w:t>
            </w:r>
          </w:p>
        </w:tc>
      </w:tr>
      <w:tr>
        <w:trPr/>
        <w:tc>
          <w:tcPr>
            <w:tcW w:w="234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rPr>
                <w:rFonts w:ascii="Book Antiqua" w:hAnsi="Book Antiqua" w:eastAsia="Book Antiqua" w:cs="Book Antiqua"/>
                <w:sz w:val="22"/>
                <w:szCs w:val="22"/>
              </w:rPr>
            </w:pPr>
            <w:r>
              <w:rPr>
                <w:rFonts w:eastAsia="Book Antiqua" w:cs="Book Antiqua" w:ascii="Book Antiqua" w:hAnsi="Book Antiqua"/>
                <w:sz w:val="22"/>
                <w:szCs w:val="22"/>
              </w:rPr>
              <w:t>Blythe</w:t>
            </w:r>
          </w:p>
        </w:tc>
        <w:tc>
          <w:tcPr>
            <w:tcW w:w="2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eastAsia="Book Antiqua" w:cs="Book Antiqua"/>
                <w:sz w:val="22"/>
                <w:szCs w:val="22"/>
              </w:rPr>
            </w:pPr>
            <w:r>
              <w:rPr>
                <w:rFonts w:eastAsia="Book Antiqua" w:cs="Book Antiqua" w:ascii="Book Antiqua" w:hAnsi="Book Antiqua"/>
                <w:sz w:val="22"/>
                <w:szCs w:val="22"/>
              </w:rPr>
              <w:t>El Paso</w:t>
            </w:r>
          </w:p>
        </w:tc>
        <w:tc>
          <w:tcPr>
            <w:tcW w:w="191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eastAsia="Book Antiqua" w:cs="Book Antiqua"/>
                <w:sz w:val="22"/>
                <w:szCs w:val="22"/>
              </w:rPr>
            </w:pPr>
            <w:r>
              <w:rPr>
                <w:rFonts w:eastAsia="Book Antiqua" w:cs="Book Antiqua" w:ascii="Book Antiqua" w:hAnsi="Book Antiqua"/>
                <w:sz w:val="22"/>
                <w:szCs w:val="22"/>
              </w:rPr>
              <w:t>1210</w:t>
            </w:r>
          </w:p>
        </w:tc>
      </w:tr>
      <w:tr>
        <w:trPr/>
        <w:tc>
          <w:tcPr>
            <w:tcW w:w="234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rPr>
                <w:rFonts w:ascii="Book Antiqua" w:hAnsi="Book Antiqua" w:eastAsia="Book Antiqua" w:cs="Book Antiqua"/>
                <w:sz w:val="22"/>
                <w:szCs w:val="22"/>
              </w:rPr>
            </w:pPr>
            <w:r>
              <w:rPr>
                <w:rFonts w:eastAsia="Book Antiqua" w:cs="Book Antiqua" w:ascii="Book Antiqua" w:hAnsi="Book Antiqua"/>
                <w:sz w:val="22"/>
                <w:szCs w:val="22"/>
              </w:rPr>
              <w:t>Topock – So. Needles</w:t>
            </w:r>
          </w:p>
        </w:tc>
        <w:tc>
          <w:tcPr>
            <w:tcW w:w="2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eastAsia="Book Antiqua" w:cs="Book Antiqua"/>
                <w:sz w:val="22"/>
                <w:szCs w:val="22"/>
              </w:rPr>
            </w:pPr>
            <w:r>
              <w:rPr>
                <w:rFonts w:eastAsia="Book Antiqua" w:cs="Book Antiqua" w:ascii="Book Antiqua" w:hAnsi="Book Antiqua"/>
                <w:sz w:val="22"/>
                <w:szCs w:val="22"/>
              </w:rPr>
              <w:t>El Paso</w:t>
            </w:r>
          </w:p>
        </w:tc>
        <w:tc>
          <w:tcPr>
            <w:tcW w:w="191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eastAsia="Book Antiqua" w:cs="Book Antiqua"/>
                <w:sz w:val="22"/>
                <w:szCs w:val="22"/>
              </w:rPr>
            </w:pPr>
            <w:r>
              <w:rPr>
                <w:rFonts w:eastAsia="Book Antiqua" w:cs="Book Antiqua" w:ascii="Book Antiqua" w:hAnsi="Book Antiqua"/>
                <w:sz w:val="22"/>
                <w:szCs w:val="22"/>
              </w:rPr>
              <w:t>540</w:t>
            </w:r>
          </w:p>
        </w:tc>
      </w:tr>
      <w:tr>
        <w:trPr/>
        <w:tc>
          <w:tcPr>
            <w:tcW w:w="234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rPr>
                <w:rFonts w:ascii="Book Antiqua" w:hAnsi="Book Antiqua" w:eastAsia="Book Antiqua" w:cs="Book Antiqua"/>
                <w:sz w:val="22"/>
                <w:szCs w:val="22"/>
              </w:rPr>
            </w:pPr>
            <w:r>
              <w:rPr>
                <w:rFonts w:eastAsia="Book Antiqua" w:cs="Book Antiqua" w:ascii="Book Antiqua" w:hAnsi="Book Antiqua"/>
                <w:sz w:val="22"/>
                <w:szCs w:val="22"/>
              </w:rPr>
              <w:t>North Needles</w:t>
            </w:r>
          </w:p>
        </w:tc>
        <w:tc>
          <w:tcPr>
            <w:tcW w:w="2783" w:type="dxa"/>
            <w:tcBorders>
              <w:top w:val="single" w:sz="6" w:space="0" w:color="000000"/>
              <w:start w:val="single" w:sz="6" w:space="0" w:color="000000"/>
              <w:bottom w:val="single" w:sz="6" w:space="0" w:color="000000"/>
              <w:end w:val="single" w:sz="6" w:space="0" w:color="000000"/>
            </w:tcBorders>
          </w:tcPr>
          <w:p>
            <w:pPr>
              <w:pStyle w:val="Heading7"/>
              <w:ind w:hanging="0" w:start="0"/>
              <w:rPr/>
            </w:pPr>
            <w:r>
              <w:rPr/>
              <w:t>Transwestern</w:t>
            </w:r>
          </w:p>
        </w:tc>
        <w:tc>
          <w:tcPr>
            <w:tcW w:w="191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eastAsia="Book Antiqua" w:cs="Book Antiqua"/>
                <w:sz w:val="22"/>
                <w:szCs w:val="22"/>
              </w:rPr>
            </w:pPr>
            <w:r>
              <w:rPr>
                <w:rFonts w:eastAsia="Book Antiqua" w:cs="Book Antiqua" w:ascii="Book Antiqua" w:hAnsi="Book Antiqua"/>
                <w:sz w:val="22"/>
                <w:szCs w:val="22"/>
              </w:rPr>
              <w:t>750</w:t>
            </w:r>
          </w:p>
        </w:tc>
      </w:tr>
      <w:tr>
        <w:trPr/>
        <w:tc>
          <w:tcPr>
            <w:tcW w:w="234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rPr>
                <w:rFonts w:ascii="Book Antiqua" w:hAnsi="Book Antiqua" w:eastAsia="Book Antiqua" w:cs="Book Antiqua"/>
                <w:sz w:val="22"/>
                <w:szCs w:val="22"/>
              </w:rPr>
            </w:pPr>
            <w:r>
              <w:rPr>
                <w:rFonts w:eastAsia="Book Antiqua" w:cs="Book Antiqua" w:ascii="Book Antiqua" w:hAnsi="Book Antiqua"/>
                <w:sz w:val="22"/>
                <w:szCs w:val="22"/>
              </w:rPr>
              <w:t>Wheeler Ridge</w:t>
            </w:r>
          </w:p>
        </w:tc>
        <w:tc>
          <w:tcPr>
            <w:tcW w:w="2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jc w:val="center"/>
              <w:rPr>
                <w:rFonts w:ascii="Book Antiqua" w:hAnsi="Book Antiqua" w:eastAsia="Book Antiqua" w:cs="Book Antiqua"/>
                <w:sz w:val="22"/>
                <w:szCs w:val="22"/>
              </w:rPr>
            </w:pPr>
            <w:r>
              <w:rPr>
                <w:rFonts w:eastAsia="Book Antiqua" w:cs="Book Antiqua" w:ascii="Book Antiqua" w:hAnsi="Book Antiqua"/>
                <w:sz w:val="22"/>
                <w:szCs w:val="22"/>
              </w:rPr>
              <w:t>PG&amp;E and Kern-Mojave</w:t>
            </w:r>
          </w:p>
        </w:tc>
        <w:tc>
          <w:tcPr>
            <w:tcW w:w="191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jc w:val="center"/>
              <w:rPr>
                <w:rFonts w:ascii="Book Antiqua" w:hAnsi="Book Antiqua" w:eastAsia="Book Antiqua" w:cs="Book Antiqua"/>
                <w:sz w:val="22"/>
                <w:szCs w:val="22"/>
              </w:rPr>
            </w:pPr>
            <w:r>
              <w:rPr>
                <w:rFonts w:eastAsia="Book Antiqua" w:cs="Book Antiqua" w:ascii="Book Antiqua" w:hAnsi="Book Antiqua"/>
                <w:sz w:val="22"/>
                <w:szCs w:val="22"/>
              </w:rPr>
              <w:t>680</w:t>
            </w:r>
          </w:p>
        </w:tc>
      </w:tr>
      <w:tr>
        <w:trPr/>
        <w:tc>
          <w:tcPr>
            <w:tcW w:w="234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rPr>
                <w:rFonts w:ascii="Book Antiqua" w:hAnsi="Book Antiqua" w:eastAsia="Book Antiqua" w:cs="Book Antiqua"/>
                <w:sz w:val="22"/>
                <w:szCs w:val="22"/>
              </w:rPr>
            </w:pPr>
            <w:r>
              <w:rPr>
                <w:rFonts w:eastAsia="Book Antiqua" w:cs="Book Antiqua" w:ascii="Book Antiqua" w:hAnsi="Book Antiqua"/>
                <w:sz w:val="22"/>
                <w:szCs w:val="22"/>
              </w:rPr>
              <w:t>Hector Road</w:t>
            </w:r>
          </w:p>
        </w:tc>
        <w:tc>
          <w:tcPr>
            <w:tcW w:w="2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eastAsia="Book Antiqua" w:cs="Book Antiqua"/>
                <w:sz w:val="22"/>
                <w:szCs w:val="22"/>
              </w:rPr>
            </w:pPr>
            <w:r>
              <w:rPr>
                <w:rFonts w:eastAsia="Book Antiqua" w:cs="Book Antiqua" w:ascii="Book Antiqua" w:hAnsi="Book Antiqua"/>
                <w:sz w:val="22"/>
                <w:szCs w:val="22"/>
              </w:rPr>
              <w:t>Mojave</w:t>
            </w:r>
          </w:p>
        </w:tc>
        <w:tc>
          <w:tcPr>
            <w:tcW w:w="191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eastAsia="Book Antiqua" w:cs="Book Antiqua"/>
                <w:sz w:val="22"/>
                <w:szCs w:val="22"/>
              </w:rPr>
            </w:pPr>
            <w:r>
              <w:rPr>
                <w:rFonts w:eastAsia="Book Antiqua" w:cs="Book Antiqua" w:ascii="Book Antiqua" w:hAnsi="Book Antiqua"/>
                <w:sz w:val="22"/>
                <w:szCs w:val="22"/>
              </w:rPr>
              <w:t>50</w:t>
            </w:r>
          </w:p>
        </w:tc>
      </w:tr>
      <w:tr>
        <w:trPr/>
        <w:tc>
          <w:tcPr>
            <w:tcW w:w="2347" w:type="dxa"/>
            <w:tcBorders>
              <w:top w:val="single" w:sz="6" w:space="0" w:color="000000"/>
              <w:start w:val="single" w:sz="6" w:space="0" w:color="000000"/>
              <w:bottom w:val="single" w:sz="6" w:space="0" w:color="000000"/>
              <w:end w:val="single" w:sz="6" w:space="0" w:color="000000"/>
            </w:tcBorders>
          </w:tcPr>
          <w:p>
            <w:pPr>
              <w:pStyle w:val="BodyText"/>
              <w:tabs>
                <w:tab w:val="clear" w:pos="720"/>
                <w:tab w:val="left" w:pos="360" w:leader="none"/>
              </w:tabs>
              <w:spacing w:lineRule="auto" w:line="240"/>
              <w:rPr>
                <w:sz w:val="22"/>
                <w:szCs w:val="22"/>
              </w:rPr>
            </w:pPr>
            <w:r>
              <w:rPr>
                <w:sz w:val="22"/>
                <w:szCs w:val="22"/>
              </w:rPr>
              <w:t>California Producers Line 85 &amp; No.Coastal</w:t>
            </w:r>
          </w:p>
        </w:tc>
        <w:tc>
          <w:tcPr>
            <w:tcW w:w="2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jc w:val="center"/>
              <w:rPr>
                <w:rFonts w:ascii="Book Antiqua" w:hAnsi="Book Antiqua" w:eastAsia="Book Antiqua" w:cs="Book Antiqua"/>
                <w:sz w:val="22"/>
                <w:szCs w:val="22"/>
              </w:rPr>
            </w:pPr>
            <w:r>
              <w:rPr>
                <w:rFonts w:eastAsia="Book Antiqua" w:cs="Book Antiqua" w:ascii="Book Antiqua" w:hAnsi="Book Antiqua"/>
                <w:sz w:val="22"/>
                <w:szCs w:val="22"/>
              </w:rPr>
              <w:t>Various Producers</w:t>
            </w:r>
          </w:p>
        </w:tc>
        <w:tc>
          <w:tcPr>
            <w:tcW w:w="191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eastAsia="Book Antiqua" w:cs="Book Antiqua"/>
                <w:sz w:val="22"/>
                <w:szCs w:val="22"/>
              </w:rPr>
            </w:pPr>
            <w:r>
              <w:rPr>
                <w:rFonts w:eastAsia="Book Antiqua" w:cs="Book Antiqua" w:ascii="Book Antiqua" w:hAnsi="Book Antiqua"/>
                <w:sz w:val="22"/>
                <w:szCs w:val="22"/>
              </w:rPr>
              <w:t>270</w:t>
            </w:r>
          </w:p>
        </w:tc>
      </w:tr>
      <w:tr>
        <w:trPr/>
        <w:tc>
          <w:tcPr>
            <w:tcW w:w="2347"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rPr>
                <w:rFonts w:ascii="Book Antiqua" w:hAnsi="Book Antiqua" w:eastAsia="Book Antiqua" w:cs="Book Antiqua"/>
                <w:b/>
                <w:bCs/>
                <w:sz w:val="22"/>
                <w:szCs w:val="22"/>
              </w:rPr>
            </w:pPr>
            <w:r>
              <w:rPr>
                <w:rFonts w:eastAsia="Book Antiqua" w:cs="Book Antiqua" w:ascii="Book Antiqua" w:hAnsi="Book Antiqua"/>
                <w:b/>
                <w:bCs/>
                <w:sz w:val="22"/>
                <w:szCs w:val="22"/>
              </w:rPr>
              <w:t>Total</w:t>
            </w:r>
          </w:p>
        </w:tc>
        <w:tc>
          <w:tcPr>
            <w:tcW w:w="278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napToGrid w:val="false"/>
              <w:spacing w:lineRule="auto" w:line="360"/>
              <w:jc w:val="center"/>
              <w:rPr>
                <w:rFonts w:ascii="Book Antiqua" w:hAnsi="Book Antiqua" w:eastAsia="Book Antiqua" w:cs="Book Antiqua"/>
                <w:b/>
                <w:bCs/>
                <w:sz w:val="22"/>
                <w:szCs w:val="22"/>
              </w:rPr>
            </w:pPr>
            <w:r>
              <w:rPr>
                <w:rFonts w:eastAsia="Book Antiqua" w:cs="Book Antiqua" w:ascii="Book Antiqua" w:hAnsi="Book Antiqua"/>
                <w:b/>
                <w:bCs/>
                <w:sz w:val="22"/>
                <w:szCs w:val="22"/>
              </w:rPr>
            </w:r>
          </w:p>
        </w:tc>
        <w:tc>
          <w:tcPr>
            <w:tcW w:w="1911"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60" w:leader="none"/>
              </w:tabs>
              <w:spacing w:lineRule="auto" w:line="360"/>
              <w:jc w:val="center"/>
              <w:rPr>
                <w:rFonts w:ascii="Book Antiqua" w:hAnsi="Book Antiqua" w:eastAsia="Book Antiqua" w:cs="Book Antiqua"/>
                <w:b/>
                <w:bCs/>
                <w:sz w:val="22"/>
                <w:szCs w:val="22"/>
              </w:rPr>
            </w:pPr>
            <w:r>
              <w:rPr>
                <w:rFonts w:eastAsia="Book Antiqua" w:cs="Book Antiqua" w:ascii="Book Antiqua" w:hAnsi="Book Antiqua"/>
                <w:b/>
                <w:bCs/>
                <w:sz w:val="22"/>
                <w:szCs w:val="22"/>
              </w:rPr>
              <w:t>3500</w:t>
            </w:r>
          </w:p>
        </w:tc>
      </w:tr>
    </w:tbl>
    <w:p>
      <w:pPr>
        <w:pStyle w:val="BodyText"/>
        <w:rPr/>
      </w:pPr>
      <w:r>
        <w:rPr/>
      </w:r>
    </w:p>
    <w:p>
      <w:pPr>
        <w:pStyle w:val="BodyText"/>
        <w:rPr/>
      </w:pPr>
      <w:r>
        <w:rPr/>
        <w:t>The Backbone Transmission System includes all of SoCalGas’ mainline compressor stations located at Blythe, Desert Center, Cactus City, South Needles, Newberry, North Needles, Kelso, Adelanto, Wheeler Ridge and Ventura, and the high pressure transmission lines that are required to receive and transport gas.  Some of the major backbone transmission pipelines are:  Lines 85, 225, and 7200 located in the SJV; Lines 247, 324, 404, 406,1004, and 1005 located along the north coast;  Lines 235, 335, 1185, 2000, 2001, 3000, 4000, 4002, and 5000 located in the southern California deserts between Arizona and Los Angeles.  A complete listing of the transmission pipelines and compressor stations that are part of the backbone system, and a diagram of the SoCalGas transmission system are attached shown in Exhibits 3 &amp; 4 respectively.</w:t>
      </w:r>
    </w:p>
    <w:p>
      <w:pPr>
        <w:pStyle w:val="BodyText"/>
        <w:rPr/>
      </w:pPr>
      <w:r>
        <w:rPr/>
        <w:t>The Local Transmission system includes the transmission facilities whose primary purpose is to transport gas from the backbone transmission system to end-use customers or distribution systems.  These facilities are not directly related to access and transportation of supplies from receipt points.  The Local Transmission System includes the transmission facilities that deliver gas from the backbone transmission system to customers and distribution systems in Los Angeles, Orange, San Bernardino, Riverside, Imperial, San Diego, Ventura, Santa Barbara, Kern, Tulare, and Kings counties.</w:t>
      </w:r>
    </w:p>
    <w:p>
      <w:pPr>
        <w:pStyle w:val="BodyText"/>
        <w:rPr/>
      </w:pPr>
      <w:r>
        <w:rPr/>
      </w:r>
    </w:p>
    <w:p>
      <w:pPr>
        <w:pStyle w:val="BodyText"/>
        <w:rPr/>
      </w:pPr>
      <w:r>
        <w:rPr/>
        <w:t>The 1998 total embedded transmission cost of the backbone transmission system was determined to be $73.7 MM.  See Exhibit 2 for the derivation of this cost.  The remaining $64.3 MM of transmission costs are considered to be Local Transmission.</w:t>
      </w:r>
    </w:p>
    <w:p>
      <w:pPr>
        <w:pStyle w:val="BodyText"/>
        <w:tabs>
          <w:tab w:val="clear" w:pos="720"/>
          <w:tab w:val="left" w:pos="4140" w:leader="none"/>
        </w:tabs>
        <w:rPr/>
      </w:pPr>
      <w:r>
        <w:rPr/>
      </w:r>
    </w:p>
    <w:p>
      <w:pPr>
        <w:pStyle w:val="Heading5"/>
        <w:ind w:hanging="0" w:start="0"/>
        <w:rPr/>
      </w:pPr>
      <w:r>
        <w:rPr/>
        <w:t>Firm Intrastate Backbone Transmission Rights</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The Settlement creates firm intrastate backbone transmission capacity rights at each of the seven receipt points into the SoCalGas system described above.</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These firm rights will entitle the holder to move daily volumes, up the their capacity rights, from the receipt point any delivery point on the SoCalGas system.  Delivery points are defined as end use customers; storage; receipt point pools, and the city gate pool.  All market participants, including end-use customers, ESP’s, CTA’s, producers, interstate pipelines, interstate shippers and wholesale customers are eligible to acquire firm intrastate transmission rights on the SoCalGas system.</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The creation of firm backbone transmission rights will improve the certainty of delivering gas to the SoCalGas system, encourage competition and efficiency in the use of SoCalGas system, provide parties multiple opportunities to choose desired receipt points while preserving the value of SoCalGas’ network system.  The settlement provides rights consistent with those available in N. California, while recognizing that SoCalGas’ transmission system is organized in a matrix or network fashion.</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Heading5"/>
        <w:ind w:hanging="0" w:start="0"/>
        <w:rPr/>
      </w:pPr>
      <w:r>
        <w:rPr/>
        <w:t>Awarding Intrastate Transmission Backbone Rights</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Firm intrastate transmission rights up to the maximum capacity at each receipt point will be available to be awarded to all market participants.</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In recognition of the existing long-term interstate pipeline capacity reservations on behalf of retail core customers, intrastate backbone capacity at certain receipt points is reserved for their use.  The retail core is initially reserved 1000 MMcfd consisting of 300 MMcfd at N. Needles, 290 MMcfd at Topock, 340 MMcfd at Blythe and 70 MMcfd on N. Coastal.  This intrastate backbone reservation is somewhat less than the 1044 MMcfd of interstate capacity reservations thus reducing costs for core customers while providing additional flexibility to purchase supplies, if needed, at the city gate, rather than in the supply basins.  The initial retail core reservation also recognizes the existing core market share served by ESP’s and CTA’s on the SoCalGas system, and assumes growth to a 10% market share.  Should CTA market share exceed 10% in subsequent years, the retail core will further reduce their intrastate backbone transmission capacity reservations proportionally.</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Wholesale customers on the SoCalGas system have two options for obtaining firm intrastate transmission reservation on behalf of their core customers.  First, they can obtain a reservation at any point to match an existing long-term (greater than 5 years) upstream interstate pipeline commitments.  Second, if they have no existing interstate commitments, they can elect to make a reservation proportionate to SoCalGas’ retail core, at the same retail core receipt points.</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pPr>
      <w:r>
        <w:rPr>
          <w:rFonts w:eastAsia="Book Antiqua" w:cs="Book Antiqua" w:ascii="Book Antiqua" w:hAnsi="Book Antiqua"/>
          <w:sz w:val="24"/>
          <w:szCs w:val="24"/>
        </w:rPr>
        <w:t>All remaining firm intrastate backbone transmission rights will be available through a 3-stage open season process.  In the first 2 stages, only end-use customers (including noncore, wholesale not electing a reservation, CTA’s and ESP’s on behalf of end-use customers) may participate by subscribing up to 100% of their historic annual usage (adjusted for seasonal load variation) with a limit at each receipt point of a maximum of 50% of the remaining capacity.  In the 3</w:t>
      </w:r>
      <w:r>
        <w:rPr>
          <w:rFonts w:eastAsia="Book Antiqua" w:cs="Book Antiqua" w:ascii="Book Antiqua" w:hAnsi="Book Antiqua"/>
          <w:sz w:val="24"/>
          <w:szCs w:val="24"/>
          <w:vertAlign w:val="superscript"/>
        </w:rPr>
        <w:t>rd</w:t>
      </w:r>
      <w:r>
        <w:rPr>
          <w:rFonts w:eastAsia="Book Antiqua" w:cs="Book Antiqua" w:ascii="Book Antiqua" w:hAnsi="Book Antiqua"/>
          <w:sz w:val="24"/>
          <w:szCs w:val="24"/>
        </w:rPr>
        <w:t xml:space="preserve"> stage, any creditworth party may participate and subscribe for capacity.  Capacity in the open season process will be awarded based exclusively on the length of term bid, with preference for the longer term.  The maximum term bid will be for the full term of the settlement period, i.e., until August 31, 2006), and pro-rating in the event of oversubscription will also be based on term.  A minimum of 20% of the total capacity available in the open season process may not be awarded for terms that exceed one year.  This provision ensures the continuing availability of short-term firm backbone transmission capacity and preserves capacity for new customer growth.</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The demand charge rate for unbundled firm intrastate backbone transmission capacity is a uniform $0.07191/Dth for all capacity at any receipt point.  This “postage stamp” demand charge rate is derived from the 3500 MMcfd of firm intrastate backbone transmission capacity, the $73.7 million backbone embedded cost and an agreed upon 79% system load factor.  The 79% load factor is somewhat higher than the 77% load factor implied by the 1999 adopted BCAP throughput of 983 Bcf.  This stretch is appropriate because it reflects the core'’ requirement to purchase fuel and lost and unaccounted for throughput.  It also increases SoCalGas’ incentive to aggressively market unsubscribed capacity.</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Parties who subscribe for backbone capacity may also choose an alternative rate that consists of a 50% demand charge of $0.3976/Dth and a volumetric rate of $0.3975/Dth (a 50/50 demand/volumetric rate).  The choice of rate is entirely at the subscribing parties’ election and can be for any portion of the subscribed capacity at any receipt point.  In evaluating the open season requests, no preference will be given to either rate election.</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The choice of two rates and rate designs provides options for customers with differing load profiles, and ability or willingness to participate in the secondary market.</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Firm intrastate backbone transmission capacity not subscribed through the open season process, if any, will be available for subscription by SoCalGas at a negotiated price up to 120% of the “postage stamp” firm rate.  Any such capacity that is subscribed will be firm and equal in priority to any other subscribed firm capacity.  Also, any backbone transmission capacity above the stated receipt point firm capacity that may be available from time to time, or any subscribed firm backbone capacity that is not being fully utilized, will be made available by SoCalGas, at a negotiated price up to 120% of the “postage stamp” firm rate.  Any such capacity will be interruptible and subject to bumping by the holder of the firm capacity.</w:t>
      </w:r>
    </w:p>
    <w:p>
      <w:pPr>
        <w:pStyle w:val="Heading5"/>
        <w:ind w:hanging="0" w:start="0"/>
        <w:rPr>
          <w:rFonts w:ascii="Book Antiqua" w:hAnsi="Book Antiqua" w:eastAsia="Book Antiqua" w:cs="Book Antiqua"/>
          <w:sz w:val="24"/>
          <w:szCs w:val="24"/>
        </w:rPr>
      </w:pPr>
      <w:r>
        <w:rPr>
          <w:rFonts w:eastAsia="Book Antiqua" w:cs="Book Antiqua"/>
          <w:sz w:val="24"/>
          <w:szCs w:val="24"/>
        </w:rPr>
      </w:r>
    </w:p>
    <w:p>
      <w:pPr>
        <w:pStyle w:val="Heading5"/>
        <w:ind w:hanging="0" w:start="0"/>
        <w:rPr/>
      </w:pPr>
      <w:r>
        <w:rPr/>
        <w:t>Tradable Rights Secondary Market</w:t>
      </w:r>
    </w:p>
    <w:p>
      <w:pPr>
        <w:pStyle w:val="BodyText"/>
        <w:rPr/>
      </w:pPr>
      <w:r>
        <w:rPr/>
        <w:t>Firm intrastate backbone transmission rights will be fully tradable through a secondary market.  SoCalGas will create an electronic mechanism for parties to post and trade backbone transmission rights.  The secondary market will be voluntary and contain no price or term restrictions.</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The existence of a secondary market is important to the creation of market efficiency cost minimization.  The secondary market provides the mechanism for parties to release capacity during periods when it is not needed, or acquire capcity of ronly those occacions or peak periods when it is needed.  Parties that hold backbone transmission capacity, particularly those that have peak needs during the summer, could find that the secondary market provides an attractive opportunity to recrease capacity during the high demand winter period when capacity prices may tend to be above the “postage stamp” embedded cost rate.  Conversely, parties that have summer peaking requirements could also choose to acquire released capacity from others when summer capacity prices may tend to be below the “postage stamp” embedded cost rate.</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b/>
          <w:bCs/>
          <w:sz w:val="24"/>
          <w:szCs w:val="24"/>
        </w:rPr>
      </w:pPr>
      <w:r>
        <w:rPr>
          <w:rFonts w:eastAsia="Book Antiqua" w:cs="Book Antiqua" w:ascii="Book Antiqua" w:hAnsi="Book Antiqua"/>
          <w:sz w:val="24"/>
          <w:szCs w:val="24"/>
        </w:rPr>
        <w:t>Finally, other parties may choose not be acquire any firm intrastate backbone transmission rights through the open season process, and instead rely exclusively on purchases of Los Angeles City Gate supplies in the secondary market.</w:t>
      </w:r>
    </w:p>
    <w:p>
      <w:pPr>
        <w:pStyle w:val="Normal"/>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Heading6"/>
        <w:ind w:hanging="0" w:start="0"/>
        <w:jc w:val="start"/>
        <w:rPr>
          <w:b w:val="false"/>
          <w:bCs w:val="false"/>
          <w:u w:val="single"/>
        </w:rPr>
      </w:pPr>
      <w:r>
        <w:rPr>
          <w:b w:val="false"/>
          <w:bCs w:val="false"/>
          <w:u w:val="single"/>
        </w:rPr>
        <w:t>Hector Road As A Formal Receipt Point</w:t>
      </w:r>
    </w:p>
    <w:p>
      <w:pPr>
        <w:pStyle w:val="BodyText"/>
        <w:rPr/>
      </w:pPr>
      <w:r>
        <w:rPr/>
        <w:t>SoCalGas’ interconnection with Mojave Pipeline Company (“Mojave”) at Hector Road will be established as a formal receipt point on the SoCalGas system at which volumes can be nominated by SoCalGas transportation customers.  The total capacity available at Hector Road will be subject to adjustment daily based on operating conditions, but such capacity will be 50 MMcfd or greater as long as Mojave delivers at least 50 MMcfd at Hector Road on each day for which volumes equal to or greater than 50 MMcfd were nominated for delivery at Hector Road.  Volumes nominated at Hector Road in excess of 50 MMcfd would be secondary to nominations on SoCalGas’ system for deliveries from Transwestern Pipeline Company (“Transwestern”) at SoCalGas’ North Needles receipt point (see Appendix B for Discussion of Primary/Secondary Access).  SoCalGas will not set the maximum daily receipt point capacity at North Needles at less than 750 MMcfd unless operating conditions unrelated to the Hector Road receipt point require such action.</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Establishment of Hector Road as a formal receipt point for nominations into the SoCalGas system is conditioned on the Federal Energy Regulatory Commission (“FERC”) approving Hector Road as a formal delivery point by Mojave.  The Parties to this Settlement agree not to oppose such action by the FERC.  By approval of this Settlement, the Commission agrees not to oppose such action by the FERC.  SoCalGas has already filed at the FERC seeking Hector Road as formal delivery point from Mojave.</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Establishing Hector Road as a formal receipt point on the SoCalGas system will benefit all market participants by increasing the total capacity available for access, providing additional flexibility and choice as to where parties access the system and furthers competition between access points that will benefit all participants through lower prices.</w:t>
      </w:r>
    </w:p>
    <w:p>
      <w:pPr>
        <w:pStyle w:val="Heading5"/>
        <w:ind w:hanging="0" w:start="0"/>
        <w:rPr>
          <w:rFonts w:ascii="Book Antiqua" w:hAnsi="Book Antiqua" w:eastAsia="Book Antiqua" w:cs="Book Antiqua"/>
          <w:sz w:val="24"/>
          <w:szCs w:val="24"/>
        </w:rPr>
      </w:pPr>
      <w:r>
        <w:rPr>
          <w:rFonts w:eastAsia="Book Antiqua" w:cs="Book Antiqua"/>
          <w:sz w:val="24"/>
          <w:szCs w:val="24"/>
        </w:rPr>
      </w:r>
    </w:p>
    <w:p>
      <w:pPr>
        <w:pStyle w:val="Heading5"/>
        <w:ind w:hanging="0" w:start="0"/>
        <w:rPr/>
      </w:pPr>
      <w:r>
        <w:rPr/>
        <w:t>Elimination of Windowing</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SoCalGas currently applies a “windowing” procedure to determine the maximum amount of gas on a daily basis that it allows to be scheduled by shippers as a whole for each of the receipt point on its system.  The details of this procedure are set forth in SoCalGas Advice Letter 2837.  In summary, the current windowing procedure bases the maximum amount allowed to be scheduled for each receipt point on prior day nominations, except at the first of the month.</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The current “windowing” process on the SoCalGas system will be eliminated upon the effective date of the settlement.  In its place, until the implementation of firm intrastate backbone transmission rights on October 1, 2001, SoCalGas will adopt a system under which it will establish receipt point capacities, subject to revision daily, on the basis of physical maximums for each receipt point under the operating conditions expected for that day.  If SoCalGas’ customers’ nominations in total for a receipt point exceed SoCalGas’ physical maximum capacity for the day at that receipt point, SoCalGas will continue to have the upstream pipeline at the interconnection point determine which shippers’ gas will be scheduled up to the physical maximum based on the upstream pipeline’s capacity rights system.  The daily maximums for each receipt point will be posted on SoCalGas’ publicly available GasSelect system daily prior to the nomination deadline.</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With the creation and implementation of firm intrastate backbone transmission rights on the SoCalGas system effective October 1, 2001, firm nominations for delivery at a receipt point can no longer exceed the maximum firm capacity at that receipt point.  Thus, the parties holding the firm intrastate back transmission rights at receipt point will determine the gas that flows at the receipt points.</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Heading5"/>
        <w:ind w:hanging="0" w:start="0"/>
        <w:rPr/>
      </w:pPr>
      <w:r>
        <w:rPr/>
        <w:t>HUB Services</w:t>
      </w:r>
    </w:p>
    <w:p>
      <w:pPr>
        <w:pStyle w:val="Normal"/>
        <w:spacing w:lineRule="auto" w:line="360"/>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Heading8"/>
        <w:ind w:hanging="0" w:start="0"/>
        <w:jc w:val="center"/>
        <w:rPr/>
      </w:pPr>
      <w:r>
        <w:rPr/>
        <w:t>Restructuring Storage</w:t>
      </w:r>
    </w:p>
    <w:p>
      <w:pPr>
        <w:pStyle w:val="Normal"/>
        <w:spacing w:lineRule="auto" w:line="360"/>
        <w:rPr>
          <w:rFonts w:ascii="Book Antiqua" w:hAnsi="Book Antiqua" w:eastAsia="Book Antiqua" w:cs="Book Antiqua"/>
          <w:i/>
          <w:i/>
          <w:iCs/>
          <w:sz w:val="24"/>
          <w:szCs w:val="24"/>
        </w:rPr>
      </w:pPr>
      <w:r>
        <w:rPr>
          <w:rFonts w:eastAsia="Book Antiqua" w:cs="Book Antiqua" w:ascii="Book Antiqua" w:hAnsi="Book Antiqua"/>
          <w:i/>
          <w:iCs/>
          <w:sz w:val="24"/>
          <w:szCs w:val="24"/>
        </w:rPr>
        <w:t>Summary</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t>The Comprehensive Settlement addresses the Commission's Promising Options for storage, addresses market power issues raised during this proceeding, and promotes greater statewide consistency.</w:t>
      </w:r>
    </w:p>
    <w:p>
      <w:pPr>
        <w:pStyle w:val="Normal"/>
        <w:numPr>
          <w:ilvl w:val="0"/>
          <w:numId w:val="3"/>
        </w:numPr>
        <w:tabs>
          <w:tab w:val="clear" w:pos="720"/>
          <w:tab w:val="left" w:pos="0" w:leader="none"/>
        </w:tabs>
        <w:spacing w:lineRule="auto" w:line="360"/>
        <w:ind w:hanging="720" w:start="720" w:end="0"/>
        <w:rPr>
          <w:rFonts w:ascii="Book Antiqua" w:hAnsi="Book Antiqua" w:eastAsia="Book Antiqua" w:cs="Book Antiqua"/>
          <w:sz w:val="24"/>
          <w:szCs w:val="24"/>
        </w:rPr>
      </w:pPr>
      <w:r>
        <w:rPr>
          <w:rFonts w:eastAsia="Book Antiqua" w:cs="Book Antiqua" w:ascii="Book Antiqua" w:hAnsi="Book Antiqua"/>
          <w:sz w:val="24"/>
          <w:szCs w:val="24"/>
        </w:rPr>
        <w:t>The Comprehensive Settlement allays the concerns regarding "market power" in storage that many parties may have had through the institution of a cost-based open season for a standard storage package, which can then be retraded at market prices through a secondary market.  At the same time, the Comprehensive Settlement addresses the concerns of many current SoCalGas GTBS storage customers by retaining that flexible, tailored, market-based program using capacity that remains unsold in the annual, cost-based open seasons.</w:t>
      </w:r>
    </w:p>
    <w:p>
      <w:pPr>
        <w:pStyle w:val="Normal"/>
        <w:numPr>
          <w:ilvl w:val="0"/>
          <w:numId w:val="3"/>
        </w:numPr>
        <w:tabs>
          <w:tab w:val="clear" w:pos="720"/>
          <w:tab w:val="left" w:pos="0" w:leader="none"/>
        </w:tabs>
        <w:spacing w:lineRule="auto" w:line="360"/>
        <w:ind w:hanging="720" w:start="720" w:end="0"/>
        <w:rPr>
          <w:rFonts w:ascii="Book Antiqua" w:hAnsi="Book Antiqua" w:eastAsia="Book Antiqua" w:cs="Book Antiqua"/>
          <w:sz w:val="24"/>
          <w:szCs w:val="24"/>
        </w:rPr>
      </w:pPr>
      <w:r>
        <w:rPr>
          <w:rFonts w:eastAsia="Book Antiqua" w:cs="Book Antiqua" w:ascii="Book Antiqua" w:hAnsi="Book Antiqua"/>
          <w:sz w:val="24"/>
          <w:szCs w:val="24"/>
        </w:rPr>
        <w:t>After April of 2003, the Settlement places the utility fully at-risk for unused storage resources.  SoCalGas' pricing flexibility will at-first be limited, but will appropriately increase as its shareholder risk reaches the 100% level in 2003.</w:t>
      </w:r>
    </w:p>
    <w:p>
      <w:pPr>
        <w:pStyle w:val="Normal"/>
        <w:numPr>
          <w:ilvl w:val="0"/>
          <w:numId w:val="3"/>
        </w:numPr>
        <w:tabs>
          <w:tab w:val="clear" w:pos="720"/>
          <w:tab w:val="left" w:pos="0" w:leader="none"/>
        </w:tabs>
        <w:spacing w:lineRule="auto" w:line="360"/>
        <w:ind w:hanging="720" w:start="720" w:end="0"/>
        <w:rPr>
          <w:rFonts w:ascii="Book Antiqua" w:hAnsi="Book Antiqua" w:eastAsia="Book Antiqua" w:cs="Book Antiqua"/>
          <w:sz w:val="24"/>
          <w:szCs w:val="24"/>
        </w:rPr>
      </w:pPr>
      <w:r>
        <w:rPr>
          <w:rFonts w:eastAsia="Book Antiqua" w:cs="Book Antiqua" w:ascii="Book Antiqua" w:hAnsi="Book Antiqua"/>
          <w:sz w:val="24"/>
          <w:szCs w:val="24"/>
        </w:rPr>
        <w:t>The Comprehensive Settlement significantly unbundles storage costs for all core customers, both retail and CTA customers.  This, in turn, will significantly increase the revenue that SoCalGas will be at-risk for in its unbundled storage program.  It will also provide CTAs with competitive opportunities to increase market share if they can find more competitive alternatives to SoCalGas storage allocations.</w:t>
      </w:r>
    </w:p>
    <w:p>
      <w:pPr>
        <w:pStyle w:val="Normal"/>
        <w:numPr>
          <w:ilvl w:val="0"/>
          <w:numId w:val="3"/>
        </w:numPr>
        <w:tabs>
          <w:tab w:val="clear" w:pos="720"/>
          <w:tab w:val="left" w:pos="0" w:leader="none"/>
        </w:tabs>
        <w:spacing w:lineRule="auto" w:line="360"/>
        <w:ind w:hanging="720" w:start="720" w:end="0"/>
        <w:rPr>
          <w:rFonts w:ascii="Book Antiqua" w:hAnsi="Book Antiqua" w:eastAsia="Book Antiqua" w:cs="Book Antiqua"/>
          <w:sz w:val="24"/>
          <w:szCs w:val="24"/>
        </w:rPr>
      </w:pPr>
      <w:r>
        <w:rPr>
          <w:rFonts w:eastAsia="Book Antiqua" w:cs="Book Antiqua" w:ascii="Book Antiqua" w:hAnsi="Book Antiqua"/>
          <w:sz w:val="24"/>
          <w:szCs w:val="24"/>
        </w:rPr>
        <w:t>The Comprehensive Settlement removes the core from the balancing function.</w:t>
      </w:r>
    </w:p>
    <w:p>
      <w:pPr>
        <w:pStyle w:val="Normal"/>
        <w:numPr>
          <w:ilvl w:val="0"/>
          <w:numId w:val="3"/>
        </w:numPr>
        <w:tabs>
          <w:tab w:val="clear" w:pos="720"/>
          <w:tab w:val="left" w:pos="0" w:leader="none"/>
        </w:tabs>
        <w:spacing w:lineRule="auto" w:line="360"/>
        <w:ind w:hanging="720" w:start="720" w:end="0"/>
        <w:rPr>
          <w:rFonts w:ascii="Book Antiqua" w:hAnsi="Book Antiqua" w:eastAsia="Book Antiqua" w:cs="Book Antiqua"/>
          <w:sz w:val="24"/>
          <w:szCs w:val="24"/>
        </w:rPr>
      </w:pPr>
      <w:r>
        <w:rPr>
          <w:rFonts w:eastAsia="Book Antiqua" w:cs="Book Antiqua" w:ascii="Book Antiqua" w:hAnsi="Book Antiqua"/>
          <w:sz w:val="24"/>
          <w:szCs w:val="24"/>
        </w:rPr>
        <w:t>The Comprehensive Settlement enhances the current secondary market for storage on the SoCalGas system and allows all customers, including the core, to trade individual (injection, withdrawal, inventory capacity) elements of their storage for any term.</w:t>
      </w:r>
    </w:p>
    <w:p>
      <w:pPr>
        <w:pStyle w:val="Normal"/>
        <w:numPr>
          <w:ilvl w:val="0"/>
          <w:numId w:val="3"/>
        </w:numPr>
        <w:tabs>
          <w:tab w:val="clear" w:pos="720"/>
          <w:tab w:val="left" w:pos="0" w:leader="none"/>
        </w:tabs>
        <w:spacing w:lineRule="auto" w:line="360"/>
        <w:ind w:hanging="720" w:start="720" w:end="0"/>
        <w:rPr>
          <w:rFonts w:ascii="Book Antiqua" w:hAnsi="Book Antiqua" w:eastAsia="Book Antiqua" w:cs="Book Antiqua"/>
          <w:sz w:val="24"/>
          <w:szCs w:val="24"/>
        </w:rPr>
      </w:pPr>
      <w:r>
        <w:rPr>
          <w:rFonts w:eastAsia="Book Antiqua" w:cs="Book Antiqua" w:ascii="Book Antiqua" w:hAnsi="Book Antiqua"/>
          <w:sz w:val="24"/>
          <w:szCs w:val="24"/>
        </w:rPr>
        <w:t xml:space="preserve">In order to improve market transparency, the Comprehensive Settlement provides information sharing on a quarterly basis concerning all GTBS transactions </w:t>
      </w:r>
    </w:p>
    <w:p>
      <w:pPr>
        <w:pStyle w:val="Normal"/>
        <w:numPr>
          <w:ilvl w:val="0"/>
          <w:numId w:val="3"/>
        </w:numPr>
        <w:tabs>
          <w:tab w:val="clear" w:pos="720"/>
          <w:tab w:val="left" w:pos="0" w:leader="none"/>
        </w:tabs>
        <w:spacing w:lineRule="auto" w:line="360"/>
        <w:ind w:hanging="360" w:start="720" w:end="0"/>
        <w:rPr>
          <w:rFonts w:ascii="Book Antiqua" w:hAnsi="Book Antiqua" w:eastAsia="Book Antiqua" w:cs="Book Antiqua"/>
          <w:sz w:val="24"/>
          <w:szCs w:val="24"/>
        </w:rPr>
      </w:pPr>
      <w:r>
        <w:rPr>
          <w:rFonts w:eastAsia="Book Antiqua" w:cs="Book Antiqua" w:ascii="Book Antiqua" w:hAnsi="Book Antiqua"/>
          <w:sz w:val="24"/>
          <w:szCs w:val="24"/>
        </w:rPr>
        <w:t>The Comprehensive Settlement creates greater statewide consistency with the N. California storage program by unbundling the embedded, not LRMC, costs of storage.</w:t>
      </w:r>
      <w:r>
        <w:br w:type="page"/>
      </w:r>
    </w:p>
    <w:p>
      <w:pPr>
        <w:pStyle w:val="Normal"/>
        <w:spacing w:lineRule="auto" w:line="360"/>
        <w:rPr/>
      </w:pPr>
      <w:r>
        <w:rPr>
          <w:rFonts w:eastAsia="Book Antiqua" w:cs="Book Antiqua" w:ascii="Book Antiqua" w:hAnsi="Book Antiqua"/>
          <w:sz w:val="24"/>
          <w:szCs w:val="24"/>
        </w:rPr>
        <w:t>1</w:t>
      </w:r>
      <w:r>
        <w:rPr>
          <w:rFonts w:eastAsia="Book Antiqua" w:cs="Book Antiqua" w:ascii="Book Antiqua" w:hAnsi="Book Antiqua"/>
          <w:i/>
          <w:iCs/>
          <w:sz w:val="24"/>
          <w:szCs w:val="24"/>
        </w:rPr>
        <w:t xml:space="preserve">.  Storage Open Season  </w:t>
      </w:r>
      <w:r>
        <w:rPr>
          <w:rFonts w:eastAsia="Book Antiqua" w:cs="Book Antiqua" w:ascii="Book Antiqua" w:hAnsi="Book Antiqua"/>
          <w:sz w:val="24"/>
          <w:szCs w:val="24"/>
          <w:u w:val="single"/>
        </w:rPr>
        <w:t>Section 2.1.3.4 in Settlement</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t>The Comprehensive Settlement allays the concerns some parties had regarding SoCalGas' "market power" in storage through the institution of a cost-based open season for a standard storage package, which can then be retraded at market prices in the secondary market. Any capacities not reserved for core customers or the default balancing service will be offered for sale in an open season to be held sometime prior to April 1, 2001.  In order to avoid stranding one storage product, the package available in the open season is proportional to SoCalGas’ total storage capacities.  The proportions for the packages are 1 bcf inventory, 7.6 mmcfd injection, 29.6 mmcfd withdrawal.  Customers may bid for any amount of inventory, and the associated injection and withdrawal reservation will be determined by this ratio.  Based on embedded costs, the price of inventory for the package will be $0.67 per Dth per year, adjusted annually by the PBR escalation factor.  Approximately 30 Bcf will be available for sale in the initial open season under these packages.  Customers may bid for any term up to the full term of the settlement; priority will be accorded to longer-term bids.  Twenty percent of the total capacity available in the initial open season, however, will be reserved for one-year terms.  This will allow customers additional opportunities to buy cost-based packages after the initial open season.</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spacing w:lineRule="auto" w:line="360"/>
        <w:rPr/>
      </w:pPr>
      <w:r>
        <w:rPr>
          <w:rFonts w:eastAsia="Book Antiqua" w:cs="Book Antiqua" w:ascii="Book Antiqua" w:hAnsi="Book Antiqua"/>
          <w:sz w:val="24"/>
          <w:szCs w:val="24"/>
        </w:rPr>
        <w:t>2</w:t>
      </w:r>
      <w:r>
        <w:rPr>
          <w:rFonts w:eastAsia="Book Antiqua" w:cs="Book Antiqua" w:ascii="Book Antiqua" w:hAnsi="Book Antiqua"/>
          <w:i/>
          <w:iCs/>
          <w:sz w:val="24"/>
          <w:szCs w:val="24"/>
        </w:rPr>
        <w:t xml:space="preserve">.  Risk Sharing and Pricing Flexibility  </w:t>
      </w:r>
      <w:r>
        <w:rPr>
          <w:rFonts w:eastAsia="Book Antiqua" w:cs="Book Antiqua" w:ascii="Book Antiqua" w:hAnsi="Book Antiqua"/>
          <w:sz w:val="24"/>
          <w:szCs w:val="24"/>
          <w:u w:val="single"/>
        </w:rPr>
        <w:t>Sections 2.3 &amp; 2.1.3.5 in Settlement</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t xml:space="preserve">SoCalGas’ risk for cost recovery in the unbundled storage program will have three phases, corresponding to the pricing flexibility phases described below.  From April 2001-March 2002, SoCalGas will continue the 50% balancing account treatment being adopted for unbundled storage costs in the 1999 BCAP.  From April 2002-March 2003, SoCalGas will be 75% at risk with unbundled storage costs being ratepayer 25% balanced.  And, after April 2003, SoCalGas shall be 100% at risk for unbundled storage costs.  These provisions will reasonably transition SoCalGas from the 1996 BCAP environment, in which it enjoyed 100% balancing account recovery for any unrecovered unbundled storage program revenues, to the same 100% at-risk environment that was adopted in the PG&amp;E Gas Accord.  Since its has significantly greater storage assets than does PG&amp;E, the absolute level of this risk will be substantially greater on the SoCalGas system. </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t>Any capacities not reserved or subscribed in the cost-based open season (described below), as well as operationally available capacities, will be offered for sale through SoCalGas’ Schedule GTBS.  Under schedule GTBS customers may purchase any combination of storage products (inventory, injection, and withdrawal) for any term.  These sales will be subject to new price caps and floors under the Comprehensive Settlement.  In the first stage, effective April 1, 2001 - March 31, 2002, prices for each storage product (inventory, injection, and withdrawal) will be limited to +/- 50% of the embedded cost rate.  In the second stage, effective April 1, 2002 - March 31, 2003 the price floor will be 50% of embedded cost, and the ceiling will be 200% of embedded cost.  From April 1, 2003 through the end of the settlement, the price floor will be short run marginal cost and the current GTBS pricing ceiling will be reinstituted.  It is reasonable for SoCalGas to have increasing pricing flexibility as its shareholder risk increases.  The pricing flexibility that SoCalGas will ultimately have under the GTBS program will still be less than that which PG&amp;E currently enjoys under its G-NFS program, under which it appears makes the majority of its unbundled storage sales.</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t>The at-risk feature of the Comprehensive Settlement allays the concerns of third-party storage providers that SoCalGas ratepayers could be subsidizing any discounting that SoCalGas finds necessary to sell its storage products in the G-TBS program.  Furthermore, upward pricing flexibility is appropriate since it only applies to capacity that remains unallocated to core, balancing customers or unsold in the cost-based open seasons.</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r>
      <w:r>
        <w:br w:type="page"/>
      </w:r>
    </w:p>
    <w:p>
      <w:pPr>
        <w:pStyle w:val="Normal"/>
        <w:spacing w:lineRule="auto" w:line="360"/>
        <w:rPr/>
      </w:pPr>
      <w:r>
        <w:rPr>
          <w:rFonts w:eastAsia="Book Antiqua" w:cs="Book Antiqua" w:ascii="Book Antiqua" w:hAnsi="Book Antiqua"/>
          <w:sz w:val="24"/>
          <w:szCs w:val="24"/>
        </w:rPr>
        <w:t xml:space="preserve">3.  </w:t>
      </w:r>
      <w:r>
        <w:rPr>
          <w:rFonts w:eastAsia="Book Antiqua" w:cs="Book Antiqua" w:ascii="Book Antiqua" w:hAnsi="Book Antiqua"/>
          <w:i/>
          <w:iCs/>
          <w:sz w:val="24"/>
          <w:szCs w:val="24"/>
        </w:rPr>
        <w:t>Unbundling of Storage for Core Customers</w:t>
      </w:r>
    </w:p>
    <w:p>
      <w:pPr>
        <w:pStyle w:val="Normal"/>
        <w:spacing w:lineRule="auto" w:line="360"/>
        <w:rPr/>
      </w:pPr>
      <w:r>
        <w:rPr>
          <w:rFonts w:eastAsia="Book Antiqua" w:cs="Book Antiqua" w:ascii="Book Antiqua" w:hAnsi="Book Antiqua"/>
          <w:sz w:val="24"/>
          <w:szCs w:val="24"/>
          <w:u w:val="single"/>
        </w:rPr>
        <w:t xml:space="preserve">Retail Customer Benefits     </w:t>
      </w:r>
      <w:r>
        <w:rPr>
          <w:rFonts w:eastAsia="Book Antiqua" w:cs="Book Antiqua" w:ascii="Book Antiqua" w:hAnsi="Book Antiqua"/>
          <w:sz w:val="24"/>
          <w:szCs w:val="24"/>
        </w:rPr>
        <w:t xml:space="preserve">          </w:t>
      </w:r>
      <w:r>
        <w:rPr>
          <w:rFonts w:eastAsia="Book Antiqua" w:cs="Book Antiqua" w:ascii="Book Antiqua" w:hAnsi="Book Antiqua"/>
          <w:sz w:val="24"/>
          <w:szCs w:val="24"/>
          <w:u w:val="single"/>
        </w:rPr>
        <w:t>Sections 2.1.3.1 &amp; 2.1.3.2 in Settlement</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t>As of April 1, 2001 the total core storage reservation (before any CTA unbundling elections described below) will be 55 Bcf inventory, 327 Mmcfd injection, and 1985 Mmcfd withdrawal.  These quantities are reduced from those adopted for the total core market in the 1999 BCAP, due to 15 Bcf of core storage inventory being unbundled.  The core will be able to buy additional storage in the open season or in the secondary market, but there will at least be partial unbundling for all core customers, including residential customers.  Partially as a result of this unbundling and partially as a result of embedded cost pricing, the cost of this core storage reservation will be just $34.15 million ($35.4 million plus $1.25 million in oil revenue credits), or just over 10 cents per dth of total annual core throughput.  This represents a significant decrease from the $40.6 million that is allocated to core for storage costs in the 1999 BCAP.  Exhibit 5 provides backup to these calculations and the credit calculations described below.</w:t>
      </w:r>
    </w:p>
    <w:p>
      <w:pPr>
        <w:pStyle w:val="Normal"/>
        <w:spacing w:lineRule="auto" w:line="360"/>
        <w:rPr>
          <w:rFonts w:ascii="Book Antiqua" w:hAnsi="Book Antiqua" w:eastAsia="Book Antiqua" w:cs="Book Antiqua"/>
          <w:sz w:val="24"/>
          <w:szCs w:val="24"/>
          <w:u w:val="single"/>
        </w:rPr>
      </w:pPr>
      <w:r>
        <w:rPr>
          <w:rFonts w:eastAsia="Book Antiqua" w:cs="Book Antiqua" w:ascii="Book Antiqua" w:hAnsi="Book Antiqua"/>
          <w:sz w:val="24"/>
          <w:szCs w:val="24"/>
          <w:u w:val="single"/>
        </w:rPr>
      </w:r>
    </w:p>
    <w:p>
      <w:pPr>
        <w:pStyle w:val="Normal"/>
        <w:spacing w:lineRule="auto" w:line="360"/>
        <w:rPr/>
      </w:pPr>
      <w:r>
        <w:rPr>
          <w:rFonts w:eastAsia="Book Antiqua" w:cs="Book Antiqua" w:ascii="Book Antiqua" w:hAnsi="Book Antiqua"/>
          <w:sz w:val="24"/>
          <w:szCs w:val="24"/>
          <w:u w:val="single"/>
        </w:rPr>
        <w:t xml:space="preserve">New Storage Unbundling Options for CTAs   </w:t>
      </w:r>
      <w:r>
        <w:rPr>
          <w:rFonts w:eastAsia="Book Antiqua" w:cs="Book Antiqua" w:ascii="Book Antiqua" w:hAnsi="Book Antiqua"/>
          <w:sz w:val="24"/>
          <w:szCs w:val="24"/>
        </w:rPr>
        <w:t xml:space="preserve">             </w:t>
      </w:r>
      <w:r>
        <w:rPr>
          <w:rFonts w:eastAsia="Book Antiqua" w:cs="Book Antiqua" w:ascii="Book Antiqua" w:hAnsi="Book Antiqua"/>
          <w:sz w:val="24"/>
          <w:szCs w:val="24"/>
          <w:u w:val="single"/>
        </w:rPr>
        <w:t>Sections 5.4 in Settlement</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t xml:space="preserve">A myriad of new competitive options will be provided to CTAs as they compete for core market share.  As of April 2001, they will be able to reject all or a portion of the storage that would otherwise be assigned to them.  They will be able to receive a credit almost equal to the full 10 cents/dth of storage otherwise allocated to retail core customers if they reject all storage and elect to become "self-balancers".  Or, they can receive a 1.6 cent/dth smaller credit and elect to become default noncore balancers subject to noncore OFO events and procedures.  Under either of these first two options, the CTAs must, certify that they can meet the peak day reliability otherwise provided by the storage withdrawal assignment using an alternative, reliable supplier.  And significant diversion charges will apply to these CTAs if those alternative supplies fail to deliver at critical times.  If CTAs do not want to bother with this alternative supplier certification process, they can elect to reject only the non-reliability portion of core storage assignment (defined as 20 Bcf, and 93 MMcfd of injection and still receive about a 2.3 cent/dth credit.  (Actual, specific CTA credits will depend upon the level of storage otherwise allocated to the CTA customers which, in turn, is a function of the CTAs winter load relative to total core winter load.)  Any storage capacity that is rejected by the CTAs as they make these elections is allocated to the unbundled storage program, thereby increasing the assets that SoCalGas will be at market risk for under this Comprehensive Settlement.  Any storage rights that CTAs retain can be traded in secondary markets.  (Except that any storage reliability assignment is subject to peak day minimums proportional to those of the retail core.)  </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spacing w:lineRule="auto" w:line="360"/>
        <w:rPr/>
      </w:pPr>
      <w:r>
        <w:rPr>
          <w:rFonts w:eastAsia="Book Antiqua" w:cs="Book Antiqua" w:ascii="Book Antiqua" w:hAnsi="Book Antiqua"/>
          <w:i/>
          <w:iCs/>
          <w:sz w:val="24"/>
          <w:szCs w:val="24"/>
        </w:rPr>
        <w:t xml:space="preserve">4.  Removal of Core from the Balancing Function  </w:t>
      </w:r>
      <w:r>
        <w:rPr>
          <w:rFonts w:eastAsia="Book Antiqua" w:cs="Book Antiqua" w:ascii="Book Antiqua" w:hAnsi="Book Antiqua"/>
          <w:sz w:val="24"/>
          <w:szCs w:val="24"/>
          <w:u w:val="single"/>
        </w:rPr>
        <w:t>Section 3.1.3 of Settlement</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t>The core will balance to forecasts of its burn by using its total storage rights.  The core's assets cannot be used for balancing by noncore customers, who will have their own set of balancing assets to use and who will trigger noncore-only OFO events if they try to use core assets to balance.  The retail core will no longer purchase monthly noncore imbalances that remain uncured; SoCalGas Gas Operations’ function will now buy those imbalances.</w:t>
      </w:r>
    </w:p>
    <w:p>
      <w:pPr>
        <w:pStyle w:val="Normal"/>
        <w:spacing w:lineRule="auto" w:line="360"/>
        <w:rPr>
          <w:rFonts w:ascii="Book Antiqua" w:hAnsi="Book Antiqua" w:eastAsia="Book Antiqua" w:cs="Book Antiqua"/>
          <w:i/>
          <w:i/>
          <w:iCs/>
          <w:sz w:val="24"/>
          <w:szCs w:val="24"/>
        </w:rPr>
      </w:pPr>
      <w:r>
        <w:rPr>
          <w:rFonts w:eastAsia="Book Antiqua" w:cs="Book Antiqua" w:ascii="Book Antiqua" w:hAnsi="Book Antiqua"/>
          <w:i/>
          <w:iCs/>
          <w:sz w:val="24"/>
          <w:szCs w:val="24"/>
        </w:rPr>
      </w:r>
    </w:p>
    <w:p>
      <w:pPr>
        <w:pStyle w:val="Normal"/>
        <w:spacing w:lineRule="auto" w:line="360"/>
        <w:rPr/>
      </w:pPr>
      <w:r>
        <w:rPr>
          <w:rFonts w:eastAsia="Book Antiqua" w:cs="Book Antiqua" w:ascii="Book Antiqua" w:hAnsi="Book Antiqua"/>
          <w:i/>
          <w:iCs/>
          <w:sz w:val="24"/>
          <w:szCs w:val="24"/>
        </w:rPr>
        <w:t xml:space="preserve">5.  A More Robust Secondary Market is Established  </w:t>
      </w:r>
      <w:r>
        <w:rPr>
          <w:rFonts w:eastAsia="Book Antiqua" w:cs="Book Antiqua" w:ascii="Book Antiqua" w:hAnsi="Book Antiqua"/>
          <w:sz w:val="24"/>
          <w:szCs w:val="24"/>
          <w:u w:val="single"/>
        </w:rPr>
        <w:t>Section 2.2.3 of Settlement</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t xml:space="preserve">Currently, SoCalGas only allows customers to assign their full storage contracts for the full remaining term to other parties.  Although this is a form of secondary market, SoCalGas will increase the liquidity and transparency of the secondary market by allowing parties to trade portions of their storage rights on individual dimensions (i.e., inventory, injection, withdrawal) for any term.  These rights can be traded through an electronic bulletin board that SoCalGas will establish. </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spacing w:lineRule="auto" w:line="360"/>
        <w:rPr/>
      </w:pPr>
      <w:r>
        <w:rPr>
          <w:rFonts w:eastAsia="Book Antiqua" w:cs="Book Antiqua" w:ascii="Book Antiqua" w:hAnsi="Book Antiqua"/>
          <w:sz w:val="24"/>
          <w:szCs w:val="24"/>
        </w:rPr>
        <w:t xml:space="preserve">6.  </w:t>
      </w:r>
      <w:r>
        <w:rPr>
          <w:rFonts w:eastAsia="Book Antiqua" w:cs="Book Antiqua" w:ascii="Book Antiqua" w:hAnsi="Book Antiqua"/>
          <w:i/>
          <w:iCs/>
          <w:sz w:val="24"/>
          <w:szCs w:val="24"/>
        </w:rPr>
        <w:t>Storage Transaction Information Will be Provided</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t xml:space="preserve">SoCalGas will increase the transparency of the storage market by providing the results of its annual storage open seasons.  It will also publish information on the quantity of its GTBS sales on a quarterly basis. </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spacing w:lineRule="auto" w:line="360"/>
        <w:rPr/>
      </w:pPr>
      <w:r>
        <w:rPr>
          <w:rFonts w:eastAsia="Book Antiqua" w:cs="Book Antiqua" w:ascii="Book Antiqua" w:hAnsi="Book Antiqua"/>
          <w:i/>
          <w:iCs/>
          <w:sz w:val="24"/>
          <w:szCs w:val="24"/>
        </w:rPr>
        <w:t xml:space="preserve">7.  Unbundling Using Embedded Cost of Storage  </w:t>
      </w:r>
      <w:r>
        <w:rPr>
          <w:rFonts w:eastAsia="Book Antiqua" w:cs="Book Antiqua" w:ascii="Book Antiqua" w:hAnsi="Book Antiqua"/>
          <w:sz w:val="24"/>
          <w:szCs w:val="24"/>
          <w:u w:val="single"/>
        </w:rPr>
        <w:t>Section 2.1.3.2 of Settlement</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t>The Comprehensive Settlement creates greater consistency with the PG&amp;E system by unbundling the embedded costs of storage from bundled, LRMC distribution rates.  According to FERC Form 2 data, the 1998 embedded cost of storage (excluding Montebello, which SoCalGas plans to sell next year) was $71.6 million (excluding fuel and 3.3 million of variable O&amp;M).  See Exhibit 6.  This embedded storage costs, includes an allocation of A&amp;G to storage that is proportional to storage O&amp;M costs.  The $71.6 million total embedded cost of storage was allocated among each of the three storage services (105.6 Bcf of inventory, 803 MMcfd of injection, and 3125 MMcfd of withdrawal, per the 1999 BCAP) based on percentages derived from a 1992 embedded cost study done for SoCalGas' Customer Storage Program filing.  The resulting costs for injection, withdrawal, inventory servces and the resulting total costs for the initial core storage allocation, the default noncore balancing function, and the unbundled storage program are shown in Exhibit 5.  The use of embedded costs will create greater price certainty for storage customers during the term of the Comprehensive Settlement.  It will also eliminate the need for storage resource plans (which have proved to be controversial) to develop BCAP marginal storage cost estimates.</w:t>
      </w:r>
    </w:p>
    <w:p>
      <w:pPr>
        <w:pStyle w:val="Normal"/>
        <w:spacing w:lineRule="auto" w:line="360"/>
        <w:rPr>
          <w:rFonts w:ascii="Book Antiqua" w:hAnsi="Book Antiqua" w:eastAsia="Book Antiqua" w:cs="Book Antiqua"/>
          <w:sz w:val="24"/>
          <w:szCs w:val="24"/>
        </w:rPr>
      </w:pPr>
      <w:r>
        <w:rPr>
          <w:rFonts w:eastAsia="Book Antiqua" w:cs="Book Antiqua" w:ascii="Book Antiqua" w:hAnsi="Book Antiqua"/>
          <w:sz w:val="24"/>
          <w:szCs w:val="24"/>
        </w:rPr>
      </w:r>
    </w:p>
    <w:p>
      <w:pPr>
        <w:pStyle w:val="Heading5"/>
        <w:ind w:hanging="0" w:start="0"/>
        <w:jc w:val="center"/>
        <w:rPr>
          <w:b/>
          <w:bCs/>
        </w:rPr>
      </w:pPr>
      <w:r>
        <w:rPr>
          <w:b/>
          <w:bCs/>
        </w:rPr>
        <w:t>Restructuring Balancing</w:t>
      </w:r>
    </w:p>
    <w:p>
      <w:pPr>
        <w:pStyle w:val="BodyText"/>
        <w:spacing w:lineRule="auto" w:line="360" w:before="120" w:after="0"/>
        <w:rPr>
          <w:b/>
          <w:bCs/>
        </w:rPr>
      </w:pPr>
      <w:r>
        <w:rPr>
          <w:b/>
          <w:bCs/>
        </w:rPr>
      </w:r>
    </w:p>
    <w:p>
      <w:pPr>
        <w:pStyle w:val="BodyText"/>
        <w:spacing w:lineRule="auto" w:line="360" w:before="120" w:after="0"/>
        <w:rPr/>
      </w:pPr>
      <w:r>
        <w:rPr/>
        <w:t>The balancing provisions in the Comprehensive Settlement will replace SoCalGas’ system of overnomination procedures and winter balancing rules on April 1, 2001.  Under the terms of the Comprehensive Settlement, SoCalGas will issue Operational Flow Orders (OFOs) when storage capacities allocated for balancing are exceeded.  This is similar to the procedure proposed by the PG&amp;E settlement, and furthers the Commission’s stated goal of statewide consistency.</w:t>
      </w:r>
    </w:p>
    <w:p>
      <w:pPr>
        <w:pStyle w:val="Heading5"/>
        <w:spacing w:lineRule="auto" w:line="360" w:before="120" w:after="0"/>
        <w:ind w:hanging="0" w:start="0"/>
        <w:rPr/>
      </w:pPr>
      <w:r>
        <w:rPr/>
        <w:t xml:space="preserve">Settlement Sections 3.1 </w:t>
      </w:r>
    </w:p>
    <w:p>
      <w:pPr>
        <w:pStyle w:val="BodyText3"/>
        <w:spacing w:lineRule="auto" w:line="480"/>
        <w:jc w:val="start"/>
        <w:rPr/>
      </w:pPr>
      <w:r>
        <w:rPr/>
        <w:t xml:space="preserve">Storage capacity allocated to the default noncore balancing service will be 5.3 bcf inventory, and 250 mmcfd injection and withdrawal. The assets allocated to this function are about equal to those provided today, with the exception that 80 MMcfd less is allocated to injection.  The total embedded cost of this reservation is $12.87 million, including variable costs.  (See Exhibit 5)  This equates to 1.95 cents/dth when divided by 1999 BCAP total noncore throughput.  These balancing capacity reservations will be reduced to the extent noncore customers elect the self-balancing option described below.  Bundled balancing service will continue to be provide for monthly imbalances of ±10%.  OFOs will be called when noncore default balancers nominate more than 250 MMcfd of injection or 250 MMcfd of withdrawal or ty to use more than 5.3 Bcf of inventory.  The </w:t>
      </w:r>
      <w:r>
        <w:rPr>
          <w:u w:val="single"/>
        </w:rPr>
        <w:t>+</w:t>
      </w:r>
      <w:r>
        <w:rPr/>
        <w:t xml:space="preserve">10% balancing on OFO days will be required, similar to the </w:t>
      </w:r>
      <w:r>
        <w:rPr>
          <w:u w:val="single"/>
        </w:rPr>
        <w:t>+</w:t>
      </w:r>
      <w:r>
        <w:rPr/>
        <w:t xml:space="preserve">10% tolerance provided on SoCalGas overnomination days. </w:t>
      </w:r>
    </w:p>
    <w:p>
      <w:pPr>
        <w:pStyle w:val="BodyText"/>
        <w:spacing w:lineRule="auto" w:line="480" w:before="120" w:after="0"/>
        <w:rPr/>
      </w:pPr>
      <w:r>
        <w:rPr/>
        <w:t>The Comprehensive Settlement’s OFO procedure also address another one of the Commissions' Promising Options.  The Commission has stated that as long as core services are intertwined with system balancing, it couldn’t be ensured that the process was free of cross-subsides or incentives for SoCalGas to favor its shareholders.  Nevertheless, the Commission was not prepared to institute daily balancing as a means of avoiding use of core assets to balance the system.  By balancing the core and noncore markets separately, the Comprehensive Settlement provides a procedure that is free of cross-subsidization, without implementing regular daily balancing.  Daily balancing will continue to only be imposed under OFO conditions when either group exceeds its allocated balancing capacities, and it’s entirely possible that one group will operate under OFO conditions while the other group does not.</w:t>
      </w:r>
    </w:p>
    <w:p>
      <w:pPr>
        <w:pStyle w:val="Normal"/>
        <w:spacing w:lineRule="auto" w:line="360" w:before="120" w:after="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spacing w:lineRule="auto" w:line="360" w:before="120" w:after="0"/>
        <w:rPr>
          <w:rFonts w:ascii="Book Antiqua" w:hAnsi="Book Antiqua" w:eastAsia="Book Antiqua" w:cs="Book Antiqua"/>
          <w:sz w:val="24"/>
          <w:szCs w:val="24"/>
          <w:u w:val="single"/>
        </w:rPr>
      </w:pPr>
      <w:r>
        <w:rPr>
          <w:rFonts w:eastAsia="Book Antiqua" w:cs="Book Antiqua" w:ascii="Book Antiqua" w:hAnsi="Book Antiqua"/>
          <w:sz w:val="24"/>
          <w:szCs w:val="24"/>
          <w:u w:val="single"/>
        </w:rPr>
        <w:t xml:space="preserve">Settlement Section 3.2 </w:t>
      </w:r>
    </w:p>
    <w:p>
      <w:pPr>
        <w:pStyle w:val="Normal"/>
        <w:spacing w:lineRule="auto" w:line="360" w:before="120" w:after="0"/>
        <w:rPr>
          <w:rFonts w:ascii="Book Antiqua" w:hAnsi="Book Antiqua" w:eastAsia="Book Antiqua" w:cs="Book Antiqua"/>
          <w:sz w:val="24"/>
          <w:szCs w:val="24"/>
        </w:rPr>
      </w:pPr>
      <w:r>
        <w:rPr>
          <w:rFonts w:eastAsia="Book Antiqua" w:cs="Book Antiqua" w:ascii="Book Antiqua" w:hAnsi="Book Antiqua"/>
          <w:sz w:val="24"/>
          <w:szCs w:val="24"/>
        </w:rPr>
        <w:t>The Comprehensive Settlement unbundles the balancing function.  It allows all noncore, CTA, and wholesale customers (excluding SDG&amp;E) the option to elect a self-balancing service.  Customers who elect this self-balancing service will receive a credit of $0.0159/dth to their local transmission/distribution rate.  Self-balancing customers will agree to stringent daily balancing provisions (±5% daily balancing, ±1% accumulated imbalance) to insure that they do not use balancing capacities allocated to and paid for by other customers.  Those electing self-balancing will utilize a portion of the limited pack and draft capabilities of the SoCalGas transmission system.  The offering of a self-balancing service is expected to encourage new market entry in balancing services by marketers and independent storage providers.</w:t>
      </w:r>
    </w:p>
    <w:p>
      <w:pPr>
        <w:pStyle w:val="Normal"/>
        <w:spacing w:lineRule="auto" w:line="360" w:before="120" w:after="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spacing w:lineRule="auto" w:line="360" w:before="120" w:after="0"/>
        <w:rPr>
          <w:rFonts w:ascii="Book Antiqua" w:hAnsi="Book Antiqua" w:eastAsia="Book Antiqua" w:cs="Book Antiqua"/>
          <w:sz w:val="24"/>
          <w:szCs w:val="24"/>
          <w:u w:val="single"/>
        </w:rPr>
      </w:pPr>
      <w:r>
        <w:rPr>
          <w:rFonts w:eastAsia="Book Antiqua" w:cs="Book Antiqua" w:ascii="Book Antiqua" w:hAnsi="Book Antiqua"/>
          <w:sz w:val="24"/>
          <w:szCs w:val="24"/>
          <w:u w:val="single"/>
        </w:rPr>
        <w:t>Settlement Section 3.3.</w:t>
      </w:r>
    </w:p>
    <w:p>
      <w:pPr>
        <w:pStyle w:val="Normal"/>
        <w:spacing w:lineRule="auto" w:line="360" w:before="120" w:after="0"/>
        <w:rPr>
          <w:rFonts w:ascii="Book Antiqua" w:hAnsi="Book Antiqua" w:eastAsia="Book Antiqua" w:cs="Book Antiqua"/>
          <w:sz w:val="24"/>
          <w:szCs w:val="24"/>
        </w:rPr>
      </w:pPr>
      <w:r>
        <w:rPr>
          <w:rFonts w:eastAsia="Book Antiqua" w:cs="Book Antiqua" w:ascii="Book Antiqua" w:hAnsi="Book Antiqua"/>
          <w:sz w:val="24"/>
          <w:szCs w:val="24"/>
        </w:rPr>
        <w:t>The Comprehensive Settlement establishes a procedure in which shippers can trade or sell imbalance rights on OFO days.  On a monthly basis, customers will be permitted to trade their imbalance rights and positions, whereas on OFO days customers will be issued “chips” reflecting the difference between their imbalance and tolerance level on that day.  Customers may then trade their imbalances, imbalance rights, or OFO chips with others to minimize or eliminate their imbalance penalties and extract value from unused balancing tolerances, whether they subscribe to the default balancing or self-balancing service.  By permitting trading of both monthly and OFO-day imbalance rights, the Comprehensive Settlement encourages efficient use of the SoCalGas system.</w:t>
      </w:r>
    </w:p>
    <w:p>
      <w:pPr>
        <w:pStyle w:val="Normal"/>
        <w:spacing w:lineRule="auto" w:line="360" w:before="120" w:after="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spacing w:lineRule="auto" w:line="360" w:before="120" w:after="0"/>
        <w:rPr/>
      </w:pPr>
      <w:r>
        <w:rPr>
          <w:rFonts w:eastAsia="Book Antiqua" w:cs="Book Antiqua" w:ascii="Book Antiqua" w:hAnsi="Book Antiqua"/>
          <w:sz w:val="24"/>
          <w:szCs w:val="24"/>
        </w:rPr>
        <w:t xml:space="preserve">In addition to the imbalance trading platform currently available in GasSelect®, the Comprehensive Settlement establishes an </w:t>
      </w:r>
      <w:r>
        <w:rPr>
          <w:rFonts w:eastAsia="Book Antiqua" w:cs="Book Antiqua" w:ascii="Book Antiqua" w:hAnsi="Book Antiqua"/>
          <w:sz w:val="24"/>
          <w:szCs w:val="24"/>
          <w:u w:val="single"/>
        </w:rPr>
        <w:t>anonymous</w:t>
      </w:r>
      <w:r>
        <w:rPr>
          <w:rFonts w:eastAsia="Book Antiqua" w:cs="Book Antiqua" w:ascii="Book Antiqua" w:hAnsi="Book Antiqua"/>
          <w:sz w:val="24"/>
          <w:szCs w:val="24"/>
        </w:rPr>
        <w:t xml:space="preserve"> imbalance trading platform through a third party service provider.  Customers may choose to use either one or both forums to facilitate imbalance trading, but are not required to use either.  Both platforms will improve the liquidity of the imbalance trading market.</w:t>
      </w:r>
    </w:p>
    <w:p>
      <w:pPr>
        <w:pStyle w:val="Heading4"/>
        <w:spacing w:lineRule="auto" w:line="360" w:before="120" w:after="0"/>
        <w:ind w:hanging="0" w:start="0"/>
        <w:rPr>
          <w:rFonts w:ascii="Book Antiqua" w:hAnsi="Book Antiqua" w:eastAsia="Book Antiqua" w:cs="Book Antiqua"/>
          <w:sz w:val="24"/>
          <w:szCs w:val="24"/>
        </w:rPr>
      </w:pPr>
      <w:r>
        <w:rPr>
          <w:rFonts w:eastAsia="Book Antiqua" w:cs="Book Antiqua"/>
          <w:sz w:val="24"/>
          <w:szCs w:val="24"/>
        </w:rPr>
      </w:r>
    </w:p>
    <w:p>
      <w:pPr>
        <w:pStyle w:val="Heading4"/>
        <w:spacing w:lineRule="auto" w:line="360" w:before="120" w:after="0"/>
        <w:ind w:hanging="0" w:start="0"/>
        <w:rPr/>
      </w:pPr>
      <w:r>
        <w:rPr/>
        <w:t>Restructuring Core Interstate Capacity</w:t>
      </w:r>
    </w:p>
    <w:p>
      <w:pPr>
        <w:pStyle w:val="Heading2"/>
        <w:ind w:hanging="0" w:start="0"/>
        <w:rPr>
          <w:rFonts w:ascii="Book Antiqua" w:hAnsi="Book Antiqua" w:eastAsia="Book Antiqua" w:cs="Book Antiqua"/>
        </w:rPr>
      </w:pPr>
      <w:r>
        <w:rPr>
          <w:rFonts w:eastAsia="Book Antiqua" w:cs="Book Antiqua" w:ascii="Book Antiqua" w:hAnsi="Book Antiqua"/>
        </w:rPr>
        <w:t>Core Interstate Pipeline Capacity Unbundling (Section 5.3.3)</w:t>
      </w:r>
    </w:p>
    <w:p>
      <w:pPr>
        <w:pStyle w:val="WW-BodyText22"/>
        <w:spacing w:lineRule="auto" w:line="480"/>
        <w:ind w:hanging="0" w:end="0"/>
        <w:jc w:val="start"/>
        <w:rPr/>
      </w:pPr>
      <w:r>
        <w:rPr/>
        <w:t xml:space="preserve">The Commission recommended unbundling interstate pipeline capacity costs as soon as possible, to foster competition in the core market.  The Comprehensive Settlement terms for core interstate capacity unbundling will provide a large enough price difference for core aggregators to encourage significant growth in the core aggregation program.  This price difference, combined with the retail settlement provisions discussed by SoCalGas witness Eric Nelson, will help to bring the benefits of competition to the small residential and commercial customers who currently are largely excluded from core aggregation.  </w:t>
      </w:r>
    </w:p>
    <w:p>
      <w:pPr>
        <w:pStyle w:val="Normal"/>
        <w:spacing w:lineRule="auto" w:line="480"/>
        <w:rPr>
          <w:rFonts w:ascii="Book Antiqua" w:hAnsi="Book Antiqua" w:eastAsia="Book Antiqua" w:cs="Book Antiqua"/>
          <w:sz w:val="24"/>
          <w:szCs w:val="24"/>
        </w:rPr>
      </w:pPr>
      <w:r>
        <w:rPr>
          <w:rFonts w:eastAsia="Book Antiqua" w:cs="Book Antiqua" w:ascii="Book Antiqua" w:hAnsi="Book Antiqua"/>
          <w:sz w:val="24"/>
          <w:szCs w:val="24"/>
        </w:rPr>
        <w:t>The settlement ends the mandatory assignment of interstate pipeline capacity to CTA customers, and core responsibility for noncore ITCS costs (see Section 5.3.3).  Capacity assigned to CTA customers will be released into the secondary market, and the amount of capacity released can be adjusted month to month as CTA market share changes.  The core capacity on El Paso at Blythe will be released first, preserving the remaining core procurement customers’ access to lower cost gas through its El Paso Topock and Transwestern capacity.</w:t>
      </w:r>
    </w:p>
    <w:p>
      <w:pPr>
        <w:pStyle w:val="BodyText"/>
        <w:spacing w:lineRule="auto" w:line="480"/>
        <w:rPr/>
      </w:pPr>
      <w:r>
        <w:rPr/>
        <w:t xml:space="preserve">The stranded costs associated with the release of formerly CTA capacity are initially allocated equally to core and noncore customers, with caps on noncore responsibility of $2 million in calendar year 2000 and $5 million in calendar year 2001.  Any excess above the noncore caps would be allocated to CTA customers only.  From January 1, 2002 through the end of the settlement, the stranded costs will be allocated to core customers only.  Among the core subclasses, the first 7% of ____ will be allocated on an equal cents per therm basis.  The remaining stranded costs will be allocated to core subclasses in proportion to the share of CTA penetration in each class.  For instance if 70% of CTA volumes are in the core nonresidential subclasses, 70% of the remaining stranded costs will be allocated to core nonresidential customers.  This allocates the stranded costs to the customers who benefit from the CTA growth (Section 5.3.3.5).  </w:t>
      </w:r>
    </w:p>
    <w:p>
      <w:pPr>
        <w:pStyle w:val="BodyText"/>
        <w:spacing w:lineRule="auto" w:line="480"/>
        <w:rPr/>
      </w:pPr>
      <w:r>
        <w:rPr/>
        <w:t>Core customers retain responsibility for part of the noncore ITCS costs (currently capped at 10% of the cost of the core interstate pipeline reservation) through December 31, 2001.  As of January 1, 2002, the core responsibility ends, and noncore customers will pay 100% of noncore ITCS costs.</w:t>
      </w:r>
    </w:p>
    <w:p>
      <w:pPr>
        <w:pStyle w:val="Heading3"/>
        <w:spacing w:lineRule="auto" w:line="480"/>
        <w:ind w:hanging="0" w:start="0"/>
        <w:rPr>
          <w:rFonts w:ascii="Book Antiqua" w:hAnsi="Book Antiqua" w:eastAsia="Book Antiqua" w:cs="Book Antiqua"/>
        </w:rPr>
      </w:pPr>
      <w:r>
        <w:rPr>
          <w:rFonts w:eastAsia="Book Antiqua" w:cs="Book Antiqua" w:ascii="Book Antiqua" w:hAnsi="Book Antiqua"/>
        </w:rPr>
        <w:t>Core Interstate Pipeline Capacity Benefits of the Comprehensive Settlement</w:t>
      </w:r>
    </w:p>
    <w:p>
      <w:pPr>
        <w:pStyle w:val="WW-BodyText21"/>
        <w:spacing w:lineRule="auto" w:line="480"/>
        <w:ind w:start="0" w:end="0"/>
        <w:jc w:val="both"/>
        <w:rPr>
          <w:rFonts w:ascii="Book Antiqua" w:hAnsi="Book Antiqua" w:eastAsia="Book Antiqua" w:cs="Book Antiqua"/>
          <w:sz w:val="24"/>
          <w:szCs w:val="24"/>
        </w:rPr>
      </w:pPr>
      <w:r>
        <w:rPr>
          <w:rFonts w:eastAsia="Book Antiqua" w:cs="Book Antiqua" w:ascii="Book Antiqua" w:hAnsi="Book Antiqua"/>
          <w:sz w:val="24"/>
          <w:szCs w:val="24"/>
        </w:rPr>
        <w:t xml:space="preserve">The most important benefit of the Comprehensive Settlement provisions is that they will create an immediate, significant price advantage for core aggregators relative to SoCalGas’ core procurement department.  The CTA price advantage will be in the range of $0.20 - $0.30/Dth depending on the market price of replacement capacity, or  approximately ____% of the average retail core rate.  Such a noticeable price advantage will encourage new players to enter the core aggregation market, creating more choices for customers.  </w:t>
      </w:r>
    </w:p>
    <w:p>
      <w:pPr>
        <w:pStyle w:val="WW-BodyText21"/>
        <w:spacing w:lineRule="auto" w:line="480"/>
        <w:ind w:start="0" w:end="0"/>
        <w:rPr>
          <w:rFonts w:ascii="Book Antiqua" w:hAnsi="Book Antiqua" w:eastAsia="Book Antiqua" w:cs="Book Antiqua"/>
          <w:sz w:val="24"/>
          <w:szCs w:val="24"/>
        </w:rPr>
      </w:pPr>
      <w:r>
        <w:rPr>
          <w:rFonts w:eastAsia="Book Antiqua" w:cs="Book Antiqua" w:ascii="Book Antiqua" w:hAnsi="Book Antiqua"/>
          <w:sz w:val="24"/>
          <w:szCs w:val="24"/>
        </w:rPr>
        <w:t>The settlement provisions for core interstate capacity also complement the rest of the settlement by providing similar flexibility and choice to core aggregators in managing upstream supplies as the other provisions offer for downstream supplies.  Core aggregators will be able to obtain interstate capacity at market prices, if they choose, and match it to backbone intrastate transmission reservations through the open season.  They could also purchase supplies at the border or at the citygate.  This flexibility gives market players more tools to innovate in developing customized services, which will benefit customers.  Releasing core aggregators from a mandatory assignment of interstate capacity will also reduce their costs, potentially creating savings for end-use customers.</w:t>
      </w:r>
    </w:p>
    <w:p>
      <w:pPr>
        <w:pStyle w:val="BodyTextIndent2"/>
        <w:ind w:hanging="0" w:end="0"/>
        <w:rPr/>
      </w:pPr>
      <w:r>
        <w:rPr/>
        <w:t>Core procurement customers receive significant benefits from the settlement as well.  In 2002, all core customers are relieved of noncore ITCS costs.  The core responsibility for noncore ITCS costs would otherwise be in the range of about $8 - $10 million.  The net benefit to core procurement customers will depend on how much CTA market share grows (and thus the amount of core capacity unbundled).  Small residential and core commercial customers are protected from unreasonable costs resulting from core capacity unbundling at each stage.  Initially noncore customers will bear half of the stranded costs.  Later, stranded costs are allocated to the core subclasses that benefit from competition.  A goal of the settlement is to stimulate significant growth in core aggregation among small use customers, but it is reasonable to expect that this will come more slowly than growth in CTA market share among large commercial and industrial customers.  Under the settlement terms costs follow growth, rather than preceding and perhaps stifling it.</w:t>
      </w:r>
    </w:p>
    <w:p>
      <w:pPr>
        <w:pStyle w:val="Normal"/>
        <w:spacing w:lineRule="auto" w:line="360" w:before="120" w:after="0"/>
        <w:rPr>
          <w:rFonts w:ascii="Book Antiqua" w:hAnsi="Book Antiqua" w:eastAsia="Book Antiqua" w:cs="Book Antiqua"/>
          <w:sz w:val="24"/>
          <w:szCs w:val="24"/>
        </w:rPr>
      </w:pPr>
      <w:r>
        <w:rPr>
          <w:rFonts w:eastAsia="Book Antiqua" w:cs="Book Antiqua" w:ascii="Book Antiqua" w:hAnsi="Book Antiqua"/>
          <w:sz w:val="24"/>
          <w:szCs w:val="24"/>
        </w:rPr>
      </w:r>
    </w:p>
    <w:p>
      <w:pPr>
        <w:pStyle w:val="Heading5"/>
        <w:spacing w:lineRule="auto" w:line="360" w:before="120" w:after="0"/>
        <w:ind w:hanging="0" w:start="0"/>
        <w:jc w:val="center"/>
        <w:rPr>
          <w:b/>
          <w:bCs/>
        </w:rPr>
      </w:pPr>
      <w:r>
        <w:rPr>
          <w:b/>
          <w:bCs/>
        </w:rPr>
        <w:t>Restructuring Information Sharing</w:t>
      </w:r>
    </w:p>
    <w:p>
      <w:pPr>
        <w:pStyle w:val="BodyText"/>
        <w:rPr/>
      </w:pPr>
      <w:r>
        <w:rPr/>
        <w:t>The Commission in 99-07-015 described proposed options that would “facilitate healthy competition” by “clearing obstacles to the competitive offering of gas commodity, transmission, storage, balancing, and other services for all customers.”  The specific promising options from D.99-07-015 and specific settlement proposals related to information sharing are discussed below:</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i/>
          <w:i/>
          <w:iCs/>
          <w:sz w:val="24"/>
          <w:szCs w:val="24"/>
        </w:rPr>
      </w:pPr>
      <w:r>
        <w:rPr>
          <w:rFonts w:eastAsia="Book Antiqua" w:cs="Book Antiqua" w:ascii="Book Antiqua" w:hAnsi="Book Antiqua"/>
          <w:i/>
          <w:iCs/>
          <w:sz w:val="24"/>
          <w:szCs w:val="24"/>
        </w:rPr>
        <w:t>A.</w:t>
        <w:tab/>
        <w:t>Customer access to real-time consumption data is consistent with its goals of increasing market efficiency and providing competitive tools. (D.99-07-015, p. 72-73, FoF 36, CoL 15)</w:t>
      </w:r>
    </w:p>
    <w:p>
      <w:pPr>
        <w:pStyle w:val="Normal"/>
        <w:rPr>
          <w:rFonts w:ascii="Book Antiqua" w:hAnsi="Book Antiqua" w:eastAsia="Book Antiqua" w:cs="Book Antiqua"/>
          <w:i/>
          <w:i/>
          <w:iCs/>
          <w:sz w:val="24"/>
          <w:szCs w:val="24"/>
        </w:rPr>
      </w:pPr>
      <w:r>
        <w:rPr>
          <w:rFonts w:eastAsia="Book Antiqua" w:cs="Book Antiqua" w:ascii="Book Antiqua" w:hAnsi="Book Antiqua"/>
          <w:i/>
          <w:iCs/>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Currently, noncore customers, or their authorized agents, have access to their consumption data on a daily basis.  Access to the daily data is available on-line through the GasSelect system or it can be downloaded for further analysis.  Noncore customers also have the option, at their own expense, to have SoCalGas install devices allowing real-time access to their consumption data.</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WW-BodyText21"/>
        <w:spacing w:lineRule="auto" w:line="480"/>
        <w:ind w:start="0" w:end="0"/>
        <w:rPr>
          <w:rFonts w:ascii="Book Antiqua" w:hAnsi="Book Antiqua" w:eastAsia="Book Antiqua" w:cs="Book Antiqua"/>
          <w:sz w:val="24"/>
          <w:szCs w:val="24"/>
        </w:rPr>
      </w:pPr>
      <w:r>
        <w:rPr>
          <w:rFonts w:eastAsia="Book Antiqua" w:cs="Book Antiqua" w:ascii="Book Antiqua" w:hAnsi="Book Antiqua"/>
          <w:sz w:val="24"/>
          <w:szCs w:val="24"/>
        </w:rPr>
        <w:t xml:space="preserve">Since, SoCalGas’ noncore customers are generally satisfied with their current access to customer-specific usage data, the Settlement Agreement requires SoCalGas to continue to offer those services and to make one improvement as specifically described below.  </w:t>
      </w:r>
    </w:p>
    <w:p>
      <w:pPr>
        <w:pStyle w:val="Normal"/>
        <w:spacing w:before="60" w:after="0"/>
        <w:ind w:start="720" w:end="0"/>
        <w:rPr/>
      </w:pPr>
      <w:r>
        <w:rPr>
          <w:rFonts w:eastAsia="Book Antiqua" w:cs="Book Antiqua" w:ascii="Book Antiqua" w:hAnsi="Book Antiqua"/>
          <w:sz w:val="24"/>
          <w:szCs w:val="24"/>
        </w:rPr>
        <w:t xml:space="preserve">To insure that customers are aware of current meter access options, SoCalGas will expand its web site at </w:t>
      </w:r>
      <w:r>
        <w:rPr>
          <w:rStyle w:val="Hyperlink"/>
          <w:rFonts w:eastAsia="Book Antiqua" w:cs="Book Antiqua" w:ascii="Book Antiqua" w:hAnsi="Book Antiqua"/>
          <w:sz w:val="24"/>
          <w:szCs w:val="24"/>
        </w:rPr>
        <w:t>www.socalgas.com</w:t>
      </w:r>
      <w:r>
        <w:rPr>
          <w:rFonts w:eastAsia="Book Antiqua" w:cs="Book Antiqua" w:ascii="Book Antiqua" w:hAnsi="Book Antiqua"/>
          <w:sz w:val="24"/>
          <w:szCs w:val="24"/>
        </w:rPr>
        <w:t xml:space="preserve"> to include a full description of meter data access options.  SoCalGas will provide detailed information on the GasSelect software and the Data Access Service options.  Accessible information may address: meter types, electronic measurement devices, AMR device types, system protocols, browser software requirements, subscriber’s hardware requirements, types and frequency of data provided, service fees/charges, sign-up procedures, and SoCalGas’ contact telephone numbers for access and inquiry.</w:t>
      </w:r>
    </w:p>
    <w:p>
      <w:pPr>
        <w:pStyle w:val="Normal"/>
        <w:spacing w:before="60" w:after="0"/>
        <w:ind w:start="1440" w:end="0"/>
        <w:rPr>
          <w:rFonts w:ascii="Book Antiqua" w:hAnsi="Book Antiqua" w:eastAsia="Book Antiqua" w:cs="Book Antiqua"/>
          <w:sz w:val="24"/>
          <w:szCs w:val="24"/>
        </w:rPr>
      </w:pPr>
      <w:r>
        <w:rPr>
          <w:rFonts w:eastAsia="Book Antiqua" w:cs="Book Antiqua" w:ascii="Book Antiqua" w:hAnsi="Book Antiqua"/>
          <w:sz w:val="24"/>
          <w:szCs w:val="24"/>
        </w:rPr>
      </w:r>
    </w:p>
    <w:p>
      <w:pPr>
        <w:pStyle w:val="Normal"/>
        <w:spacing w:before="60" w:after="0"/>
        <w:rPr>
          <w:rFonts w:ascii="Book Antiqua" w:hAnsi="Book Antiqua" w:eastAsia="Book Antiqua" w:cs="Book Antiqua"/>
          <w:sz w:val="24"/>
          <w:szCs w:val="24"/>
        </w:rPr>
      </w:pPr>
      <w:r>
        <w:rPr>
          <w:rFonts w:eastAsia="Book Antiqua" w:cs="Book Antiqua" w:ascii="Book Antiqua" w:hAnsi="Book Antiqua"/>
          <w:sz w:val="24"/>
          <w:szCs w:val="24"/>
        </w:rPr>
        <w:t xml:space="preserve">The posting of meter access options on the SoCalGas website will benefit those customers or their authorized agents who were unaware of the current consumption data options. </w:t>
      </w:r>
    </w:p>
    <w:p>
      <w:pPr>
        <w:pStyle w:val="Normal"/>
        <w:spacing w:before="60" w:after="0"/>
        <w:rPr>
          <w:rFonts w:ascii="Book Antiqua" w:hAnsi="Book Antiqua" w:eastAsia="Book Antiqua" w:cs="Book Antiqua"/>
          <w:sz w:val="24"/>
          <w:szCs w:val="24"/>
        </w:rPr>
      </w:pPr>
      <w:r>
        <w:rPr>
          <w:rFonts w:eastAsia="Book Antiqua" w:cs="Book Antiqua" w:ascii="Book Antiqua" w:hAnsi="Book Antiqua"/>
          <w:sz w:val="24"/>
          <w:szCs w:val="24"/>
        </w:rPr>
      </w:r>
    </w:p>
    <w:p>
      <w:pPr>
        <w:pStyle w:val="Bullet3"/>
        <w:spacing w:lineRule="auto" w:line="480"/>
        <w:ind w:hanging="0" w:start="0" w:end="0"/>
        <w:rPr>
          <w:rFonts w:ascii="Book Antiqua" w:hAnsi="Book Antiqua" w:eastAsia="Book Antiqua" w:cs="Book Antiqua"/>
          <w:i/>
          <w:i/>
          <w:iCs/>
        </w:rPr>
      </w:pPr>
      <w:r>
        <w:rPr>
          <w:rFonts w:eastAsia="Book Antiqua" w:cs="Book Antiqua" w:ascii="Book Antiqua" w:hAnsi="Book Antiqua"/>
          <w:i/>
          <w:iCs/>
        </w:rPr>
        <w:t>B.</w:t>
        <w:tab/>
        <w:t>The Commission believes that disclosure of the transaction-specific details requested by parties is basic and fundamental to an efficient market.  In Conclusion of Law 17, the Commission directs the utilities either to provide timely information along the lines of the specific requests outlined in this decision, or to find different ways to convey to shippers information that they need to function effectively in the marketplace without compromising confidentiality concerns.  ( D.99-07-015, p. 73- 78, FoF 17, CoL 17)</w:t>
      </w:r>
    </w:p>
    <w:p>
      <w:pPr>
        <w:pStyle w:val="Bullet3"/>
        <w:ind w:hanging="0" w:start="0" w:end="0"/>
        <w:rPr>
          <w:rFonts w:ascii="Book Antiqua" w:hAnsi="Book Antiqua" w:eastAsia="Book Antiqua" w:cs="Book Antiqua"/>
          <w:i/>
          <w:i/>
          <w:iCs/>
        </w:rPr>
      </w:pPr>
      <w:r>
        <w:rPr>
          <w:rFonts w:eastAsia="Book Antiqua" w:cs="Book Antiqua" w:ascii="Book Antiqua" w:hAnsi="Book Antiqua"/>
          <w:i/>
          <w:iCs/>
        </w:rPr>
      </w:r>
    </w:p>
    <w:p>
      <w:pPr>
        <w:pStyle w:val="Bullet3"/>
        <w:spacing w:lineRule="auto" w:line="480"/>
        <w:ind w:hanging="0" w:start="0" w:end="0"/>
        <w:rPr>
          <w:rFonts w:ascii="Book Antiqua" w:hAnsi="Book Antiqua" w:eastAsia="Book Antiqua" w:cs="Book Antiqua"/>
        </w:rPr>
      </w:pPr>
      <w:r>
        <w:rPr>
          <w:rFonts w:eastAsia="Book Antiqua" w:cs="Book Antiqua" w:ascii="Book Antiqua" w:hAnsi="Book Antiqua"/>
        </w:rPr>
        <w:t xml:space="preserve">As a result of this Settlement, SoCalGas will offer separate backbone transmission service beginning on October 1, 2001.  For the period from October 1, 2001, through the end of the term of this Settlement Agreement, SoCalGas will file with the Commission and post on GasSelect a monthly negotiated backbone transmission contract report.  This report will list the details, but not customer names, of all negotiated capacity transactions for firm and interruptible backbone transportation.  This report will be in addition to the reporting requirements for transportation transactions by SoCalGas with affiliates imposed by the affiliate transaction rules or the merger conditions  (D.98-03-073). </w:t>
      </w:r>
    </w:p>
    <w:p>
      <w:pPr>
        <w:pStyle w:val="Bullet3"/>
        <w:spacing w:lineRule="auto" w:line="480"/>
        <w:ind w:hanging="0" w:start="0" w:end="0"/>
        <w:rPr>
          <w:rFonts w:ascii="Book Antiqua" w:hAnsi="Book Antiqua" w:eastAsia="Book Antiqua" w:cs="Book Antiqua"/>
          <w:i/>
          <w:i/>
          <w:iCs/>
        </w:rPr>
      </w:pPr>
      <w:r>
        <w:rPr>
          <w:rFonts w:eastAsia="Book Antiqua" w:cs="Book Antiqua" w:ascii="Book Antiqua" w:hAnsi="Book Antiqua"/>
        </w:rPr>
        <w:t>Under this Settlement, effective April 1, 2001 storage services will be provided through open seasons or through subsequent negotiated contracts.  For the open seasons and for negotiated storage contracts executed between April 1, 2001 and March 31, 2003, SoCalGas will file with the Commission and post on its GasSelect system a quarterly report open to the public on negotiated storage contracts in effect that lists the quantity, price and term (but not contracting party name) of all negotiated storage contracts.  For negotiated contracts executed on and after April 1, 2003, SoCalGas will file and post on GasSelect the same information, but excluding the price. Nothing in this Settlement Agreement changes the reporting requirements for storage transactions by SoCalGas with affiliates imposed by the affiliate transaction rules or the merger conditions (D.98-03-073).</w:t>
      </w:r>
    </w:p>
    <w:p>
      <w:pPr>
        <w:pStyle w:val="Normal"/>
        <w:spacing w:before="60" w:after="0"/>
        <w:rPr>
          <w:rFonts w:ascii="Book Antiqua" w:hAnsi="Book Antiqua" w:eastAsia="Book Antiqua" w:cs="Book Antiqua"/>
          <w:i/>
          <w:i/>
          <w:iCs/>
          <w:sz w:val="24"/>
          <w:szCs w:val="24"/>
        </w:rPr>
      </w:pPr>
      <w:r>
        <w:rPr>
          <w:rFonts w:eastAsia="Book Antiqua" w:cs="Book Antiqua" w:ascii="Book Antiqua" w:hAnsi="Book Antiqua"/>
          <w:i/>
          <w:iCs/>
          <w:sz w:val="24"/>
          <w:szCs w:val="24"/>
        </w:rPr>
      </w:r>
    </w:p>
    <w:p>
      <w:pPr>
        <w:pStyle w:val="Normal"/>
        <w:spacing w:lineRule="auto" w:line="480"/>
        <w:rPr>
          <w:rFonts w:ascii="Book Antiqua" w:hAnsi="Book Antiqua" w:eastAsia="Book Antiqua" w:cs="Book Antiqua"/>
          <w:i/>
          <w:i/>
          <w:iCs/>
          <w:sz w:val="24"/>
          <w:szCs w:val="24"/>
        </w:rPr>
      </w:pPr>
      <w:r>
        <w:rPr>
          <w:rFonts w:eastAsia="Book Antiqua" w:cs="Book Antiqua" w:ascii="Book Antiqua" w:hAnsi="Book Antiqua"/>
          <w:i/>
          <w:iCs/>
          <w:sz w:val="24"/>
          <w:szCs w:val="24"/>
        </w:rPr>
        <w:t>C.</w:t>
        <w:tab/>
        <w:t>Considering that all secondary market transactions will need to be confirmed through the utility, the Commission believes the utility should be required to provide the electronic bulletin board (D.99-07-015, p. 79, FoF 38)</w:t>
      </w:r>
    </w:p>
    <w:p>
      <w:pPr>
        <w:pStyle w:val="Bullet3"/>
        <w:spacing w:lineRule="auto" w:line="480"/>
        <w:ind w:hanging="0" w:start="0" w:end="0"/>
        <w:rPr>
          <w:rFonts w:ascii="Book Antiqua" w:hAnsi="Book Antiqua" w:eastAsia="Book Antiqua" w:cs="Book Antiqua"/>
          <w:i/>
          <w:i/>
          <w:iCs/>
          <w:sz w:val="24"/>
          <w:szCs w:val="24"/>
        </w:rPr>
      </w:pPr>
      <w:r>
        <w:rPr>
          <w:rFonts w:eastAsia="Book Antiqua" w:cs="Book Antiqua" w:ascii="Book Antiqua" w:hAnsi="Book Antiqua"/>
          <w:i/>
          <w:iCs/>
          <w:sz w:val="24"/>
          <w:szCs w:val="24"/>
        </w:rPr>
      </w:r>
    </w:p>
    <w:p>
      <w:pPr>
        <w:pStyle w:val="Bullet3"/>
        <w:spacing w:lineRule="auto" w:line="480"/>
        <w:ind w:hanging="0" w:start="0" w:end="0"/>
        <w:rPr>
          <w:rFonts w:ascii="Book Antiqua" w:hAnsi="Book Antiqua" w:eastAsia="Book Antiqua" w:cs="Book Antiqua"/>
        </w:rPr>
      </w:pPr>
      <w:r>
        <w:rPr>
          <w:rFonts w:eastAsia="Book Antiqua" w:cs="Book Antiqua" w:ascii="Book Antiqua" w:hAnsi="Book Antiqua"/>
        </w:rPr>
        <w:t xml:space="preserve">Currently, there is no secondary market trading of backbone transmission rights on the </w:t>
      </w:r>
    </w:p>
    <w:p>
      <w:pPr>
        <w:pStyle w:val="Bullet3"/>
        <w:spacing w:lineRule="auto" w:line="480"/>
        <w:ind w:hanging="0" w:start="0" w:end="0"/>
        <w:rPr>
          <w:rFonts w:ascii="Book Antiqua" w:hAnsi="Book Antiqua" w:eastAsia="Book Antiqua" w:cs="Book Antiqua"/>
        </w:rPr>
      </w:pPr>
      <w:r>
        <w:rPr>
          <w:rFonts w:eastAsia="Book Antiqua" w:cs="Book Antiqua" w:ascii="Book Antiqua" w:hAnsi="Book Antiqua"/>
        </w:rPr>
        <w:t>SoCalGas system because no such rights exist.  However, all information posted on the SoCalGas secondary market EBB will be accessible by all GasSelect market participants.</w:t>
      </w:r>
    </w:p>
    <w:p>
      <w:pPr>
        <w:pStyle w:val="Bullet3"/>
        <w:ind w:hanging="0" w:start="0" w:end="0"/>
        <w:rPr>
          <w:rFonts w:ascii="Book Antiqua" w:hAnsi="Book Antiqua" w:eastAsia="Book Antiqua" w:cs="Book Antiqua"/>
        </w:rPr>
      </w:pPr>
      <w:r>
        <w:rPr>
          <w:rFonts w:eastAsia="Book Antiqua" w:cs="Book Antiqua" w:ascii="Book Antiqua" w:hAnsi="Book Antiqua"/>
        </w:rPr>
      </w:r>
    </w:p>
    <w:p>
      <w:pPr>
        <w:pStyle w:val="Bullet3"/>
        <w:spacing w:lineRule="auto" w:line="480"/>
        <w:ind w:hanging="0" w:start="0" w:end="0"/>
        <w:rPr>
          <w:rFonts w:ascii="Book Antiqua" w:hAnsi="Book Antiqua" w:eastAsia="Book Antiqua" w:cs="Book Antiqua"/>
        </w:rPr>
      </w:pPr>
      <w:r>
        <w:rPr>
          <w:rFonts w:eastAsia="Book Antiqua" w:cs="Book Antiqua" w:ascii="Book Antiqua" w:hAnsi="Book Antiqua"/>
        </w:rPr>
        <w:t>Customers with unbundled storage service contract can sell their gas in storage to other customers with storage contracts, and can assign their storage contracts to other persons for the full term of the contract.  From the effective date of the Settlement through March 31, 2001, storage customers will be allowed to assign their full contract for a term less than the full remaining term of the contract.  Effective April 1, 2001, through the term of the Settlement, storage customers will be allowed to assign to any person any portion of their storage contract rights.</w:t>
      </w:r>
    </w:p>
    <w:p>
      <w:pPr>
        <w:pStyle w:val="Bullet3"/>
        <w:spacing w:lineRule="auto" w:line="480"/>
        <w:ind w:hanging="0" w:start="0" w:end="0"/>
        <w:rPr>
          <w:rFonts w:ascii="Book Antiqua" w:hAnsi="Book Antiqua" w:eastAsia="Book Antiqua" w:cs="Book Antiqua"/>
        </w:rPr>
      </w:pPr>
      <w:r>
        <w:rPr>
          <w:rFonts w:eastAsia="Book Antiqua" w:cs="Book Antiqua" w:ascii="Book Antiqua" w:hAnsi="Book Antiqua"/>
        </w:rPr>
      </w:r>
    </w:p>
    <w:p>
      <w:pPr>
        <w:pStyle w:val="Bullet3"/>
        <w:spacing w:lineRule="auto" w:line="480"/>
        <w:ind w:hanging="0" w:start="0" w:end="0"/>
        <w:rPr>
          <w:rFonts w:ascii="Book Antiqua" w:hAnsi="Book Antiqua" w:eastAsia="Book Antiqua" w:cs="Book Antiqua"/>
        </w:rPr>
      </w:pPr>
      <w:r>
        <w:rPr>
          <w:rFonts w:eastAsia="Book Antiqua" w:cs="Book Antiqua" w:ascii="Book Antiqua" w:hAnsi="Book Antiqua"/>
        </w:rPr>
        <w:t>SoCalGas will facilitate a voluntary and anonymous secondary market trading system for firm backbone transmission capacity and storage rights as part of a sole-source contract with ALTRA.  The ALTRA system will allow for market liquidity, require a user fee to offset costs and will interface with the GasSelect system to incorporate all transactions completed on the ALTRA system or completed through private negotiation.</w:t>
      </w:r>
    </w:p>
    <w:p>
      <w:pPr>
        <w:pStyle w:val="Bullet3"/>
        <w:spacing w:lineRule="auto" w:line="480"/>
        <w:ind w:hanging="0" w:start="0" w:end="0"/>
        <w:rPr>
          <w:rFonts w:ascii="Book Antiqua" w:hAnsi="Book Antiqua" w:eastAsia="Book Antiqua" w:cs="Book Antiqua"/>
        </w:rPr>
      </w:pPr>
      <w:r>
        <w:rPr>
          <w:rFonts w:eastAsia="Book Antiqua" w:cs="Book Antiqua" w:ascii="Book Antiqua" w:hAnsi="Book Antiqua"/>
        </w:rPr>
      </w:r>
    </w:p>
    <w:p>
      <w:pPr>
        <w:pStyle w:val="Bullet3"/>
        <w:spacing w:lineRule="auto" w:line="480"/>
        <w:ind w:hanging="0" w:start="0" w:end="0"/>
        <w:rPr>
          <w:rFonts w:ascii="Book Antiqua" w:hAnsi="Book Antiqua" w:eastAsia="Book Antiqua" w:cs="Book Antiqua"/>
        </w:rPr>
      </w:pPr>
      <w:r>
        <w:rPr>
          <w:rFonts w:eastAsia="Book Antiqua" w:cs="Book Antiqua" w:ascii="Book Antiqua" w:hAnsi="Book Antiqua"/>
        </w:rPr>
        <w:t>Customers that use and monitor the trading of backbone transmission and storage rights facilitated by the ALTRA platform will derive benefits, through the gathering of many market participants in one location.  The ALTRA system will post a summary of completed transactions, listing transaction term and conditions (excluding customer names).</w:t>
      </w:r>
    </w:p>
    <w:p>
      <w:pPr>
        <w:pStyle w:val="Bullet3"/>
        <w:spacing w:lineRule="auto" w:line="480"/>
        <w:ind w:hanging="0" w:start="0" w:end="0"/>
        <w:rPr>
          <w:rFonts w:ascii="Book Antiqua" w:hAnsi="Book Antiqua" w:eastAsia="Book Antiqua" w:cs="Book Antiqua"/>
        </w:rPr>
      </w:pPr>
      <w:r>
        <w:rPr>
          <w:rFonts w:eastAsia="Book Antiqua" w:cs="Book Antiqua" w:ascii="Book Antiqua" w:hAnsi="Book Antiqua"/>
        </w:rPr>
      </w:r>
    </w:p>
    <w:p>
      <w:pPr>
        <w:pStyle w:val="Bullet3"/>
        <w:numPr>
          <w:ilvl w:val="0"/>
          <w:numId w:val="4"/>
        </w:numPr>
        <w:tabs>
          <w:tab w:val="clear" w:pos="720"/>
          <w:tab w:val="left" w:pos="0" w:leader="none"/>
        </w:tabs>
        <w:spacing w:lineRule="auto" w:line="480"/>
        <w:ind w:hanging="720" w:start="1440" w:end="0"/>
        <w:rPr>
          <w:rFonts w:ascii="Book Antiqua" w:hAnsi="Book Antiqua" w:eastAsia="Book Antiqua" w:cs="Book Antiqua"/>
          <w:i/>
          <w:i/>
          <w:iCs/>
        </w:rPr>
      </w:pPr>
      <w:r>
        <w:rPr>
          <w:rFonts w:eastAsia="Book Antiqua" w:cs="Book Antiqua" w:ascii="Book Antiqua" w:hAnsi="Book Antiqua"/>
          <w:i/>
          <w:iCs/>
        </w:rPr>
        <w:t>The Commission believes that providing customer class-specific demand forecast data will not create a disadvantage for any customer.  Furthermore, the Commission does not believe that any particular customer would have an incentive to lessen the reliability or precision of its communication with the pipeline operator if they were providing the demand forecasts. (D.99-07-015, p. 79-84, FoF 41)</w:t>
      </w:r>
    </w:p>
    <w:p>
      <w:pPr>
        <w:pStyle w:val="Bullet3"/>
        <w:ind w:hanging="0" w:start="0" w:end="0"/>
        <w:rPr>
          <w:rFonts w:ascii="Book Antiqua" w:hAnsi="Book Antiqua" w:eastAsia="Book Antiqua" w:cs="Book Antiqua"/>
          <w:i/>
          <w:i/>
          <w:iCs/>
        </w:rPr>
      </w:pPr>
      <w:r>
        <w:rPr>
          <w:rFonts w:eastAsia="Book Antiqua" w:cs="Book Antiqua" w:ascii="Book Antiqua" w:hAnsi="Book Antiqua"/>
          <w:i/>
          <w:iCs/>
        </w:rPr>
      </w:r>
    </w:p>
    <w:p>
      <w:pPr>
        <w:pStyle w:val="Heading1"/>
        <w:ind w:hanging="0" w:start="0"/>
        <w:rPr>
          <w:rFonts w:ascii="Book Antiqua" w:hAnsi="Book Antiqua" w:eastAsia="Book Antiqua" w:cs="Book Antiqua"/>
          <w:b w:val="false"/>
          <w:bCs w:val="false"/>
          <w:sz w:val="24"/>
          <w:szCs w:val="24"/>
        </w:rPr>
      </w:pPr>
      <w:r>
        <w:rPr>
          <w:rFonts w:eastAsia="Book Antiqua" w:cs="Book Antiqua" w:ascii="Book Antiqua" w:hAnsi="Book Antiqua"/>
          <w:b w:val="false"/>
          <w:bCs w:val="false"/>
          <w:sz w:val="24"/>
          <w:szCs w:val="24"/>
        </w:rPr>
        <w:t>The Settlement requires SoCalGas to post operating information that is at least as extensive as PG&amp;E is required to post pursuant to its OFO settlement filed on October 22, 1999, in I.99-07-003, and since approved by the Commission.  Of significant importance to parties operating on both the SoCalGas and PG&amp;E systems, data elements will be formatted for display in the same general configuration.  Since many of the data elements contained in the operating information were already displayed, but in a different format, it will be easier to analyze the data as parties move from one system to the next.  SoCalGas will also provide, on an after-the-fact basis on the GasSelect system, sufficient data by customer class to allow parties to analyze the reasons that particular OFOs events were called.</w:t>
      </w:r>
    </w:p>
    <w:p>
      <w:pPr>
        <w:pStyle w:val="Heading1"/>
        <w:ind w:hanging="0" w:start="0"/>
        <w:rPr>
          <w:rFonts w:ascii="Book Antiqua" w:hAnsi="Book Antiqua" w:eastAsia="Book Antiqua" w:cs="Book Antiqua"/>
          <w:b w:val="false"/>
          <w:bCs w:val="false"/>
          <w:sz w:val="24"/>
          <w:szCs w:val="24"/>
        </w:rPr>
      </w:pPr>
      <w:r>
        <w:rPr>
          <w:rFonts w:eastAsia="Book Antiqua" w:cs="Book Antiqua" w:ascii="Book Antiqua" w:hAnsi="Book Antiqua"/>
          <w:b w:val="false"/>
          <w:bCs w:val="false"/>
          <w:sz w:val="24"/>
          <w:szCs w:val="24"/>
        </w:rPr>
        <w:t xml:space="preserve">By providing this extensive set of operating information customers will be benefit because they will be able to independently analyze and make current and future operational decisions based on the data provided. </w:t>
      </w:r>
    </w:p>
    <w:p>
      <w:pPr>
        <w:pStyle w:val="Bullet3"/>
        <w:spacing w:lineRule="auto" w:line="480"/>
        <w:ind w:hanging="0" w:start="0" w:end="0"/>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Bullet3"/>
        <w:spacing w:lineRule="auto" w:line="480"/>
        <w:ind w:hanging="0" w:start="0" w:end="0"/>
        <w:jc w:val="center"/>
        <w:rPr>
          <w:rFonts w:ascii="Book Antiqua" w:hAnsi="Book Antiqua" w:eastAsia="Book Antiqua" w:cs="Book Antiqua"/>
        </w:rPr>
      </w:pPr>
      <w:r>
        <w:rPr>
          <w:rFonts w:eastAsia="Book Antiqua" w:cs="Book Antiqua" w:ascii="Book Antiqua" w:hAnsi="Book Antiqua"/>
          <w:b/>
          <w:bCs/>
          <w:u w:val="single"/>
        </w:rPr>
        <w:t>Rate Impacts</w:t>
      </w:r>
    </w:p>
    <w:p>
      <w:pPr>
        <w:pStyle w:val="Bullet3"/>
        <w:spacing w:lineRule="auto" w:line="480"/>
        <w:ind w:hanging="0" w:start="0" w:end="0"/>
        <w:rPr>
          <w:rFonts w:ascii="Book Antiqua" w:hAnsi="Book Antiqua" w:eastAsia="Book Antiqua" w:cs="Book Antiqua"/>
        </w:rPr>
      </w:pPr>
      <w:r>
        <w:rPr>
          <w:rFonts w:eastAsia="Book Antiqua" w:cs="Book Antiqua" w:ascii="Book Antiqua" w:hAnsi="Book Antiqua"/>
        </w:rPr>
        <w:t>The sum total impact of all the changes in the capacity portion of this Comprehensive Settlement, relative to the 1999 BCAP Decision (adjusted to year 2002), are provided in Exhibit 7.  In total, core customers see over a $7 million decrease and noncore customers see almost a $7 million increase.  The main reason for this is that the core’s current responsibility for traditional ITCS costs , estimated at $7.5 million, is eliminated.  The quid pro quo for this “cost shift” is that the stranded costs resulting from core interstate capacity unbundling remain with core customers after 2001.</w:t>
      </w:r>
    </w:p>
    <w:p>
      <w:pPr>
        <w:pStyle w:val="Heading6"/>
        <w:ind w:hanging="0" w:start="0"/>
        <w:rPr>
          <w:u w:val="single"/>
        </w:rPr>
      </w:pPr>
      <w:r>
        <w:rPr>
          <w:u w:val="single"/>
        </w:rPr>
        <w:t>Restructuring Implementation Timing</w:t>
      </w:r>
    </w:p>
    <w:p>
      <w:pPr>
        <w:pStyle w:val="Heading3"/>
        <w:ind w:hanging="0" w:start="0"/>
        <w:rPr>
          <w:rFonts w:ascii="Book Antiqua" w:hAnsi="Book Antiqua" w:eastAsia="Book Antiqua" w:cs="Book Antiqua"/>
          <w:b w:val="false"/>
          <w:bCs w:val="false"/>
          <w:u w:val="single"/>
        </w:rPr>
      </w:pPr>
      <w:r>
        <w:rPr>
          <w:rFonts w:eastAsia="Book Antiqua" w:cs="Book Antiqua" w:ascii="Book Antiqua" w:hAnsi="Book Antiqua"/>
          <w:b w:val="false"/>
          <w:bCs w:val="false"/>
          <w:u w:val="single"/>
        </w:rPr>
        <w:t>Introduction</w:t>
      </w:r>
    </w:p>
    <w:p>
      <w:pPr>
        <w:pStyle w:val="Normal"/>
        <w:rPr>
          <w:rFonts w:ascii="Book Antiqua" w:hAnsi="Book Antiqua" w:eastAsia="Book Antiqua" w:cs="Book Antiqua"/>
          <w:b/>
          <w:bCs/>
          <w:sz w:val="24"/>
          <w:szCs w:val="24"/>
          <w:u w:val="single"/>
        </w:rPr>
      </w:pPr>
      <w:r>
        <w:rPr>
          <w:rFonts w:eastAsia="Book Antiqua" w:cs="Book Antiqua" w:ascii="Book Antiqua" w:hAnsi="Book Antiqua"/>
          <w:b/>
          <w:bCs/>
          <w:sz w:val="24"/>
          <w:szCs w:val="24"/>
          <w:u w:val="single"/>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In Decision (D.99-07-015), the California Public Utilities Commission (“Commission”) identified a number of promising options for continued restructuring of the California natural gas industry.  The purpose of my testimony is to describe the April 17, 2000 Comprehensive Gas Settlement Agreement (“Settlement”) implementation process, the reason for using a phased approach and to show that this approach is appropriate and necessary for SoCalGas and market participants.</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The implementation of the Settlement will be completed in three Phases.  The first Phase will address those issues that are of immediate concern to all parties, make quick fixes, establish a level playing field for market participants, do not require open seasons, do not involve contracting with third party service providers, and do not require major contracting decisions by our customers.  In the second phase we will be instituting major changes to our balancing services and allow for customer options, facilitate secondary markets for storage and provide a forum for change.  In the third Phase we will complete the restructuring process by unbundling our intrastate transmission system and facilitate secondary markets those rights.</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Heading4"/>
        <w:ind w:hanging="0" w:start="0"/>
        <w:jc w:val="start"/>
        <w:rPr>
          <w:b w:val="false"/>
          <w:bCs w:val="false"/>
        </w:rPr>
      </w:pPr>
      <w:r>
        <w:rPr>
          <w:b w:val="false"/>
          <w:bCs w:val="false"/>
        </w:rPr>
        <w:t>Phase I</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Phase I Settlement implementation will begin October 1, 2000.  In Phase I we will replace Windows, establish Hector Road as a primary receipt point, unbundle interstate capacity for CTA customers, increase information disclosure, unbundle non-reliability storage for CTAs, and implement pooling at receipt points.</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Those items that are designed as quick fix improvements for customers and their authorized agents need to be implemented first since they can provide immediate benefits. They include the replacement of windows and opening up receipt points to their physical maximums.  Adding Hector Road as a receipt point, formerly not authorized by the Commission, will add flexibility to the delivery system.  Increases in information disclosure will also allow for customers to better manage their supply requirements and to independently assess system operating conditions.</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To provide immediate opportunities for enhanced competition for core customers, the interstate capacity currently assigned to CTAs will be unbundled and CTA will be free to contract for their own interstate capacity needs.  In addition the non-reliability storage currently assigned to CTA customers will be unbundled and the CTAs will be free to manage their customer storage and supply needs in the manner they feel best meets their needs.</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 xml:space="preserve">Finally, SoCalGas will institute receipt point pools on the SoCalGas system.  Pools are viewed by market participants as a means of creating additional market liquidity for gas traders, allow for the masking of supply parties, simplify the nomination process for gas traders and help customers better manage market reductions from upstream pipelines.  Basically gas traders strongly desire pooling service on the SoCalGas system. </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Heading4"/>
        <w:ind w:hanging="0" w:start="0"/>
        <w:jc w:val="start"/>
        <w:rPr>
          <w:b w:val="false"/>
          <w:bCs w:val="false"/>
        </w:rPr>
      </w:pPr>
      <w:r>
        <w:rPr>
          <w:b w:val="false"/>
          <w:bCs w:val="false"/>
        </w:rPr>
        <w:t>Phase II</w:t>
      </w:r>
    </w:p>
    <w:p>
      <w:pPr>
        <w:pStyle w:val="BodyText"/>
        <w:rPr/>
      </w:pPr>
      <w:r>
        <w:rPr/>
        <w:t>Phase II implementation will begin April 1, 2001, just six months after Phase I implementation.  Phase II implementation will include a reduction in the total core storage reservation, replace current SCG balancing procedures with OFOs, provide for the trading of OFO imbalances and rights, unbundle the reliability portion of storage for CTAs, unbundle balancing and allow for a self-balancing option, create secondary markets for storage customers, and institute a market participant OFO Forum.</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Phase II requires extensive system changes and the contracting with ALTRA for the development of an electronic secondary market anonymous trading platform for storage rights, monthly imbalances and OFO chip trading, which will be done exclusively on the ALTRA system.  Further, with the addition of self-balancing, separate balancing by customer classes and secondary market trading of storage rights extensive billing system changes will be required.  It is also appropriate to allow customers to get used to the changes implemented in Phase I and II, before completing the major changes in Phase III.</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Heading4"/>
        <w:ind w:hanging="0" w:start="0"/>
        <w:jc w:val="start"/>
        <w:rPr>
          <w:b w:val="false"/>
          <w:bCs w:val="false"/>
        </w:rPr>
      </w:pPr>
      <w:r>
        <w:rPr>
          <w:b w:val="false"/>
          <w:bCs w:val="false"/>
        </w:rPr>
        <w:t>Phase III</w:t>
      </w:r>
    </w:p>
    <w:p>
      <w:pPr>
        <w:pStyle w:val="Heading2"/>
        <w:ind w:hanging="0" w:start="0"/>
        <w:rPr>
          <w:rFonts w:ascii="Book Antiqua" w:hAnsi="Book Antiqua" w:eastAsia="Book Antiqua" w:cs="Book Antiqua"/>
          <w:b w:val="false"/>
          <w:bCs w:val="false"/>
        </w:rPr>
      </w:pPr>
      <w:r>
        <w:rPr>
          <w:rFonts w:eastAsia="Book Antiqua" w:cs="Book Antiqua" w:ascii="Book Antiqua" w:hAnsi="Book Antiqua"/>
          <w:b w:val="false"/>
          <w:bCs w:val="false"/>
        </w:rPr>
        <w:t>Phase III implementation begins October 1, 2001, just six months after implementation of Phase II.  In Phase III we complete the major task of unbundling our intrastate transmission system, provide for secondary market trading of backbone transmission rights, add pooling service at the city gates and complete the revisions to balancing service by replacing winter balancing rules with low inventory OFOs.</w:t>
      </w:r>
    </w:p>
    <w:p>
      <w:pPr>
        <w:pStyle w:val="Normal"/>
        <w:rPr>
          <w:rFonts w:ascii="Book Antiqua" w:hAnsi="Book Antiqua" w:eastAsia="Book Antiqua" w:cs="Book Antiqua"/>
          <w:b/>
          <w:bCs/>
          <w:sz w:val="24"/>
          <w:szCs w:val="24"/>
        </w:rPr>
      </w:pPr>
      <w:r>
        <w:rPr>
          <w:rFonts w:eastAsia="Book Antiqua" w:cs="Book Antiqua" w:ascii="Book Antiqua" w:hAnsi="Book Antiqua"/>
          <w:b/>
          <w:bCs/>
          <w:sz w:val="24"/>
          <w:szCs w:val="24"/>
        </w:rPr>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The creation of backbone transmission rights at receipt points will be a major event for our customers and will require a three-phase open season process.  Customers will want a complete educational process on the open season and will desire sufficient time between each open season phase to make prudent decisions on their intrastate backbone capacity needs.  The development of a secondary market for backbone transmission rights will again be contracted out to the ALTRA system and the development of pools at the city gate will require a major computer system change.  Again billing systems and billing formats must be enhanced for the new service offerings.</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r>
    </w:p>
    <w:p>
      <w:pPr>
        <w:pStyle w:val="Heading4"/>
        <w:ind w:hanging="0" w:start="0"/>
        <w:jc w:val="start"/>
        <w:rPr>
          <w:b w:val="false"/>
          <w:bCs w:val="false"/>
        </w:rPr>
      </w:pPr>
      <w:r>
        <w:rPr>
          <w:b w:val="false"/>
          <w:bCs w:val="false"/>
        </w:rPr>
        <w:t>Conclusion</w:t>
      </w:r>
    </w:p>
    <w:p>
      <w:pPr>
        <w:pStyle w:val="Normal"/>
        <w:rPr>
          <w:rFonts w:ascii="Book Antiqua" w:hAnsi="Book Antiqua" w:eastAsia="Book Antiqua" w:cs="Book Antiqua"/>
          <w:sz w:val="24"/>
          <w:szCs w:val="24"/>
        </w:rPr>
      </w:pPr>
      <w:r>
        <w:rPr>
          <w:rFonts w:eastAsia="Book Antiqua" w:cs="Book Antiqua" w:ascii="Book Antiqua" w:hAnsi="Book Antiqua"/>
          <w:sz w:val="24"/>
          <w:szCs w:val="24"/>
        </w:rPr>
        <w:t>In summary, the three-phase implementation process provides immediate benefits that customer’s desire in Phase I.  In Phase II we complete most of the additional service offering that customers desire and that require major system modifications and development.  Finally, in Phase III the completion of the unbundling of the transmission system, an issue of major impact and importance to all SoCalGas customers and suppliers needs to be carefully planned and considered, and appropriately should be completed in the final phase.</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family w:val="modern"/>
    <w:pitch w:val="default"/>
  </w:font>
  <w:font w:name="Arial">
    <w:charset w:val="01"/>
    <w:family w:val="swiss"/>
    <w:pitch w:val="variable"/>
  </w:font>
  <w:font w:name="Book Antiqua">
    <w:charset w:val="01"/>
    <w:family w:val="roman"/>
    <w:pitch w:val="variable"/>
  </w:font>
  <w:font w:name="Liberation Sans">
    <w:altName w:val="Arial"/>
    <w:charset w:val="01" w:characterSet="utf-8"/>
    <w:family w:val="swiss"/>
    <w:pitch w:val="variable"/>
  </w:font>
  <w:font w:name="Tms Rmn">
    <w:altName w:val="Times New Roman"/>
    <w:charset w:val="01"/>
    <w:family w:val="roman"/>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eastAsia="Book Antiqua" w:cs="Book Antiqua" w:ascii="Book Antiqua" w:hAnsi="Book Antiqua"/>
        <w:sz w:val="24"/>
        <w:szCs w:val="24"/>
      </w:rPr>
      <w:fldChar w:fldCharType="begin"/>
    </w:r>
    <w:r>
      <w:rPr>
        <w:rStyle w:val="PageNumber"/>
        <w:sz w:val="24"/>
        <w:szCs w:val="24"/>
        <w:rFonts w:eastAsia="Book Antiqua" w:cs="Book Antiqua" w:ascii="Book Antiqua" w:hAnsi="Book Antiqua"/>
      </w:rPr>
      <w:instrText xml:space="preserve"> PAGE </w:instrText>
    </w:r>
    <w:r>
      <w:rPr>
        <w:rStyle w:val="PageNumber"/>
        <w:sz w:val="24"/>
        <w:szCs w:val="24"/>
        <w:rFonts w:eastAsia="Book Antiqua" w:cs="Book Antiqua" w:ascii="Book Antiqua" w:hAnsi="Book Antiqua"/>
      </w:rPr>
      <w:fldChar w:fldCharType="separate"/>
    </w:r>
    <w:r>
      <w:rPr>
        <w:rStyle w:val="PageNumber"/>
        <w:sz w:val="24"/>
        <w:szCs w:val="24"/>
        <w:rFonts w:eastAsia="Book Antiqua" w:cs="Book Antiqua" w:ascii="Book Antiqua" w:hAnsi="Book Antiqua"/>
      </w:rPr>
      <w:t>30</w:t>
    </w:r>
    <w:r>
      <w:rPr>
        <w:rStyle w:val="PageNumber"/>
        <w:sz w:val="24"/>
        <w:szCs w:val="24"/>
        <w:rFonts w:eastAsia="Book Antiqua" w:cs="Book Antiqua" w:ascii="Book Antiqua" w:hAnsi="Book Antiqu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lang w:val="en-CA"/>
      </w:rPr>
    </w:pPr>
    <w:r>
      <w:rPr>
        <w:lang w:val="en-CA"/>
      </w:rPr>
      <mc:AlternateContent>
        <mc:Choice Requires="wps">
          <w:drawing>
            <wp:anchor behindDoc="0" distT="0" distB="0" distL="0" distR="0" simplePos="0" locked="0" layoutInCell="0" allowOverlap="1" relativeHeight="31">
              <wp:simplePos x="0" y="0"/>
              <wp:positionH relativeFrom="margin">
                <wp:posOffset>-640080</wp:posOffset>
              </wp:positionH>
              <wp:positionV relativeFrom="margin">
                <wp:posOffset>0</wp:posOffset>
              </wp:positionV>
              <wp:extent cx="457200" cy="15386685"/>
              <wp:effectExtent l="0" t="0" r="635" b="0"/>
              <wp:wrapNone/>
              <wp:docPr id="1" name=""/>
              <a:graphic xmlns:a="http://schemas.openxmlformats.org/drawingml/2006/main">
                <a:graphicData uri="http://schemas.microsoft.com/office/word/2010/wordprocessingShape">
                  <wps:wsp>
                    <wps:cNvSpPr txBox="1"/>
                    <wps:spPr>
                      <a:xfrm>
                        <a:off x="0" y="0"/>
                        <a:ext cx="457200" cy="15386760"/>
                      </a:xfrm>
                      <a:prstGeom prst="rect">
                        <a:avLst/>
                      </a:prstGeom>
                      <a:noFill/>
                      <a:ln w="0">
                        <a:noFill/>
                      </a:ln>
                    </wps:spPr>
                    <wps:txbx>
                      <w:txbxContent>
                        <w:p>
                          <w:pPr>
                            <w:overflowPunct w:val="false"/>
                            <w:bidi w:val="0"/>
                            <w:spacing w:lineRule="auto" w:line="360"/>
                            <w:jc w:val="end"/>
                            <w:rPr/>
                          </w:pPr>
                          <w:r>
                            <w:rPr>
                              <w:kern w:val="2"/>
                              <w:sz w:val="24"/>
                              <w:szCs w:val="24"/>
                              <w:rFonts w:ascii="Book Antiqua" w:hAnsi="Book Antiqua" w:eastAsia="Book Antiqua" w:cs="Book Antiqua"/>
                              <w:color w:val="auto"/>
                              <w:lang w:val="en-US"/>
                            </w:rPr>
                            <w:t>1</w:t>
                          </w:r>
                        </w:p>
                        <w:p>
                          <w:pPr>
                            <w:overflowPunct w:val="false"/>
                            <w:bidi w:val="0"/>
                            <w:spacing w:lineRule="auto" w:line="360"/>
                            <w:jc w:val="end"/>
                            <w:rPr/>
                          </w:pPr>
                          <w:r>
                            <w:rPr>
                              <w:kern w:val="2"/>
                              <w:sz w:val="24"/>
                              <w:szCs w:val="24"/>
                              <w:rFonts w:ascii="Book Antiqua" w:hAnsi="Book Antiqua" w:eastAsia="Book Antiqua" w:cs="Book Antiqua"/>
                              <w:color w:val="auto"/>
                              <w:lang w:val="en-US"/>
                            </w:rPr>
                            <w:t>2</w:t>
                          </w:r>
                        </w:p>
                        <w:p>
                          <w:pPr>
                            <w:overflowPunct w:val="false"/>
                            <w:bidi w:val="0"/>
                            <w:spacing w:lineRule="auto" w:line="360"/>
                            <w:jc w:val="end"/>
                            <w:rPr/>
                          </w:pPr>
                          <w:r>
                            <w:rPr>
                              <w:kern w:val="2"/>
                              <w:sz w:val="24"/>
                              <w:szCs w:val="24"/>
                              <w:rFonts w:ascii="Book Antiqua" w:hAnsi="Book Antiqua" w:eastAsia="Book Antiqua" w:cs="Book Antiqua"/>
                              <w:color w:val="auto"/>
                              <w:lang w:val="en-US"/>
                            </w:rPr>
                            <w:t>3</w:t>
                          </w:r>
                        </w:p>
                        <w:p>
                          <w:pPr>
                            <w:overflowPunct w:val="false"/>
                            <w:bidi w:val="0"/>
                            <w:spacing w:lineRule="auto" w:line="360"/>
                            <w:jc w:val="end"/>
                            <w:rPr/>
                          </w:pPr>
                          <w:r>
                            <w:rPr>
                              <w:kern w:val="2"/>
                              <w:sz w:val="24"/>
                              <w:szCs w:val="24"/>
                              <w:rFonts w:ascii="Book Antiqua" w:hAnsi="Book Antiqua" w:eastAsia="Book Antiqua" w:cs="Book Antiqua"/>
                              <w:color w:val="auto"/>
                              <w:lang w:val="en-US"/>
                            </w:rPr>
                            <w:t>4</w:t>
                          </w:r>
                        </w:p>
                        <w:p>
                          <w:pPr>
                            <w:overflowPunct w:val="false"/>
                            <w:bidi w:val="0"/>
                            <w:spacing w:lineRule="auto" w:line="360"/>
                            <w:jc w:val="end"/>
                            <w:rPr/>
                          </w:pPr>
                          <w:r>
                            <w:rPr>
                              <w:kern w:val="2"/>
                              <w:sz w:val="24"/>
                              <w:szCs w:val="24"/>
                              <w:rFonts w:ascii="Book Antiqua" w:hAnsi="Book Antiqua" w:eastAsia="Book Antiqua" w:cs="Book Antiqua"/>
                              <w:color w:val="auto"/>
                              <w:lang w:val="en-US"/>
                            </w:rPr>
                            <w:t>5</w:t>
                          </w:r>
                        </w:p>
                        <w:p>
                          <w:pPr>
                            <w:overflowPunct w:val="false"/>
                            <w:bidi w:val="0"/>
                            <w:spacing w:lineRule="auto" w:line="360"/>
                            <w:jc w:val="end"/>
                            <w:rPr/>
                          </w:pPr>
                          <w:r>
                            <w:rPr>
                              <w:kern w:val="2"/>
                              <w:sz w:val="24"/>
                              <w:szCs w:val="24"/>
                              <w:rFonts w:ascii="Book Antiqua" w:hAnsi="Book Antiqua" w:eastAsia="Book Antiqua" w:cs="Book Antiqua"/>
                              <w:color w:val="auto"/>
                              <w:lang w:val="en-US"/>
                            </w:rPr>
                            <w:t>6</w:t>
                          </w:r>
                        </w:p>
                        <w:p>
                          <w:pPr>
                            <w:overflowPunct w:val="false"/>
                            <w:bidi w:val="0"/>
                            <w:spacing w:lineRule="auto" w:line="360"/>
                            <w:jc w:val="end"/>
                            <w:rPr/>
                          </w:pPr>
                          <w:r>
                            <w:rPr>
                              <w:kern w:val="2"/>
                              <w:sz w:val="24"/>
                              <w:szCs w:val="24"/>
                              <w:rFonts w:ascii="Book Antiqua" w:hAnsi="Book Antiqua" w:eastAsia="Book Antiqua" w:cs="Book Antiqua"/>
                              <w:color w:val="auto"/>
                              <w:lang w:val="en-US"/>
                            </w:rPr>
                            <w:t>7</w:t>
                          </w:r>
                        </w:p>
                        <w:p>
                          <w:pPr>
                            <w:overflowPunct w:val="false"/>
                            <w:bidi w:val="0"/>
                            <w:spacing w:lineRule="auto" w:line="360"/>
                            <w:jc w:val="end"/>
                            <w:rPr/>
                          </w:pPr>
                          <w:r>
                            <w:rPr>
                              <w:kern w:val="2"/>
                              <w:sz w:val="24"/>
                              <w:szCs w:val="24"/>
                              <w:rFonts w:ascii="Book Antiqua" w:hAnsi="Book Antiqua" w:eastAsia="Book Antiqua" w:cs="Book Antiqua"/>
                              <w:color w:val="auto"/>
                              <w:lang w:val="en-US"/>
                            </w:rPr>
                            <w:t>8</w:t>
                          </w:r>
                        </w:p>
                        <w:p>
                          <w:pPr>
                            <w:overflowPunct w:val="false"/>
                            <w:bidi w:val="0"/>
                            <w:spacing w:lineRule="auto" w:line="360"/>
                            <w:jc w:val="end"/>
                            <w:rPr/>
                          </w:pPr>
                          <w:r>
                            <w:rPr>
                              <w:kern w:val="2"/>
                              <w:sz w:val="24"/>
                              <w:szCs w:val="24"/>
                              <w:rFonts w:ascii="Book Antiqua" w:hAnsi="Book Antiqua" w:eastAsia="Book Antiqua" w:cs="Book Antiqua"/>
                              <w:color w:val="auto"/>
                              <w:lang w:val="en-US"/>
                            </w:rPr>
                            <w:t>9</w:t>
                          </w:r>
                        </w:p>
                        <w:p>
                          <w:pPr>
                            <w:overflowPunct w:val="false"/>
                            <w:bidi w:val="0"/>
                            <w:spacing w:lineRule="auto" w:line="360"/>
                            <w:jc w:val="end"/>
                            <w:rPr/>
                          </w:pPr>
                          <w:r>
                            <w:rPr>
                              <w:kern w:val="2"/>
                              <w:sz w:val="24"/>
                              <w:szCs w:val="24"/>
                              <w:rFonts w:ascii="Book Antiqua" w:hAnsi="Book Antiqua" w:eastAsia="Book Antiqua" w:cs="Book Antiqua"/>
                              <w:color w:val="auto"/>
                              <w:lang w:val="en-US"/>
                            </w:rPr>
                            <w:t>10</w:t>
                          </w:r>
                        </w:p>
                        <w:p>
                          <w:pPr>
                            <w:overflowPunct w:val="false"/>
                            <w:bidi w:val="0"/>
                            <w:spacing w:lineRule="auto" w:line="360"/>
                            <w:jc w:val="end"/>
                            <w:rPr/>
                          </w:pPr>
                          <w:r>
                            <w:rPr>
                              <w:kern w:val="2"/>
                              <w:sz w:val="24"/>
                              <w:szCs w:val="24"/>
                              <w:rFonts w:ascii="Book Antiqua" w:hAnsi="Book Antiqua" w:eastAsia="Book Antiqua" w:cs="Book Antiqua"/>
                              <w:color w:val="auto"/>
                              <w:lang w:val="en-US"/>
                            </w:rPr>
                            <w:t>11</w:t>
                          </w:r>
                        </w:p>
                        <w:p>
                          <w:pPr>
                            <w:overflowPunct w:val="false"/>
                            <w:bidi w:val="0"/>
                            <w:spacing w:lineRule="auto" w:line="360"/>
                            <w:jc w:val="end"/>
                            <w:rPr/>
                          </w:pPr>
                          <w:r>
                            <w:rPr>
                              <w:kern w:val="2"/>
                              <w:sz w:val="24"/>
                              <w:szCs w:val="24"/>
                              <w:rFonts w:ascii="Book Antiqua" w:hAnsi="Book Antiqua" w:eastAsia="Book Antiqua" w:cs="Book Antiqua"/>
                              <w:color w:val="auto"/>
                              <w:lang w:val="en-US"/>
                            </w:rPr>
                            <w:t>12</w:t>
                          </w:r>
                        </w:p>
                        <w:p>
                          <w:pPr>
                            <w:overflowPunct w:val="false"/>
                            <w:bidi w:val="0"/>
                            <w:spacing w:lineRule="auto" w:line="360"/>
                            <w:jc w:val="end"/>
                            <w:rPr/>
                          </w:pPr>
                          <w:r>
                            <w:rPr>
                              <w:kern w:val="2"/>
                              <w:sz w:val="24"/>
                              <w:szCs w:val="24"/>
                              <w:rFonts w:ascii="Book Antiqua" w:hAnsi="Book Antiqua" w:eastAsia="Book Antiqua" w:cs="Book Antiqua"/>
                              <w:color w:val="auto"/>
                              <w:lang w:val="en-US"/>
                            </w:rPr>
                            <w:t>13</w:t>
                          </w:r>
                        </w:p>
                        <w:p>
                          <w:pPr>
                            <w:overflowPunct w:val="false"/>
                            <w:bidi w:val="0"/>
                            <w:spacing w:lineRule="auto" w:line="360"/>
                            <w:jc w:val="end"/>
                            <w:rPr/>
                          </w:pPr>
                          <w:r>
                            <w:rPr>
                              <w:kern w:val="2"/>
                              <w:sz w:val="24"/>
                              <w:szCs w:val="24"/>
                              <w:rFonts w:ascii="Book Antiqua" w:hAnsi="Book Antiqua" w:eastAsia="Book Antiqua" w:cs="Book Antiqua"/>
                              <w:color w:val="auto"/>
                              <w:lang w:val="en-US"/>
                            </w:rPr>
                            <w:t>14</w:t>
                          </w:r>
                        </w:p>
                        <w:p>
                          <w:pPr>
                            <w:overflowPunct w:val="false"/>
                            <w:bidi w:val="0"/>
                            <w:spacing w:lineRule="auto" w:line="360"/>
                            <w:jc w:val="end"/>
                            <w:rPr/>
                          </w:pPr>
                          <w:r>
                            <w:rPr>
                              <w:kern w:val="2"/>
                              <w:sz w:val="24"/>
                              <w:szCs w:val="24"/>
                              <w:rFonts w:ascii="Book Antiqua" w:hAnsi="Book Antiqua" w:eastAsia="Book Antiqua" w:cs="Book Antiqua"/>
                              <w:color w:val="auto"/>
                              <w:lang w:val="en-US"/>
                            </w:rPr>
                            <w:t>15</w:t>
                          </w:r>
                        </w:p>
                        <w:p>
                          <w:pPr>
                            <w:overflowPunct w:val="false"/>
                            <w:bidi w:val="0"/>
                            <w:spacing w:lineRule="auto" w:line="360"/>
                            <w:jc w:val="end"/>
                            <w:rPr/>
                          </w:pPr>
                          <w:r>
                            <w:rPr>
                              <w:kern w:val="2"/>
                              <w:sz w:val="24"/>
                              <w:szCs w:val="24"/>
                              <w:rFonts w:ascii="Book Antiqua" w:hAnsi="Book Antiqua" w:eastAsia="Book Antiqua" w:cs="Book Antiqua"/>
                              <w:color w:val="auto"/>
                              <w:lang w:val="en-US"/>
                            </w:rPr>
                            <w:t>16</w:t>
                          </w:r>
                        </w:p>
                        <w:p>
                          <w:pPr>
                            <w:overflowPunct w:val="false"/>
                            <w:bidi w:val="0"/>
                            <w:spacing w:lineRule="auto" w:line="360"/>
                            <w:jc w:val="end"/>
                            <w:rPr/>
                          </w:pPr>
                          <w:r>
                            <w:rPr>
                              <w:kern w:val="2"/>
                              <w:sz w:val="24"/>
                              <w:szCs w:val="24"/>
                              <w:rFonts w:ascii="Book Antiqua" w:hAnsi="Book Antiqua" w:eastAsia="Book Antiqua" w:cs="Book Antiqua"/>
                              <w:color w:val="auto"/>
                              <w:lang w:val="en-US"/>
                            </w:rPr>
                            <w:t>17</w:t>
                          </w:r>
                        </w:p>
                        <w:p>
                          <w:pPr>
                            <w:overflowPunct w:val="false"/>
                            <w:bidi w:val="0"/>
                            <w:spacing w:lineRule="auto" w:line="360"/>
                            <w:jc w:val="end"/>
                            <w:rPr/>
                          </w:pPr>
                          <w:r>
                            <w:rPr>
                              <w:kern w:val="2"/>
                              <w:sz w:val="24"/>
                              <w:szCs w:val="24"/>
                              <w:rFonts w:ascii="Book Antiqua" w:hAnsi="Book Antiqua" w:eastAsia="Book Antiqua" w:cs="Book Antiqua"/>
                              <w:color w:val="auto"/>
                              <w:lang w:val="en-US"/>
                            </w:rPr>
                            <w:t>18</w:t>
                          </w:r>
                        </w:p>
                        <w:p>
                          <w:pPr>
                            <w:overflowPunct w:val="false"/>
                            <w:bidi w:val="0"/>
                            <w:spacing w:lineRule="auto" w:line="360"/>
                            <w:jc w:val="end"/>
                            <w:rPr/>
                          </w:pPr>
                          <w:r>
                            <w:rPr>
                              <w:kern w:val="2"/>
                              <w:sz w:val="24"/>
                              <w:szCs w:val="24"/>
                              <w:rFonts w:ascii="Book Antiqua" w:hAnsi="Book Antiqua" w:eastAsia="Book Antiqua" w:cs="Book Antiqua"/>
                              <w:color w:val="auto"/>
                              <w:lang w:val="en-US"/>
                            </w:rPr>
                            <w:t>19</w:t>
                          </w:r>
                        </w:p>
                        <w:p>
                          <w:pPr>
                            <w:overflowPunct w:val="false"/>
                            <w:bidi w:val="0"/>
                            <w:spacing w:lineRule="auto" w:line="360"/>
                            <w:jc w:val="end"/>
                            <w:rPr/>
                          </w:pPr>
                          <w:r>
                            <w:rPr>
                              <w:kern w:val="2"/>
                              <w:sz w:val="24"/>
                              <w:szCs w:val="24"/>
                              <w:rFonts w:ascii="Book Antiqua" w:hAnsi="Book Antiqua" w:eastAsia="Book Antiqua" w:cs="Book Antiqua"/>
                              <w:color w:val="auto"/>
                              <w:lang w:val="en-US"/>
                            </w:rPr>
                            <w:t>20</w:t>
                          </w:r>
                        </w:p>
                        <w:p>
                          <w:pPr>
                            <w:overflowPunct w:val="false"/>
                            <w:bidi w:val="0"/>
                            <w:spacing w:lineRule="auto" w:line="360"/>
                            <w:jc w:val="end"/>
                            <w:rPr/>
                          </w:pPr>
                          <w:r>
                            <w:rPr>
                              <w:kern w:val="2"/>
                              <w:sz w:val="24"/>
                              <w:szCs w:val="24"/>
                              <w:rFonts w:ascii="Book Antiqua" w:hAnsi="Book Antiqua" w:eastAsia="Book Antiqua" w:cs="Book Antiqua"/>
                              <w:color w:val="auto"/>
                              <w:lang w:val="en-US"/>
                            </w:rPr>
                            <w:t>21</w:t>
                          </w:r>
                        </w:p>
                        <w:p>
                          <w:pPr>
                            <w:overflowPunct w:val="false"/>
                            <w:bidi w:val="0"/>
                            <w:spacing w:lineRule="auto" w:line="360"/>
                            <w:jc w:val="end"/>
                            <w:rPr/>
                          </w:pPr>
                          <w:r>
                            <w:rPr>
                              <w:kern w:val="2"/>
                              <w:sz w:val="24"/>
                              <w:szCs w:val="24"/>
                              <w:rFonts w:ascii="Book Antiqua" w:hAnsi="Book Antiqua" w:eastAsia="Book Antiqua" w:cs="Book Antiqua"/>
                              <w:color w:val="auto"/>
                              <w:lang w:val="en-US"/>
                            </w:rPr>
                            <w:t>22</w:t>
                          </w:r>
                        </w:p>
                        <w:p>
                          <w:pPr>
                            <w:overflowPunct w:val="false"/>
                            <w:bidi w:val="0"/>
                            <w:spacing w:lineRule="auto" w:line="480"/>
                            <w:jc w:val="end"/>
                            <w:rPr/>
                          </w:pPr>
                          <w:r>
                            <w:rPr>
                              <w:kern w:val="2"/>
                              <w:sz w:val="24"/>
                              <w:szCs w:val="24"/>
                              <w:rFonts w:ascii="Book Antiqua" w:hAnsi="Book Antiqua" w:eastAsia="Book Antiqua" w:cs="Book Antiqua"/>
                              <w:color w:val="auto"/>
                              <w:lang w:val="en-US"/>
                            </w:rPr>
                            <w:t>23</w:t>
                          </w:r>
                        </w:p>
                        <w:p>
                          <w:pPr>
                            <w:overflowPunct w:val="false"/>
                            <w:bidi w:val="0"/>
                            <w:spacing w:lineRule="auto" w:line="480"/>
                            <w:jc w:val="end"/>
                            <w:rPr/>
                          </w:pPr>
                          <w:r>
                            <w:rPr>
                              <w:kern w:val="2"/>
                              <w:sz w:val="24"/>
                              <w:szCs w:val="24"/>
                              <w:rFonts w:ascii="Book Antiqua" w:hAnsi="Book Antiqua" w:eastAsia="Book Antiqua" w:cs="Book Antiqua"/>
                              <w:color w:val="auto"/>
                              <w:lang w:val="en-US"/>
                            </w:rPr>
                            <w:t>24</w:t>
                          </w:r>
                        </w:p>
                        <w:p>
                          <w:pPr>
                            <w:overflowPunct w:val="false"/>
                            <w:bidi w:val="0"/>
                            <w:spacing w:lineRule="auto" w:line="480"/>
                            <w:jc w:val="end"/>
                            <w:rPr/>
                          </w:pPr>
                          <w:r>
                            <w:rPr>
                              <w:kern w:val="2"/>
                              <w:sz w:val="24"/>
                              <w:szCs w:val="24"/>
                              <w:rFonts w:ascii="Book Antiqua" w:hAnsi="Book Antiqua" w:eastAsia="Book Antiqua" w:cs="Book Antiqua"/>
                              <w:color w:val="auto"/>
                              <w:lang w:val="en-US"/>
                            </w:rPr>
                            <w:t>25</w:t>
                          </w:r>
                        </w:p>
                        <w:p>
                          <w:pPr>
                            <w:overflowPunct w:val="false"/>
                            <w:bidi w:val="0"/>
                            <w:spacing w:lineRule="auto" w:line="480"/>
                            <w:jc w:val="end"/>
                            <w:rPr/>
                          </w:pPr>
                          <w:r>
                            <w:rPr>
                              <w:kern w:val="2"/>
                              <w:sz w:val="24"/>
                              <w:szCs w:val="24"/>
                              <w:rFonts w:ascii="Book Antiqua" w:hAnsi="Book Antiqua" w:eastAsia="Book Antiqua" w:cs="Book Antiqua"/>
                              <w:color w:val="auto"/>
                              <w:lang w:val="en-US"/>
                            </w:rPr>
                            <w:t>26</w:t>
                          </w:r>
                        </w:p>
                        <w:p>
                          <w:pPr>
                            <w:overflowPunct w:val="false"/>
                            <w:bidi w:val="0"/>
                            <w:spacing w:lineRule="auto" w:line="480"/>
                            <w:jc w:val="end"/>
                            <w:rPr/>
                          </w:pPr>
                          <w:r>
                            <w:rPr>
                              <w:kern w:val="2"/>
                              <w:sz w:val="24"/>
                              <w:szCs w:val="24"/>
                              <w:rFonts w:ascii="Book Antiqua" w:hAnsi="Book Antiqua" w:eastAsia="Book Antiqua" w:cs="Book Antiqua"/>
                              <w:color w:val="auto"/>
                              <w:lang w:val="en-US"/>
                            </w:rPr>
                            <w:t>27</w:t>
                          </w:r>
                        </w:p>
                        <w:p>
                          <w:pPr>
                            <w:overflowPunct w:val="false"/>
                            <w:bidi w:val="0"/>
                            <w:spacing w:lineRule="auto" w:line="480"/>
                            <w:jc w:val="end"/>
                            <w:rPr/>
                          </w:pPr>
                          <w:r>
                            <w:rPr>
                              <w:kern w:val="2"/>
                              <w:sz w:val="24"/>
                              <w:szCs w:val="24"/>
                              <w:rFonts w:ascii="Book Antiqua" w:hAnsi="Book Antiqua" w:eastAsia="Book Antiqua" w:cs="Book Antiqua"/>
                              <w:color w:val="auto"/>
                              <w:lang w:val="en-US"/>
                            </w:rPr>
                            <w:t>28</w:t>
                          </w:r>
                          <w:r>
                            <w:rPr>
                              <w:kern w:val="2"/>
                              <w:sz w:val="24"/>
                              <w:szCs w:val="24"/>
                              <w:rFonts w:ascii="Book Antiqua" w:hAnsi="Book Antiqua" w:eastAsia="Book Antiqua" w:cs="Book Antiqua"/>
                              <w:color w:val="auto"/>
                              <w:lang w:val="en-US"/>
                            </w:rPr>
                          </w:r>
                          <w:r>
                            <w:rPr>
                              <w:kern w:val="2"/>
                              <w:sz w:val="24"/>
                              <w:szCs w:val="24"/>
                              <w:rFonts w:ascii="Book Antiqua" w:hAnsi="Book Antiqua" w:eastAsia="Book Antiqua" w:cs="Book Antiqua"/>
                              <w:color w:val="auto"/>
                              <w:lang w:val="en-US"/>
                            </w:rPr>
                            <w:t>82828</w:t>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kern w:val="2"/>
                              <w:sz w:val="24"/>
                              <w:szCs w:val="24"/>
                              <w:rFonts w:ascii="Book Antiqua" w:hAnsi="Book Antiqua" w:eastAsia="Book Antiqua" w:cs="Book Antiqua"/>
                              <w:color w:val="auto"/>
                              <w:lang w:val="en-US"/>
                            </w:rPr>
                            <w:t>2</w:t>
                          </w:r>
                          <w:r>
                            <w:rPr>
                              <w:kern w:val="2"/>
                              <w:sz w:val="20"/>
                              <w:szCs w:val="20"/>
                              <w:rFonts w:ascii="Book Antiqua" w:hAnsi="Book Antiqua" w:eastAsia="Book Antiqua" w:cs="Book Antiqua"/>
                              <w:color w:val="auto"/>
                              <w:lang w:val="en-US"/>
                            </w:rPr>
                            <w:t>9</w:t>
                          </w:r>
                        </w:p>
                        <w:p>
                          <w:pPr>
                            <w:overflowPunct w:val="false"/>
                            <w:bidi w:val="0"/>
                            <w:spacing w:lineRule="auto" w:line="480"/>
                            <w:jc w:val="end"/>
                            <w:rPr/>
                          </w:pPr>
                          <w:r>
                            <w:rPr>
                              <w:kern w:val="2"/>
                              <w:sz w:val="16"/>
                              <w:szCs w:val="16"/>
                              <w:rFonts w:ascii="Courier" w:hAnsi="Courier" w:eastAsia="Courier" w:cs="Courier"/>
                              <w:color w:val="auto"/>
                              <w:lang w:val="en-US"/>
                            </w:rPr>
                            <w:t>30</w:t>
                          </w:r>
                        </w:p>
                        <w:p>
                          <w:pPr>
                            <w:overflowPunct w:val="false"/>
                            <w:bidi w:val="0"/>
                            <w:spacing w:lineRule="auto" w:line="480"/>
                            <w:jc w:val="end"/>
                            <w:rPr/>
                          </w:pPr>
                          <w:r>
                            <w:rPr>
                              <w:kern w:val="2"/>
                              <w:sz w:val="16"/>
                              <w:szCs w:val="16"/>
                              <w:rFonts w:ascii="Courier" w:hAnsi="Courier" w:eastAsia="Courier" w:cs="Courier"/>
                              <w:color w:val="auto"/>
                              <w:lang w:val="en-US"/>
                            </w:rPr>
                            <w:t>31</w:t>
                          </w:r>
                        </w:p>
                        <w:p>
                          <w:pPr>
                            <w:overflowPunct w:val="false"/>
                            <w:bidi w:val="0"/>
                            <w:spacing w:lineRule="auto" w:line="480"/>
                            <w:jc w:val="end"/>
                            <w:rPr/>
                          </w:pPr>
                          <w:r>
                            <w:rPr>
                              <w:kern w:val="2"/>
                              <w:sz w:val="16"/>
                              <w:szCs w:val="16"/>
                              <w:rFonts w:ascii="Courier" w:hAnsi="Courier" w:eastAsia="Courier" w:cs="Courier"/>
                              <w:color w:val="auto"/>
                              <w:lang w:val="en-US"/>
                            </w:rPr>
                            <w:t>32</w:t>
                          </w:r>
                        </w:p>
                        <w:p>
                          <w:pPr>
                            <w:overflowPunct w:val="false"/>
                            <w:bidi w:val="0"/>
                            <w:spacing w:lineRule="auto" w:line="480"/>
                            <w:jc w:val="end"/>
                            <w:rPr/>
                          </w:pPr>
                          <w:r>
                            <w:rPr>
                              <w:kern w:val="2"/>
                              <w:sz w:val="16"/>
                              <w:szCs w:val="16"/>
                              <w:rFonts w:ascii="Courier" w:hAnsi="Courier" w:eastAsia="Courier" w:cs="Courier"/>
                              <w:color w:val="auto"/>
                              <w:lang w:val="en-US"/>
                            </w:rPr>
                            <w:t>33</w:t>
                          </w:r>
                        </w:p>
                        <w:p>
                          <w:pPr>
                            <w:overflowPunct w:val="false"/>
                            <w:bidi w:val="0"/>
                            <w:spacing w:lineRule="auto" w:line="480"/>
                            <w:jc w:val="end"/>
                            <w:rPr/>
                          </w:pPr>
                          <w:r>
                            <w:rPr>
                              <w:kern w:val="2"/>
                              <w:sz w:val="16"/>
                              <w:szCs w:val="16"/>
                              <w:rFonts w:ascii="Courier" w:hAnsi="Courier" w:eastAsia="Courier" w:cs="Courier"/>
                              <w:color w:val="auto"/>
                              <w:lang w:val="en-US"/>
                            </w:rPr>
                            <w:t>34</w:t>
                          </w:r>
                        </w:p>
                        <w:p>
                          <w:pPr>
                            <w:overflowPunct w:val="false"/>
                            <w:bidi w:val="0"/>
                            <w:spacing w:lineRule="auto" w:line="480"/>
                            <w:jc w:val="end"/>
                            <w:rPr/>
                          </w:pPr>
                          <w:r>
                            <w:rPr>
                              <w:kern w:val="2"/>
                              <w:sz w:val="16"/>
                              <w:szCs w:val="16"/>
                              <w:rFonts w:ascii="Courier" w:hAnsi="Courier" w:eastAsia="Courier" w:cs="Courier"/>
                              <w:color w:val="auto"/>
                              <w:lang w:val="en-US"/>
                            </w:rPr>
                            <w:t>35</w:t>
                          </w:r>
                        </w:p>
                        <w:p>
                          <w:pPr>
                            <w:overflowPunct w:val="false"/>
                            <w:bidi w:val="0"/>
                            <w:spacing w:lineRule="auto" w:line="480"/>
                            <w:jc w:val="end"/>
                            <w:rPr/>
                          </w:pPr>
                          <w:r>
                            <w:rPr>
                              <w:kern w:val="2"/>
                              <w:sz w:val="16"/>
                              <w:szCs w:val="16"/>
                              <w:rFonts w:ascii="Courier" w:hAnsi="Courier" w:eastAsia="Courier" w:cs="Courier"/>
                              <w:color w:val="auto"/>
                              <w:lang w:val="en-US"/>
                            </w:rPr>
                            <w:t>36</w:t>
                          </w:r>
                        </w:p>
                        <w:p>
                          <w:pPr>
                            <w:overflowPunct w:val="false"/>
                            <w:bidi w:val="0"/>
                            <w:spacing w:lineRule="auto" w:line="480"/>
                            <w:jc w:val="end"/>
                            <w:rPr/>
                          </w:pPr>
                          <w:r>
                            <w:rPr>
                              <w:kern w:val="2"/>
                              <w:sz w:val="16"/>
                              <w:szCs w:val="16"/>
                              <w:rFonts w:ascii="Courier" w:hAnsi="Courier" w:eastAsia="Courier" w:cs="Courier"/>
                              <w:color w:val="auto"/>
                              <w:lang w:val="en-US"/>
                            </w:rPr>
                            <w:t>37</w:t>
                          </w:r>
                        </w:p>
                        <w:p>
                          <w:pPr>
                            <w:overflowPunct w:val="false"/>
                            <w:bidi w:val="0"/>
                            <w:spacing w:lineRule="auto" w:line="480"/>
                            <w:jc w:val="end"/>
                            <w:rPr/>
                          </w:pPr>
                          <w:r>
                            <w:rPr>
                              <w:kern w:val="2"/>
                              <w:sz w:val="16"/>
                              <w:szCs w:val="16"/>
                              <w:rFonts w:ascii="Courier" w:hAnsi="Courier" w:eastAsia="Courier" w:cs="Courier"/>
                              <w:color w:val="auto"/>
                              <w:lang w:val="en-US"/>
                            </w:rPr>
                            <w:t>38</w:t>
                          </w:r>
                        </w:p>
                        <w:p>
                          <w:pPr>
                            <w:overflowPunct w:val="false"/>
                            <w:bidi w:val="0"/>
                            <w:spacing w:lineRule="auto" w:line="480"/>
                            <w:jc w:val="end"/>
                            <w:rPr/>
                          </w:pPr>
                          <w:r>
                            <w:rPr>
                              <w:kern w:val="2"/>
                              <w:sz w:val="16"/>
                              <w:szCs w:val="16"/>
                              <w:rFonts w:ascii="Courier" w:hAnsi="Courier" w:eastAsia="Courier" w:cs="Courier"/>
                              <w:color w:val="auto"/>
                              <w:lang w:val="en-US"/>
                            </w:rPr>
                            <w:t>39</w:t>
                          </w:r>
                        </w:p>
                        <w:p>
                          <w:pPr>
                            <w:overflowPunct w:val="false"/>
                            <w:bidi w:val="0"/>
                            <w:spacing w:lineRule="auto" w:line="480"/>
                            <w:jc w:val="end"/>
                            <w:rPr/>
                          </w:pPr>
                          <w:r>
                            <w:rPr>
                              <w:kern w:val="2"/>
                              <w:sz w:val="16"/>
                              <w:szCs w:val="16"/>
                              <w:rFonts w:ascii="Courier" w:hAnsi="Courier" w:eastAsia="Courier" w:cs="Courier"/>
                              <w:color w:val="auto"/>
                              <w:lang w:val="en-US"/>
                            </w:rPr>
                            <w:t>40</w:t>
                          </w:r>
                        </w:p>
                        <w:p>
                          <w:pPr>
                            <w:overflowPunct w:val="false"/>
                            <w:bidi w:val="0"/>
                            <w:spacing w:lineRule="auto" w:line="480"/>
                            <w:jc w:val="end"/>
                            <w:rPr/>
                          </w:pPr>
                          <w:r>
                            <w:rPr>
                              <w:kern w:val="2"/>
                              <w:sz w:val="16"/>
                              <w:szCs w:val="16"/>
                              <w:rFonts w:ascii="Courier" w:hAnsi="Courier" w:eastAsia="Courier" w:cs="Courier"/>
                              <w:color w:val="auto"/>
                              <w:lang w:val="en-US"/>
                            </w:rPr>
                            <w:t>41</w:t>
                          </w:r>
                        </w:p>
                        <w:p>
                          <w:pPr>
                            <w:overflowPunct w:val="false"/>
                            <w:bidi w:val="0"/>
                            <w:spacing w:lineRule="auto" w:line="480"/>
                            <w:jc w:val="end"/>
                            <w:rPr/>
                          </w:pPr>
                          <w:r>
                            <w:rPr>
                              <w:kern w:val="2"/>
                              <w:sz w:val="16"/>
                              <w:szCs w:val="16"/>
                              <w:rFonts w:ascii="Courier" w:hAnsi="Courier" w:eastAsia="Courier" w:cs="Courier"/>
                              <w:color w:val="auto"/>
                              <w:lang w:val="en-US"/>
                            </w:rPr>
                            <w:t>42</w:t>
                          </w:r>
                        </w:p>
                        <w:p>
                          <w:pPr>
                            <w:overflowPunct w:val="false"/>
                            <w:bidi w:val="0"/>
                            <w:spacing w:lineRule="auto" w:line="480"/>
                            <w:jc w:val="end"/>
                            <w:rPr/>
                          </w:pPr>
                          <w:r>
                            <w:rPr>
                              <w:kern w:val="2"/>
                              <w:sz w:val="16"/>
                              <w:szCs w:val="16"/>
                              <w:rFonts w:ascii="Courier" w:hAnsi="Courier" w:eastAsia="Courier" w:cs="Courier"/>
                              <w:color w:val="auto"/>
                              <w:lang w:val="en-US"/>
                            </w:rPr>
                            <w:t>43</w:t>
                          </w:r>
                        </w:p>
                        <w:p>
                          <w:pPr>
                            <w:overflowPunct w:val="false"/>
                            <w:bidi w:val="0"/>
                            <w:spacing w:lineRule="auto" w:line="480"/>
                            <w:jc w:val="end"/>
                            <w:rPr/>
                          </w:pPr>
                          <w:r>
                            <w:rPr>
                              <w:kern w:val="2"/>
                              <w:sz w:val="16"/>
                              <w:szCs w:val="16"/>
                              <w:rFonts w:ascii="Courier" w:hAnsi="Courier" w:eastAsia="Courier" w:cs="Courier"/>
                              <w:color w:val="auto"/>
                              <w:lang w:val="en-US"/>
                            </w:rPr>
                            <w:t>44</w:t>
                          </w:r>
                        </w:p>
                        <w:p>
                          <w:pPr>
                            <w:overflowPunct w:val="false"/>
                            <w:bidi w:val="0"/>
                            <w:spacing w:lineRule="auto" w:line="480"/>
                            <w:jc w:val="end"/>
                            <w:rPr/>
                          </w:pPr>
                          <w:r>
                            <w:rPr>
                              <w:kern w:val="2"/>
                              <w:sz w:val="16"/>
                              <w:szCs w:val="16"/>
                              <w:rFonts w:ascii="Courier" w:hAnsi="Courier" w:eastAsia="Courier" w:cs="Courier"/>
                              <w:color w:val="auto"/>
                              <w:lang w:val="en-US"/>
                            </w:rPr>
                            <w:t>45</w:t>
                          </w:r>
                        </w:p>
                        <w:p>
                          <w:pPr>
                            <w:overflowPunct w:val="false"/>
                            <w:bidi w:val="0"/>
                            <w:spacing w:lineRule="auto" w:line="480"/>
                            <w:jc w:val="end"/>
                            <w:rPr/>
                          </w:pPr>
                          <w:r>
                            <w:rPr>
                              <w:kern w:val="2"/>
                              <w:sz w:val="16"/>
                              <w:szCs w:val="16"/>
                              <w:rFonts w:ascii="Courier" w:hAnsi="Courier" w:eastAsia="Courier" w:cs="Courier"/>
                              <w:color w:val="auto"/>
                              <w:lang w:val="en-US"/>
                            </w:rPr>
                            <w:t>46</w:t>
                          </w:r>
                        </w:p>
                        <w:p>
                          <w:pPr>
                            <w:overflowPunct w:val="false"/>
                            <w:bidi w:val="0"/>
                            <w:spacing w:lineRule="auto" w:line="480"/>
                            <w:jc w:val="end"/>
                            <w:rPr/>
                          </w:pPr>
                          <w:r>
                            <w:rPr>
                              <w:kern w:val="2"/>
                              <w:sz w:val="16"/>
                              <w:szCs w:val="16"/>
                              <w:rFonts w:ascii="Courier" w:hAnsi="Courier" w:eastAsia="Courier" w:cs="Courier"/>
                              <w:color w:val="auto"/>
                              <w:lang w:val="en-US"/>
                            </w:rPr>
                            <w:t>47</w:t>
                          </w:r>
                        </w:p>
                        <w:p>
                          <w:pPr>
                            <w:overflowPunct w:val="false"/>
                            <w:bidi w:val="0"/>
                            <w:spacing w:lineRule="auto" w:line="480"/>
                            <w:jc w:val="end"/>
                            <w:rPr/>
                          </w:pPr>
                          <w:r>
                            <w:rPr>
                              <w:kern w:val="2"/>
                              <w:sz w:val="16"/>
                              <w:szCs w:val="16"/>
                              <w:rFonts w:ascii="Courier" w:hAnsi="Courier" w:eastAsia="Courier" w:cs="Courier"/>
                              <w:color w:val="auto"/>
                              <w:lang w:val="en-US"/>
                            </w:rPr>
                            <w:t>48</w:t>
                          </w:r>
                        </w:p>
                        <w:p>
                          <w:pPr>
                            <w:overflowPunct w:val="false"/>
                            <w:bidi w:val="0"/>
                            <w:spacing w:lineRule="auto" w:line="480"/>
                            <w:jc w:val="end"/>
                            <w:rPr/>
                          </w:pPr>
                          <w:r>
                            <w:rPr>
                              <w:kern w:val="2"/>
                              <w:sz w:val="16"/>
                              <w:szCs w:val="16"/>
                              <w:rFonts w:ascii="Courier" w:hAnsi="Courier" w:eastAsia="Courier" w:cs="Courier"/>
                              <w:color w:val="auto"/>
                              <w:lang w:val="en-US"/>
                            </w:rPr>
                            <w:t>49</w:t>
                          </w:r>
                        </w:p>
                        <w:p>
                          <w:pPr>
                            <w:overflowPunct w:val="false"/>
                            <w:bidi w:val="0"/>
                            <w:spacing w:lineRule="auto" w:line="480"/>
                            <w:jc w:val="end"/>
                            <w:rPr/>
                          </w:pPr>
                          <w:r>
                            <w:rPr>
                              <w:kern w:val="2"/>
                              <w:sz w:val="16"/>
                              <w:szCs w:val="16"/>
                              <w:rFonts w:ascii="Courier" w:hAnsi="Courier" w:eastAsia="Courier" w:cs="Courier"/>
                              <w:color w:val="auto"/>
                              <w:lang w:val="en-US"/>
                            </w:rPr>
                            <w:t>50</w:t>
                          </w:r>
                        </w:p>
                        <w:p>
                          <w:pPr>
                            <w:overflowPunct w:val="false"/>
                            <w:bidi w:val="0"/>
                            <w:spacing w:lineRule="auto" w:line="480"/>
                            <w:jc w:val="end"/>
                            <w:rPr/>
                          </w:pPr>
                          <w:r>
                            <w:rPr>
                              <w:kern w:val="2"/>
                              <w:sz w:val="16"/>
                              <w:szCs w:val="16"/>
                              <w:rFonts w:ascii="Courier" w:hAnsi="Courier" w:eastAsia="Courier" w:cs="Courier"/>
                              <w:color w:val="auto"/>
                              <w:lang w:val="en-US"/>
                            </w:rPr>
                            <w:t>51</w:t>
                          </w:r>
                        </w:p>
                        <w:p>
                          <w:pPr>
                            <w:overflowPunct w:val="false"/>
                            <w:bidi w:val="0"/>
                            <w:spacing w:lineRule="auto" w:line="480"/>
                            <w:jc w:val="end"/>
                            <w:rPr/>
                          </w:pPr>
                          <w:r>
                            <w:rPr>
                              <w:kern w:val="2"/>
                              <w:sz w:val="16"/>
                              <w:szCs w:val="16"/>
                              <w:rFonts w:ascii="Courier" w:hAnsi="Courier" w:eastAsia="Courier" w:cs="Courier"/>
                              <w:color w:val="auto"/>
                              <w:lang w:val="en-US"/>
                            </w:rPr>
                            <w:t>52</w:t>
                          </w:r>
                        </w:p>
                        <w:p>
                          <w:pPr>
                            <w:overflowPunct w:val="false"/>
                            <w:bidi w:val="0"/>
                            <w:spacing w:lineRule="auto" w:line="480"/>
                            <w:jc w:val="end"/>
                            <w:rPr/>
                          </w:pPr>
                          <w:r>
                            <w:rPr>
                              <w:kern w:val="2"/>
                              <w:sz w:val="16"/>
                              <w:szCs w:val="16"/>
                              <w:rFonts w:ascii="Courier" w:hAnsi="Courier" w:eastAsia="Courier" w:cs="Courier"/>
                              <w:color w:val="auto"/>
                              <w:lang w:val="en-US"/>
                            </w:rPr>
                            <w:t>53</w:t>
                          </w:r>
                        </w:p>
                        <w:p>
                          <w:pPr>
                            <w:overflowPunct w:val="false"/>
                            <w:bidi w:val="0"/>
                            <w:spacing w:lineRule="auto" w:line="480"/>
                            <w:jc w:val="end"/>
                            <w:rPr/>
                          </w:pPr>
                          <w:r>
                            <w:rPr>
                              <w:szCs w:val="24"/>
                              <w:kern w:val="2"/>
                              <w:sz w:val="24"/>
                              <w:rFonts w:cs="NotoSans NF" w:eastAsia="Liberation Sans" w:ascii="Liberation Serif" w:hAnsi="Liberation Serif"/>
                              <w:lang w:val="en-CA"/>
                            </w:rPr>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50.4pt;margin-top:0pt;width:35.95pt;height:1211.5pt;mso-wrap-style:square;v-text-anchor:top;mso-position-horizontal-relative:margin;mso-position-vertical-relative:margin" type="_x0000_t202">
              <v:textbox>
                <w:txbxContent>
                  <w:p>
                    <w:pPr>
                      <w:overflowPunct w:val="false"/>
                      <w:bidi w:val="0"/>
                      <w:spacing w:lineRule="auto" w:line="360"/>
                      <w:jc w:val="end"/>
                      <w:rPr/>
                    </w:pPr>
                    <w:r>
                      <w:rPr>
                        <w:kern w:val="2"/>
                        <w:sz w:val="24"/>
                        <w:szCs w:val="24"/>
                        <w:rFonts w:ascii="Book Antiqua" w:hAnsi="Book Antiqua" w:eastAsia="Book Antiqua" w:cs="Book Antiqua"/>
                        <w:color w:val="auto"/>
                        <w:lang w:val="en-US"/>
                      </w:rPr>
                      <w:t>1</w:t>
                    </w:r>
                  </w:p>
                  <w:p>
                    <w:pPr>
                      <w:overflowPunct w:val="false"/>
                      <w:bidi w:val="0"/>
                      <w:spacing w:lineRule="auto" w:line="360"/>
                      <w:jc w:val="end"/>
                      <w:rPr/>
                    </w:pPr>
                    <w:r>
                      <w:rPr>
                        <w:kern w:val="2"/>
                        <w:sz w:val="24"/>
                        <w:szCs w:val="24"/>
                        <w:rFonts w:ascii="Book Antiqua" w:hAnsi="Book Antiqua" w:eastAsia="Book Antiqua" w:cs="Book Antiqua"/>
                        <w:color w:val="auto"/>
                        <w:lang w:val="en-US"/>
                      </w:rPr>
                      <w:t>2</w:t>
                    </w:r>
                  </w:p>
                  <w:p>
                    <w:pPr>
                      <w:overflowPunct w:val="false"/>
                      <w:bidi w:val="0"/>
                      <w:spacing w:lineRule="auto" w:line="360"/>
                      <w:jc w:val="end"/>
                      <w:rPr/>
                    </w:pPr>
                    <w:r>
                      <w:rPr>
                        <w:kern w:val="2"/>
                        <w:sz w:val="24"/>
                        <w:szCs w:val="24"/>
                        <w:rFonts w:ascii="Book Antiqua" w:hAnsi="Book Antiqua" w:eastAsia="Book Antiqua" w:cs="Book Antiqua"/>
                        <w:color w:val="auto"/>
                        <w:lang w:val="en-US"/>
                      </w:rPr>
                      <w:t>3</w:t>
                    </w:r>
                  </w:p>
                  <w:p>
                    <w:pPr>
                      <w:overflowPunct w:val="false"/>
                      <w:bidi w:val="0"/>
                      <w:spacing w:lineRule="auto" w:line="360"/>
                      <w:jc w:val="end"/>
                      <w:rPr/>
                    </w:pPr>
                    <w:r>
                      <w:rPr>
                        <w:kern w:val="2"/>
                        <w:sz w:val="24"/>
                        <w:szCs w:val="24"/>
                        <w:rFonts w:ascii="Book Antiqua" w:hAnsi="Book Antiqua" w:eastAsia="Book Antiqua" w:cs="Book Antiqua"/>
                        <w:color w:val="auto"/>
                        <w:lang w:val="en-US"/>
                      </w:rPr>
                      <w:t>4</w:t>
                    </w:r>
                  </w:p>
                  <w:p>
                    <w:pPr>
                      <w:overflowPunct w:val="false"/>
                      <w:bidi w:val="0"/>
                      <w:spacing w:lineRule="auto" w:line="360"/>
                      <w:jc w:val="end"/>
                      <w:rPr/>
                    </w:pPr>
                    <w:r>
                      <w:rPr>
                        <w:kern w:val="2"/>
                        <w:sz w:val="24"/>
                        <w:szCs w:val="24"/>
                        <w:rFonts w:ascii="Book Antiqua" w:hAnsi="Book Antiqua" w:eastAsia="Book Antiqua" w:cs="Book Antiqua"/>
                        <w:color w:val="auto"/>
                        <w:lang w:val="en-US"/>
                      </w:rPr>
                      <w:t>5</w:t>
                    </w:r>
                  </w:p>
                  <w:p>
                    <w:pPr>
                      <w:overflowPunct w:val="false"/>
                      <w:bidi w:val="0"/>
                      <w:spacing w:lineRule="auto" w:line="360"/>
                      <w:jc w:val="end"/>
                      <w:rPr/>
                    </w:pPr>
                    <w:r>
                      <w:rPr>
                        <w:kern w:val="2"/>
                        <w:sz w:val="24"/>
                        <w:szCs w:val="24"/>
                        <w:rFonts w:ascii="Book Antiqua" w:hAnsi="Book Antiqua" w:eastAsia="Book Antiqua" w:cs="Book Antiqua"/>
                        <w:color w:val="auto"/>
                        <w:lang w:val="en-US"/>
                      </w:rPr>
                      <w:t>6</w:t>
                    </w:r>
                  </w:p>
                  <w:p>
                    <w:pPr>
                      <w:overflowPunct w:val="false"/>
                      <w:bidi w:val="0"/>
                      <w:spacing w:lineRule="auto" w:line="360"/>
                      <w:jc w:val="end"/>
                      <w:rPr/>
                    </w:pPr>
                    <w:r>
                      <w:rPr>
                        <w:kern w:val="2"/>
                        <w:sz w:val="24"/>
                        <w:szCs w:val="24"/>
                        <w:rFonts w:ascii="Book Antiqua" w:hAnsi="Book Antiqua" w:eastAsia="Book Antiqua" w:cs="Book Antiqua"/>
                        <w:color w:val="auto"/>
                        <w:lang w:val="en-US"/>
                      </w:rPr>
                      <w:t>7</w:t>
                    </w:r>
                  </w:p>
                  <w:p>
                    <w:pPr>
                      <w:overflowPunct w:val="false"/>
                      <w:bidi w:val="0"/>
                      <w:spacing w:lineRule="auto" w:line="360"/>
                      <w:jc w:val="end"/>
                      <w:rPr/>
                    </w:pPr>
                    <w:r>
                      <w:rPr>
                        <w:kern w:val="2"/>
                        <w:sz w:val="24"/>
                        <w:szCs w:val="24"/>
                        <w:rFonts w:ascii="Book Antiqua" w:hAnsi="Book Antiqua" w:eastAsia="Book Antiqua" w:cs="Book Antiqua"/>
                        <w:color w:val="auto"/>
                        <w:lang w:val="en-US"/>
                      </w:rPr>
                      <w:t>8</w:t>
                    </w:r>
                  </w:p>
                  <w:p>
                    <w:pPr>
                      <w:overflowPunct w:val="false"/>
                      <w:bidi w:val="0"/>
                      <w:spacing w:lineRule="auto" w:line="360"/>
                      <w:jc w:val="end"/>
                      <w:rPr/>
                    </w:pPr>
                    <w:r>
                      <w:rPr>
                        <w:kern w:val="2"/>
                        <w:sz w:val="24"/>
                        <w:szCs w:val="24"/>
                        <w:rFonts w:ascii="Book Antiqua" w:hAnsi="Book Antiqua" w:eastAsia="Book Antiqua" w:cs="Book Antiqua"/>
                        <w:color w:val="auto"/>
                        <w:lang w:val="en-US"/>
                      </w:rPr>
                      <w:t>9</w:t>
                    </w:r>
                  </w:p>
                  <w:p>
                    <w:pPr>
                      <w:overflowPunct w:val="false"/>
                      <w:bidi w:val="0"/>
                      <w:spacing w:lineRule="auto" w:line="360"/>
                      <w:jc w:val="end"/>
                      <w:rPr/>
                    </w:pPr>
                    <w:r>
                      <w:rPr>
                        <w:kern w:val="2"/>
                        <w:sz w:val="24"/>
                        <w:szCs w:val="24"/>
                        <w:rFonts w:ascii="Book Antiqua" w:hAnsi="Book Antiqua" w:eastAsia="Book Antiqua" w:cs="Book Antiqua"/>
                        <w:color w:val="auto"/>
                        <w:lang w:val="en-US"/>
                      </w:rPr>
                      <w:t>10</w:t>
                    </w:r>
                  </w:p>
                  <w:p>
                    <w:pPr>
                      <w:overflowPunct w:val="false"/>
                      <w:bidi w:val="0"/>
                      <w:spacing w:lineRule="auto" w:line="360"/>
                      <w:jc w:val="end"/>
                      <w:rPr/>
                    </w:pPr>
                    <w:r>
                      <w:rPr>
                        <w:kern w:val="2"/>
                        <w:sz w:val="24"/>
                        <w:szCs w:val="24"/>
                        <w:rFonts w:ascii="Book Antiqua" w:hAnsi="Book Antiqua" w:eastAsia="Book Antiqua" w:cs="Book Antiqua"/>
                        <w:color w:val="auto"/>
                        <w:lang w:val="en-US"/>
                      </w:rPr>
                      <w:t>11</w:t>
                    </w:r>
                  </w:p>
                  <w:p>
                    <w:pPr>
                      <w:overflowPunct w:val="false"/>
                      <w:bidi w:val="0"/>
                      <w:spacing w:lineRule="auto" w:line="360"/>
                      <w:jc w:val="end"/>
                      <w:rPr/>
                    </w:pPr>
                    <w:r>
                      <w:rPr>
                        <w:kern w:val="2"/>
                        <w:sz w:val="24"/>
                        <w:szCs w:val="24"/>
                        <w:rFonts w:ascii="Book Antiqua" w:hAnsi="Book Antiqua" w:eastAsia="Book Antiqua" w:cs="Book Antiqua"/>
                        <w:color w:val="auto"/>
                        <w:lang w:val="en-US"/>
                      </w:rPr>
                      <w:t>12</w:t>
                    </w:r>
                  </w:p>
                  <w:p>
                    <w:pPr>
                      <w:overflowPunct w:val="false"/>
                      <w:bidi w:val="0"/>
                      <w:spacing w:lineRule="auto" w:line="360"/>
                      <w:jc w:val="end"/>
                      <w:rPr/>
                    </w:pPr>
                    <w:r>
                      <w:rPr>
                        <w:kern w:val="2"/>
                        <w:sz w:val="24"/>
                        <w:szCs w:val="24"/>
                        <w:rFonts w:ascii="Book Antiqua" w:hAnsi="Book Antiqua" w:eastAsia="Book Antiqua" w:cs="Book Antiqua"/>
                        <w:color w:val="auto"/>
                        <w:lang w:val="en-US"/>
                      </w:rPr>
                      <w:t>13</w:t>
                    </w:r>
                  </w:p>
                  <w:p>
                    <w:pPr>
                      <w:overflowPunct w:val="false"/>
                      <w:bidi w:val="0"/>
                      <w:spacing w:lineRule="auto" w:line="360"/>
                      <w:jc w:val="end"/>
                      <w:rPr/>
                    </w:pPr>
                    <w:r>
                      <w:rPr>
                        <w:kern w:val="2"/>
                        <w:sz w:val="24"/>
                        <w:szCs w:val="24"/>
                        <w:rFonts w:ascii="Book Antiqua" w:hAnsi="Book Antiqua" w:eastAsia="Book Antiqua" w:cs="Book Antiqua"/>
                        <w:color w:val="auto"/>
                        <w:lang w:val="en-US"/>
                      </w:rPr>
                      <w:t>14</w:t>
                    </w:r>
                  </w:p>
                  <w:p>
                    <w:pPr>
                      <w:overflowPunct w:val="false"/>
                      <w:bidi w:val="0"/>
                      <w:spacing w:lineRule="auto" w:line="360"/>
                      <w:jc w:val="end"/>
                      <w:rPr/>
                    </w:pPr>
                    <w:r>
                      <w:rPr>
                        <w:kern w:val="2"/>
                        <w:sz w:val="24"/>
                        <w:szCs w:val="24"/>
                        <w:rFonts w:ascii="Book Antiqua" w:hAnsi="Book Antiqua" w:eastAsia="Book Antiqua" w:cs="Book Antiqua"/>
                        <w:color w:val="auto"/>
                        <w:lang w:val="en-US"/>
                      </w:rPr>
                      <w:t>15</w:t>
                    </w:r>
                  </w:p>
                  <w:p>
                    <w:pPr>
                      <w:overflowPunct w:val="false"/>
                      <w:bidi w:val="0"/>
                      <w:spacing w:lineRule="auto" w:line="360"/>
                      <w:jc w:val="end"/>
                      <w:rPr/>
                    </w:pPr>
                    <w:r>
                      <w:rPr>
                        <w:kern w:val="2"/>
                        <w:sz w:val="24"/>
                        <w:szCs w:val="24"/>
                        <w:rFonts w:ascii="Book Antiqua" w:hAnsi="Book Antiqua" w:eastAsia="Book Antiqua" w:cs="Book Antiqua"/>
                        <w:color w:val="auto"/>
                        <w:lang w:val="en-US"/>
                      </w:rPr>
                      <w:t>16</w:t>
                    </w:r>
                  </w:p>
                  <w:p>
                    <w:pPr>
                      <w:overflowPunct w:val="false"/>
                      <w:bidi w:val="0"/>
                      <w:spacing w:lineRule="auto" w:line="360"/>
                      <w:jc w:val="end"/>
                      <w:rPr/>
                    </w:pPr>
                    <w:r>
                      <w:rPr>
                        <w:kern w:val="2"/>
                        <w:sz w:val="24"/>
                        <w:szCs w:val="24"/>
                        <w:rFonts w:ascii="Book Antiqua" w:hAnsi="Book Antiqua" w:eastAsia="Book Antiqua" w:cs="Book Antiqua"/>
                        <w:color w:val="auto"/>
                        <w:lang w:val="en-US"/>
                      </w:rPr>
                      <w:t>17</w:t>
                    </w:r>
                  </w:p>
                  <w:p>
                    <w:pPr>
                      <w:overflowPunct w:val="false"/>
                      <w:bidi w:val="0"/>
                      <w:spacing w:lineRule="auto" w:line="360"/>
                      <w:jc w:val="end"/>
                      <w:rPr/>
                    </w:pPr>
                    <w:r>
                      <w:rPr>
                        <w:kern w:val="2"/>
                        <w:sz w:val="24"/>
                        <w:szCs w:val="24"/>
                        <w:rFonts w:ascii="Book Antiqua" w:hAnsi="Book Antiqua" w:eastAsia="Book Antiqua" w:cs="Book Antiqua"/>
                        <w:color w:val="auto"/>
                        <w:lang w:val="en-US"/>
                      </w:rPr>
                      <w:t>18</w:t>
                    </w:r>
                  </w:p>
                  <w:p>
                    <w:pPr>
                      <w:overflowPunct w:val="false"/>
                      <w:bidi w:val="0"/>
                      <w:spacing w:lineRule="auto" w:line="360"/>
                      <w:jc w:val="end"/>
                      <w:rPr/>
                    </w:pPr>
                    <w:r>
                      <w:rPr>
                        <w:kern w:val="2"/>
                        <w:sz w:val="24"/>
                        <w:szCs w:val="24"/>
                        <w:rFonts w:ascii="Book Antiqua" w:hAnsi="Book Antiqua" w:eastAsia="Book Antiqua" w:cs="Book Antiqua"/>
                        <w:color w:val="auto"/>
                        <w:lang w:val="en-US"/>
                      </w:rPr>
                      <w:t>19</w:t>
                    </w:r>
                  </w:p>
                  <w:p>
                    <w:pPr>
                      <w:overflowPunct w:val="false"/>
                      <w:bidi w:val="0"/>
                      <w:spacing w:lineRule="auto" w:line="360"/>
                      <w:jc w:val="end"/>
                      <w:rPr/>
                    </w:pPr>
                    <w:r>
                      <w:rPr>
                        <w:kern w:val="2"/>
                        <w:sz w:val="24"/>
                        <w:szCs w:val="24"/>
                        <w:rFonts w:ascii="Book Antiqua" w:hAnsi="Book Antiqua" w:eastAsia="Book Antiqua" w:cs="Book Antiqua"/>
                        <w:color w:val="auto"/>
                        <w:lang w:val="en-US"/>
                      </w:rPr>
                      <w:t>20</w:t>
                    </w:r>
                  </w:p>
                  <w:p>
                    <w:pPr>
                      <w:overflowPunct w:val="false"/>
                      <w:bidi w:val="0"/>
                      <w:spacing w:lineRule="auto" w:line="360"/>
                      <w:jc w:val="end"/>
                      <w:rPr/>
                    </w:pPr>
                    <w:r>
                      <w:rPr>
                        <w:kern w:val="2"/>
                        <w:sz w:val="24"/>
                        <w:szCs w:val="24"/>
                        <w:rFonts w:ascii="Book Antiqua" w:hAnsi="Book Antiqua" w:eastAsia="Book Antiqua" w:cs="Book Antiqua"/>
                        <w:color w:val="auto"/>
                        <w:lang w:val="en-US"/>
                      </w:rPr>
                      <w:t>21</w:t>
                    </w:r>
                  </w:p>
                  <w:p>
                    <w:pPr>
                      <w:overflowPunct w:val="false"/>
                      <w:bidi w:val="0"/>
                      <w:spacing w:lineRule="auto" w:line="360"/>
                      <w:jc w:val="end"/>
                      <w:rPr/>
                    </w:pPr>
                    <w:r>
                      <w:rPr>
                        <w:kern w:val="2"/>
                        <w:sz w:val="24"/>
                        <w:szCs w:val="24"/>
                        <w:rFonts w:ascii="Book Antiqua" w:hAnsi="Book Antiqua" w:eastAsia="Book Antiqua" w:cs="Book Antiqua"/>
                        <w:color w:val="auto"/>
                        <w:lang w:val="en-US"/>
                      </w:rPr>
                      <w:t>22</w:t>
                    </w:r>
                  </w:p>
                  <w:p>
                    <w:pPr>
                      <w:overflowPunct w:val="false"/>
                      <w:bidi w:val="0"/>
                      <w:spacing w:lineRule="auto" w:line="480"/>
                      <w:jc w:val="end"/>
                      <w:rPr/>
                    </w:pPr>
                    <w:r>
                      <w:rPr>
                        <w:kern w:val="2"/>
                        <w:sz w:val="24"/>
                        <w:szCs w:val="24"/>
                        <w:rFonts w:ascii="Book Antiqua" w:hAnsi="Book Antiqua" w:eastAsia="Book Antiqua" w:cs="Book Antiqua"/>
                        <w:color w:val="auto"/>
                        <w:lang w:val="en-US"/>
                      </w:rPr>
                      <w:t>23</w:t>
                    </w:r>
                  </w:p>
                  <w:p>
                    <w:pPr>
                      <w:overflowPunct w:val="false"/>
                      <w:bidi w:val="0"/>
                      <w:spacing w:lineRule="auto" w:line="480"/>
                      <w:jc w:val="end"/>
                      <w:rPr/>
                    </w:pPr>
                    <w:r>
                      <w:rPr>
                        <w:kern w:val="2"/>
                        <w:sz w:val="24"/>
                        <w:szCs w:val="24"/>
                        <w:rFonts w:ascii="Book Antiqua" w:hAnsi="Book Antiqua" w:eastAsia="Book Antiqua" w:cs="Book Antiqua"/>
                        <w:color w:val="auto"/>
                        <w:lang w:val="en-US"/>
                      </w:rPr>
                      <w:t>24</w:t>
                    </w:r>
                  </w:p>
                  <w:p>
                    <w:pPr>
                      <w:overflowPunct w:val="false"/>
                      <w:bidi w:val="0"/>
                      <w:spacing w:lineRule="auto" w:line="480"/>
                      <w:jc w:val="end"/>
                      <w:rPr/>
                    </w:pPr>
                    <w:r>
                      <w:rPr>
                        <w:kern w:val="2"/>
                        <w:sz w:val="24"/>
                        <w:szCs w:val="24"/>
                        <w:rFonts w:ascii="Book Antiqua" w:hAnsi="Book Antiqua" w:eastAsia="Book Antiqua" w:cs="Book Antiqua"/>
                        <w:color w:val="auto"/>
                        <w:lang w:val="en-US"/>
                      </w:rPr>
                      <w:t>25</w:t>
                    </w:r>
                  </w:p>
                  <w:p>
                    <w:pPr>
                      <w:overflowPunct w:val="false"/>
                      <w:bidi w:val="0"/>
                      <w:spacing w:lineRule="auto" w:line="480"/>
                      <w:jc w:val="end"/>
                      <w:rPr/>
                    </w:pPr>
                    <w:r>
                      <w:rPr>
                        <w:kern w:val="2"/>
                        <w:sz w:val="24"/>
                        <w:szCs w:val="24"/>
                        <w:rFonts w:ascii="Book Antiqua" w:hAnsi="Book Antiqua" w:eastAsia="Book Antiqua" w:cs="Book Antiqua"/>
                        <w:color w:val="auto"/>
                        <w:lang w:val="en-US"/>
                      </w:rPr>
                      <w:t>26</w:t>
                    </w:r>
                  </w:p>
                  <w:p>
                    <w:pPr>
                      <w:overflowPunct w:val="false"/>
                      <w:bidi w:val="0"/>
                      <w:spacing w:lineRule="auto" w:line="480"/>
                      <w:jc w:val="end"/>
                      <w:rPr/>
                    </w:pPr>
                    <w:r>
                      <w:rPr>
                        <w:kern w:val="2"/>
                        <w:sz w:val="24"/>
                        <w:szCs w:val="24"/>
                        <w:rFonts w:ascii="Book Antiqua" w:hAnsi="Book Antiqua" w:eastAsia="Book Antiqua" w:cs="Book Antiqua"/>
                        <w:color w:val="auto"/>
                        <w:lang w:val="en-US"/>
                      </w:rPr>
                      <w:t>27</w:t>
                    </w:r>
                  </w:p>
                  <w:p>
                    <w:pPr>
                      <w:overflowPunct w:val="false"/>
                      <w:bidi w:val="0"/>
                      <w:spacing w:lineRule="auto" w:line="480"/>
                      <w:jc w:val="end"/>
                      <w:rPr/>
                    </w:pPr>
                    <w:r>
                      <w:rPr>
                        <w:kern w:val="2"/>
                        <w:sz w:val="24"/>
                        <w:szCs w:val="24"/>
                        <w:rFonts w:ascii="Book Antiqua" w:hAnsi="Book Antiqua" w:eastAsia="Book Antiqua" w:cs="Book Antiqua"/>
                        <w:color w:val="auto"/>
                        <w:lang w:val="en-US"/>
                      </w:rPr>
                      <w:t>28</w:t>
                    </w:r>
                    <w:r>
                      <w:rPr>
                        <w:kern w:val="2"/>
                        <w:sz w:val="24"/>
                        <w:szCs w:val="24"/>
                        <w:rFonts w:ascii="Book Antiqua" w:hAnsi="Book Antiqua" w:eastAsia="Book Antiqua" w:cs="Book Antiqua"/>
                        <w:color w:val="auto"/>
                        <w:lang w:val="en-US"/>
                      </w:rPr>
                    </w:r>
                    <w:r>
                      <w:rPr>
                        <w:kern w:val="2"/>
                        <w:sz w:val="24"/>
                        <w:szCs w:val="24"/>
                        <w:rFonts w:ascii="Book Antiqua" w:hAnsi="Book Antiqua" w:eastAsia="Book Antiqua" w:cs="Book Antiqua"/>
                        <w:color w:val="auto"/>
                        <w:lang w:val="en-US"/>
                      </w:rPr>
                      <w:t>82828</w:t>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szCs w:val="24"/>
                        <w:kern w:val="2"/>
                        <w:sz w:val="24"/>
                        <w:rFonts w:cs="NotoSans NF" w:eastAsia="Liberation Sans" w:ascii="Liberation Serif" w:hAnsi="Liberation Serif"/>
                        <w:lang w:val="en-CA"/>
                      </w:rPr>
                    </w:r>
                  </w:p>
                  <w:p>
                    <w:pPr>
                      <w:overflowPunct w:val="false"/>
                      <w:bidi w:val="0"/>
                      <w:spacing w:lineRule="auto" w:line="480"/>
                      <w:jc w:val="end"/>
                      <w:rPr/>
                    </w:pPr>
                    <w:r>
                      <w:rPr>
                        <w:kern w:val="2"/>
                        <w:sz w:val="24"/>
                        <w:szCs w:val="24"/>
                        <w:rFonts w:ascii="Book Antiqua" w:hAnsi="Book Antiqua" w:eastAsia="Book Antiqua" w:cs="Book Antiqua"/>
                        <w:color w:val="auto"/>
                        <w:lang w:val="en-US"/>
                      </w:rPr>
                      <w:t>2</w:t>
                    </w:r>
                    <w:r>
                      <w:rPr>
                        <w:kern w:val="2"/>
                        <w:sz w:val="20"/>
                        <w:szCs w:val="20"/>
                        <w:rFonts w:ascii="Book Antiqua" w:hAnsi="Book Antiqua" w:eastAsia="Book Antiqua" w:cs="Book Antiqua"/>
                        <w:color w:val="auto"/>
                        <w:lang w:val="en-US"/>
                      </w:rPr>
                      <w:t>9</w:t>
                    </w:r>
                  </w:p>
                  <w:p>
                    <w:pPr>
                      <w:overflowPunct w:val="false"/>
                      <w:bidi w:val="0"/>
                      <w:spacing w:lineRule="auto" w:line="480"/>
                      <w:jc w:val="end"/>
                      <w:rPr/>
                    </w:pPr>
                    <w:r>
                      <w:rPr>
                        <w:kern w:val="2"/>
                        <w:sz w:val="16"/>
                        <w:szCs w:val="16"/>
                        <w:rFonts w:ascii="Courier" w:hAnsi="Courier" w:eastAsia="Courier" w:cs="Courier"/>
                        <w:color w:val="auto"/>
                        <w:lang w:val="en-US"/>
                      </w:rPr>
                      <w:t>30</w:t>
                    </w:r>
                  </w:p>
                  <w:p>
                    <w:pPr>
                      <w:overflowPunct w:val="false"/>
                      <w:bidi w:val="0"/>
                      <w:spacing w:lineRule="auto" w:line="480"/>
                      <w:jc w:val="end"/>
                      <w:rPr/>
                    </w:pPr>
                    <w:r>
                      <w:rPr>
                        <w:kern w:val="2"/>
                        <w:sz w:val="16"/>
                        <w:szCs w:val="16"/>
                        <w:rFonts w:ascii="Courier" w:hAnsi="Courier" w:eastAsia="Courier" w:cs="Courier"/>
                        <w:color w:val="auto"/>
                        <w:lang w:val="en-US"/>
                      </w:rPr>
                      <w:t>31</w:t>
                    </w:r>
                  </w:p>
                  <w:p>
                    <w:pPr>
                      <w:overflowPunct w:val="false"/>
                      <w:bidi w:val="0"/>
                      <w:spacing w:lineRule="auto" w:line="480"/>
                      <w:jc w:val="end"/>
                      <w:rPr/>
                    </w:pPr>
                    <w:r>
                      <w:rPr>
                        <w:kern w:val="2"/>
                        <w:sz w:val="16"/>
                        <w:szCs w:val="16"/>
                        <w:rFonts w:ascii="Courier" w:hAnsi="Courier" w:eastAsia="Courier" w:cs="Courier"/>
                        <w:color w:val="auto"/>
                        <w:lang w:val="en-US"/>
                      </w:rPr>
                      <w:t>32</w:t>
                    </w:r>
                  </w:p>
                  <w:p>
                    <w:pPr>
                      <w:overflowPunct w:val="false"/>
                      <w:bidi w:val="0"/>
                      <w:spacing w:lineRule="auto" w:line="480"/>
                      <w:jc w:val="end"/>
                      <w:rPr/>
                    </w:pPr>
                    <w:r>
                      <w:rPr>
                        <w:kern w:val="2"/>
                        <w:sz w:val="16"/>
                        <w:szCs w:val="16"/>
                        <w:rFonts w:ascii="Courier" w:hAnsi="Courier" w:eastAsia="Courier" w:cs="Courier"/>
                        <w:color w:val="auto"/>
                        <w:lang w:val="en-US"/>
                      </w:rPr>
                      <w:t>33</w:t>
                    </w:r>
                  </w:p>
                  <w:p>
                    <w:pPr>
                      <w:overflowPunct w:val="false"/>
                      <w:bidi w:val="0"/>
                      <w:spacing w:lineRule="auto" w:line="480"/>
                      <w:jc w:val="end"/>
                      <w:rPr/>
                    </w:pPr>
                    <w:r>
                      <w:rPr>
                        <w:kern w:val="2"/>
                        <w:sz w:val="16"/>
                        <w:szCs w:val="16"/>
                        <w:rFonts w:ascii="Courier" w:hAnsi="Courier" w:eastAsia="Courier" w:cs="Courier"/>
                        <w:color w:val="auto"/>
                        <w:lang w:val="en-US"/>
                      </w:rPr>
                      <w:t>34</w:t>
                    </w:r>
                  </w:p>
                  <w:p>
                    <w:pPr>
                      <w:overflowPunct w:val="false"/>
                      <w:bidi w:val="0"/>
                      <w:spacing w:lineRule="auto" w:line="480"/>
                      <w:jc w:val="end"/>
                      <w:rPr/>
                    </w:pPr>
                    <w:r>
                      <w:rPr>
                        <w:kern w:val="2"/>
                        <w:sz w:val="16"/>
                        <w:szCs w:val="16"/>
                        <w:rFonts w:ascii="Courier" w:hAnsi="Courier" w:eastAsia="Courier" w:cs="Courier"/>
                        <w:color w:val="auto"/>
                        <w:lang w:val="en-US"/>
                      </w:rPr>
                      <w:t>35</w:t>
                    </w:r>
                  </w:p>
                  <w:p>
                    <w:pPr>
                      <w:overflowPunct w:val="false"/>
                      <w:bidi w:val="0"/>
                      <w:spacing w:lineRule="auto" w:line="480"/>
                      <w:jc w:val="end"/>
                      <w:rPr/>
                    </w:pPr>
                    <w:r>
                      <w:rPr>
                        <w:kern w:val="2"/>
                        <w:sz w:val="16"/>
                        <w:szCs w:val="16"/>
                        <w:rFonts w:ascii="Courier" w:hAnsi="Courier" w:eastAsia="Courier" w:cs="Courier"/>
                        <w:color w:val="auto"/>
                        <w:lang w:val="en-US"/>
                      </w:rPr>
                      <w:t>36</w:t>
                    </w:r>
                  </w:p>
                  <w:p>
                    <w:pPr>
                      <w:overflowPunct w:val="false"/>
                      <w:bidi w:val="0"/>
                      <w:spacing w:lineRule="auto" w:line="480"/>
                      <w:jc w:val="end"/>
                      <w:rPr/>
                    </w:pPr>
                    <w:r>
                      <w:rPr>
                        <w:kern w:val="2"/>
                        <w:sz w:val="16"/>
                        <w:szCs w:val="16"/>
                        <w:rFonts w:ascii="Courier" w:hAnsi="Courier" w:eastAsia="Courier" w:cs="Courier"/>
                        <w:color w:val="auto"/>
                        <w:lang w:val="en-US"/>
                      </w:rPr>
                      <w:t>37</w:t>
                    </w:r>
                  </w:p>
                  <w:p>
                    <w:pPr>
                      <w:overflowPunct w:val="false"/>
                      <w:bidi w:val="0"/>
                      <w:spacing w:lineRule="auto" w:line="480"/>
                      <w:jc w:val="end"/>
                      <w:rPr/>
                    </w:pPr>
                    <w:r>
                      <w:rPr>
                        <w:kern w:val="2"/>
                        <w:sz w:val="16"/>
                        <w:szCs w:val="16"/>
                        <w:rFonts w:ascii="Courier" w:hAnsi="Courier" w:eastAsia="Courier" w:cs="Courier"/>
                        <w:color w:val="auto"/>
                        <w:lang w:val="en-US"/>
                      </w:rPr>
                      <w:t>38</w:t>
                    </w:r>
                  </w:p>
                  <w:p>
                    <w:pPr>
                      <w:overflowPunct w:val="false"/>
                      <w:bidi w:val="0"/>
                      <w:spacing w:lineRule="auto" w:line="480"/>
                      <w:jc w:val="end"/>
                      <w:rPr/>
                    </w:pPr>
                    <w:r>
                      <w:rPr>
                        <w:kern w:val="2"/>
                        <w:sz w:val="16"/>
                        <w:szCs w:val="16"/>
                        <w:rFonts w:ascii="Courier" w:hAnsi="Courier" w:eastAsia="Courier" w:cs="Courier"/>
                        <w:color w:val="auto"/>
                        <w:lang w:val="en-US"/>
                      </w:rPr>
                      <w:t>39</w:t>
                    </w:r>
                  </w:p>
                  <w:p>
                    <w:pPr>
                      <w:overflowPunct w:val="false"/>
                      <w:bidi w:val="0"/>
                      <w:spacing w:lineRule="auto" w:line="480"/>
                      <w:jc w:val="end"/>
                      <w:rPr/>
                    </w:pPr>
                    <w:r>
                      <w:rPr>
                        <w:kern w:val="2"/>
                        <w:sz w:val="16"/>
                        <w:szCs w:val="16"/>
                        <w:rFonts w:ascii="Courier" w:hAnsi="Courier" w:eastAsia="Courier" w:cs="Courier"/>
                        <w:color w:val="auto"/>
                        <w:lang w:val="en-US"/>
                      </w:rPr>
                      <w:t>40</w:t>
                    </w:r>
                  </w:p>
                  <w:p>
                    <w:pPr>
                      <w:overflowPunct w:val="false"/>
                      <w:bidi w:val="0"/>
                      <w:spacing w:lineRule="auto" w:line="480"/>
                      <w:jc w:val="end"/>
                      <w:rPr/>
                    </w:pPr>
                    <w:r>
                      <w:rPr>
                        <w:kern w:val="2"/>
                        <w:sz w:val="16"/>
                        <w:szCs w:val="16"/>
                        <w:rFonts w:ascii="Courier" w:hAnsi="Courier" w:eastAsia="Courier" w:cs="Courier"/>
                        <w:color w:val="auto"/>
                        <w:lang w:val="en-US"/>
                      </w:rPr>
                      <w:t>41</w:t>
                    </w:r>
                  </w:p>
                  <w:p>
                    <w:pPr>
                      <w:overflowPunct w:val="false"/>
                      <w:bidi w:val="0"/>
                      <w:spacing w:lineRule="auto" w:line="480"/>
                      <w:jc w:val="end"/>
                      <w:rPr/>
                    </w:pPr>
                    <w:r>
                      <w:rPr>
                        <w:kern w:val="2"/>
                        <w:sz w:val="16"/>
                        <w:szCs w:val="16"/>
                        <w:rFonts w:ascii="Courier" w:hAnsi="Courier" w:eastAsia="Courier" w:cs="Courier"/>
                        <w:color w:val="auto"/>
                        <w:lang w:val="en-US"/>
                      </w:rPr>
                      <w:t>42</w:t>
                    </w:r>
                  </w:p>
                  <w:p>
                    <w:pPr>
                      <w:overflowPunct w:val="false"/>
                      <w:bidi w:val="0"/>
                      <w:spacing w:lineRule="auto" w:line="480"/>
                      <w:jc w:val="end"/>
                      <w:rPr/>
                    </w:pPr>
                    <w:r>
                      <w:rPr>
                        <w:kern w:val="2"/>
                        <w:sz w:val="16"/>
                        <w:szCs w:val="16"/>
                        <w:rFonts w:ascii="Courier" w:hAnsi="Courier" w:eastAsia="Courier" w:cs="Courier"/>
                        <w:color w:val="auto"/>
                        <w:lang w:val="en-US"/>
                      </w:rPr>
                      <w:t>43</w:t>
                    </w:r>
                  </w:p>
                  <w:p>
                    <w:pPr>
                      <w:overflowPunct w:val="false"/>
                      <w:bidi w:val="0"/>
                      <w:spacing w:lineRule="auto" w:line="480"/>
                      <w:jc w:val="end"/>
                      <w:rPr/>
                    </w:pPr>
                    <w:r>
                      <w:rPr>
                        <w:kern w:val="2"/>
                        <w:sz w:val="16"/>
                        <w:szCs w:val="16"/>
                        <w:rFonts w:ascii="Courier" w:hAnsi="Courier" w:eastAsia="Courier" w:cs="Courier"/>
                        <w:color w:val="auto"/>
                        <w:lang w:val="en-US"/>
                      </w:rPr>
                      <w:t>44</w:t>
                    </w:r>
                  </w:p>
                  <w:p>
                    <w:pPr>
                      <w:overflowPunct w:val="false"/>
                      <w:bidi w:val="0"/>
                      <w:spacing w:lineRule="auto" w:line="480"/>
                      <w:jc w:val="end"/>
                      <w:rPr/>
                    </w:pPr>
                    <w:r>
                      <w:rPr>
                        <w:kern w:val="2"/>
                        <w:sz w:val="16"/>
                        <w:szCs w:val="16"/>
                        <w:rFonts w:ascii="Courier" w:hAnsi="Courier" w:eastAsia="Courier" w:cs="Courier"/>
                        <w:color w:val="auto"/>
                        <w:lang w:val="en-US"/>
                      </w:rPr>
                      <w:t>45</w:t>
                    </w:r>
                  </w:p>
                  <w:p>
                    <w:pPr>
                      <w:overflowPunct w:val="false"/>
                      <w:bidi w:val="0"/>
                      <w:spacing w:lineRule="auto" w:line="480"/>
                      <w:jc w:val="end"/>
                      <w:rPr/>
                    </w:pPr>
                    <w:r>
                      <w:rPr>
                        <w:kern w:val="2"/>
                        <w:sz w:val="16"/>
                        <w:szCs w:val="16"/>
                        <w:rFonts w:ascii="Courier" w:hAnsi="Courier" w:eastAsia="Courier" w:cs="Courier"/>
                        <w:color w:val="auto"/>
                        <w:lang w:val="en-US"/>
                      </w:rPr>
                      <w:t>46</w:t>
                    </w:r>
                  </w:p>
                  <w:p>
                    <w:pPr>
                      <w:overflowPunct w:val="false"/>
                      <w:bidi w:val="0"/>
                      <w:spacing w:lineRule="auto" w:line="480"/>
                      <w:jc w:val="end"/>
                      <w:rPr/>
                    </w:pPr>
                    <w:r>
                      <w:rPr>
                        <w:kern w:val="2"/>
                        <w:sz w:val="16"/>
                        <w:szCs w:val="16"/>
                        <w:rFonts w:ascii="Courier" w:hAnsi="Courier" w:eastAsia="Courier" w:cs="Courier"/>
                        <w:color w:val="auto"/>
                        <w:lang w:val="en-US"/>
                      </w:rPr>
                      <w:t>47</w:t>
                    </w:r>
                  </w:p>
                  <w:p>
                    <w:pPr>
                      <w:overflowPunct w:val="false"/>
                      <w:bidi w:val="0"/>
                      <w:spacing w:lineRule="auto" w:line="480"/>
                      <w:jc w:val="end"/>
                      <w:rPr/>
                    </w:pPr>
                    <w:r>
                      <w:rPr>
                        <w:kern w:val="2"/>
                        <w:sz w:val="16"/>
                        <w:szCs w:val="16"/>
                        <w:rFonts w:ascii="Courier" w:hAnsi="Courier" w:eastAsia="Courier" w:cs="Courier"/>
                        <w:color w:val="auto"/>
                        <w:lang w:val="en-US"/>
                      </w:rPr>
                      <w:t>48</w:t>
                    </w:r>
                  </w:p>
                  <w:p>
                    <w:pPr>
                      <w:overflowPunct w:val="false"/>
                      <w:bidi w:val="0"/>
                      <w:spacing w:lineRule="auto" w:line="480"/>
                      <w:jc w:val="end"/>
                      <w:rPr/>
                    </w:pPr>
                    <w:r>
                      <w:rPr>
                        <w:kern w:val="2"/>
                        <w:sz w:val="16"/>
                        <w:szCs w:val="16"/>
                        <w:rFonts w:ascii="Courier" w:hAnsi="Courier" w:eastAsia="Courier" w:cs="Courier"/>
                        <w:color w:val="auto"/>
                        <w:lang w:val="en-US"/>
                      </w:rPr>
                      <w:t>49</w:t>
                    </w:r>
                  </w:p>
                  <w:p>
                    <w:pPr>
                      <w:overflowPunct w:val="false"/>
                      <w:bidi w:val="0"/>
                      <w:spacing w:lineRule="auto" w:line="480"/>
                      <w:jc w:val="end"/>
                      <w:rPr/>
                    </w:pPr>
                    <w:r>
                      <w:rPr>
                        <w:kern w:val="2"/>
                        <w:sz w:val="16"/>
                        <w:szCs w:val="16"/>
                        <w:rFonts w:ascii="Courier" w:hAnsi="Courier" w:eastAsia="Courier" w:cs="Courier"/>
                        <w:color w:val="auto"/>
                        <w:lang w:val="en-US"/>
                      </w:rPr>
                      <w:t>50</w:t>
                    </w:r>
                  </w:p>
                  <w:p>
                    <w:pPr>
                      <w:overflowPunct w:val="false"/>
                      <w:bidi w:val="0"/>
                      <w:spacing w:lineRule="auto" w:line="480"/>
                      <w:jc w:val="end"/>
                      <w:rPr/>
                    </w:pPr>
                    <w:r>
                      <w:rPr>
                        <w:kern w:val="2"/>
                        <w:sz w:val="16"/>
                        <w:szCs w:val="16"/>
                        <w:rFonts w:ascii="Courier" w:hAnsi="Courier" w:eastAsia="Courier" w:cs="Courier"/>
                        <w:color w:val="auto"/>
                        <w:lang w:val="en-US"/>
                      </w:rPr>
                      <w:t>51</w:t>
                    </w:r>
                  </w:p>
                  <w:p>
                    <w:pPr>
                      <w:overflowPunct w:val="false"/>
                      <w:bidi w:val="0"/>
                      <w:spacing w:lineRule="auto" w:line="480"/>
                      <w:jc w:val="end"/>
                      <w:rPr/>
                    </w:pPr>
                    <w:r>
                      <w:rPr>
                        <w:kern w:val="2"/>
                        <w:sz w:val="16"/>
                        <w:szCs w:val="16"/>
                        <w:rFonts w:ascii="Courier" w:hAnsi="Courier" w:eastAsia="Courier" w:cs="Courier"/>
                        <w:color w:val="auto"/>
                        <w:lang w:val="en-US"/>
                      </w:rPr>
                      <w:t>52</w:t>
                    </w:r>
                  </w:p>
                  <w:p>
                    <w:pPr>
                      <w:overflowPunct w:val="false"/>
                      <w:bidi w:val="0"/>
                      <w:spacing w:lineRule="auto" w:line="480"/>
                      <w:jc w:val="end"/>
                      <w:rPr/>
                    </w:pPr>
                    <w:r>
                      <w:rPr>
                        <w:kern w:val="2"/>
                        <w:sz w:val="16"/>
                        <w:szCs w:val="16"/>
                        <w:rFonts w:ascii="Courier" w:hAnsi="Courier" w:eastAsia="Courier" w:cs="Courier"/>
                        <w:color w:val="auto"/>
                        <w:lang w:val="en-US"/>
                      </w:rPr>
                      <w:t>53</w:t>
                    </w:r>
                  </w:p>
                  <w:p>
                    <w:pPr>
                      <w:overflowPunct w:val="false"/>
                      <w:bidi w:val="0"/>
                      <w:spacing w:lineRule="auto" w:line="480"/>
                      <w:jc w:val="end"/>
                      <w:rPr/>
                    </w:pPr>
                    <w:r>
                      <w:rPr>
                        <w:szCs w:val="24"/>
                        <w:kern w:val="2"/>
                        <w:sz w:val="24"/>
                        <w:rFonts w:cs="NotoSans NF" w:eastAsia="Liberation Sans" w:ascii="Liberation Serif" w:hAnsi="Liberation Serif"/>
                        <w:lang w:val="en-CA"/>
                      </w:rPr>
                    </w:r>
                  </w:p>
                </w:txbxContent>
              </v:textbox>
              <v:fill o:detectmouseclick="t" on="false"/>
              <v:stroke color="#3465a4" joinstyle="round" endcap="flat"/>
              <w10:wrap type="none"/>
            </v:shape>
          </w:pict>
        </mc:Fallback>
      </mc:AlternateContent>
      <mc:AlternateContent>
        <mc:Choice Requires="wps">
          <w:drawing>
            <wp:anchor behindDoc="0" distT="0" distB="0" distL="0" distR="0" simplePos="0" locked="0" layoutInCell="0" allowOverlap="1" relativeHeight="61">
              <wp:simplePos x="0" y="0"/>
              <wp:positionH relativeFrom="margin">
                <wp:posOffset>-45720</wp:posOffset>
              </wp:positionH>
              <wp:positionV relativeFrom="page">
                <wp:posOffset>0</wp:posOffset>
              </wp:positionV>
              <wp:extent cx="635" cy="10058400"/>
              <wp:effectExtent l="5080" t="5080" r="5080" b="5080"/>
              <wp:wrapNone/>
              <wp:docPr id="2" name=""/>
              <a:graphic xmlns:a="http://schemas.openxmlformats.org/drawingml/2006/main">
                <a:graphicData uri="http://schemas.microsoft.com/office/word/2010/wordprocessingShape">
                  <wps:wsp>
                    <wps:cNvSpPr/>
                    <wps:spPr>
                      <a:xfrm>
                        <a:off x="0" y="0"/>
                        <a:ext cx="720" cy="100584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6pt,0pt" to="-3.6pt,791.95pt" stroked="t" o:allowincell="f" style="position:absolute;mso-position-horizontal-relative:margin;mso-position-vertical-relative:page">
              <v:stroke color="black" weight="9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91">
              <wp:simplePos x="0" y="0"/>
              <wp:positionH relativeFrom="margin">
                <wp:posOffset>-91440</wp:posOffset>
              </wp:positionH>
              <wp:positionV relativeFrom="page">
                <wp:posOffset>0</wp:posOffset>
              </wp:positionV>
              <wp:extent cx="635" cy="10058400"/>
              <wp:effectExtent l="5080" t="5080" r="5080" b="5080"/>
              <wp:wrapNone/>
              <wp:docPr id="3" name=""/>
              <a:graphic xmlns:a="http://schemas.openxmlformats.org/drawingml/2006/main">
                <a:graphicData uri="http://schemas.microsoft.com/office/word/2010/wordprocessingShape">
                  <wps:wsp>
                    <wps:cNvSpPr/>
                    <wps:spPr>
                      <a:xfrm>
                        <a:off x="0" y="0"/>
                        <a:ext cx="720" cy="100584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7.2pt,0pt" to="-7.2pt,791.95pt" stroked="t" o:allowincell="f" style="position:absolute;mso-position-horizontal-relative:margin;mso-position-vertical-relative:page">
              <v:stroke color="black" weight="9360" joinstyle="round" endcap="flat"/>
              <v:fill o:detectmouseclick="t" on="false"/>
              <w10:wrap type="none"/>
            </v:line>
          </w:pict>
        </mc:Fallback>
      </mc:AlternateContent>
      <mc:AlternateContent>
        <mc:Choice Requires="wps">
          <w:drawing>
            <wp:anchor behindDoc="0" distT="0" distB="0" distL="0" distR="0" simplePos="0" locked="0" layoutInCell="0" allowOverlap="1" relativeHeight="121">
              <wp:simplePos x="0" y="0"/>
              <wp:positionH relativeFrom="page">
                <wp:posOffset>6858000</wp:posOffset>
              </wp:positionH>
              <wp:positionV relativeFrom="page">
                <wp:posOffset>0</wp:posOffset>
              </wp:positionV>
              <wp:extent cx="635" cy="10058400"/>
              <wp:effectExtent l="0" t="0" r="635" b="0"/>
              <wp:wrapNone/>
              <wp:docPr id="4" name=""/>
              <a:graphic xmlns:a="http://schemas.openxmlformats.org/drawingml/2006/main">
                <a:graphicData uri="http://schemas.microsoft.com/office/word/2010/wordprocessingShape">
                  <wps:wsp>
                    <wps:cNvSpPr/>
                    <wps:spPr>
                      <a:xfrm>
                        <a:off x="0" y="0"/>
                        <a:ext cx="720" cy="10058400"/>
                      </a:xfrm>
                      <a:prstGeom prst="line">
                        <a:avLst/>
                      </a:prstGeom>
                      <a:ln w="0">
                        <a:noFill/>
                      </a:ln>
                    </wps:spPr>
                    <wps:style>
                      <a:lnRef idx="0"/>
                      <a:fillRef idx="0"/>
                      <a:effectRef idx="0"/>
                      <a:fontRef idx="minor"/>
                    </wps:style>
                    <wps:bodyPr/>
                  </wps:wsp>
                </a:graphicData>
              </a:graphic>
            </wp:anchor>
          </w:drawing>
        </mc:Choice>
        <mc:Fallback>
          <w:pict>
            <v:line id="shape_0" from="540pt,0pt" to="540pt,791.95pt" stroked="f" o:allowincell="f" style="position:absolute;mso-position-horizontal-relative:page;mso-position-vertical-relative:page">
              <v:stroke color="#3465a4" joinstyle="round"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upperLetter"/>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447"/>
    </w:pPr>
    <w:rPr>
      <w:rFonts w:ascii="Courier" w:hAnsi="Courier" w:eastAsia="Courier" w:cs="Courier"/>
      <w:color w:val="auto"/>
      <w:sz w:val="16"/>
      <w:szCs w:val="16"/>
      <w:lang w:val="en-US" w:eastAsia="zh-CN" w:bidi="hi-IN"/>
    </w:rPr>
  </w:style>
  <w:style w:type="paragraph" w:styleId="Heading1">
    <w:name w:val="heading 1"/>
    <w:basedOn w:val="Normal"/>
    <w:next w:val="Normal"/>
    <w:qFormat/>
    <w:pPr>
      <w:numPr>
        <w:ilvl w:val="0"/>
        <w:numId w:val="1"/>
      </w:numPr>
      <w:spacing w:before="240" w:after="60"/>
      <w:outlineLvl w:val="0"/>
    </w:pPr>
    <w:rPr>
      <w:rFonts w:ascii="Arial" w:hAnsi="Arial" w:eastAsia="Arial" w:cs="Arial"/>
      <w:b/>
      <w:bCs/>
      <w:sz w:val="28"/>
      <w:szCs w:val="28"/>
    </w:rPr>
  </w:style>
  <w:style w:type="paragraph" w:styleId="Heading2">
    <w:name w:val="heading 2"/>
    <w:basedOn w:val="Normal"/>
    <w:next w:val="Normal"/>
    <w:qFormat/>
    <w:pPr>
      <w:numPr>
        <w:ilvl w:val="1"/>
        <w:numId w:val="1"/>
      </w:numPr>
      <w:spacing w:before="240" w:after="60"/>
      <w:outlineLvl w:val="1"/>
    </w:pPr>
    <w:rPr>
      <w:rFonts w:ascii="Arial" w:hAnsi="Arial" w:eastAsia="Arial" w:cs="Arial"/>
      <w:b/>
      <w:bCs/>
      <w:i/>
      <w:iCs/>
      <w:sz w:val="24"/>
      <w:szCs w:val="24"/>
    </w:rPr>
  </w:style>
  <w:style w:type="paragraph" w:styleId="Heading3">
    <w:name w:val="heading 3"/>
    <w:basedOn w:val="Normal"/>
    <w:next w:val="Normal"/>
    <w:qFormat/>
    <w:pPr>
      <w:numPr>
        <w:ilvl w:val="2"/>
        <w:numId w:val="1"/>
      </w:numPr>
      <w:spacing w:before="240" w:after="60"/>
      <w:outlineLvl w:val="2"/>
    </w:pPr>
    <w:rPr>
      <w:b/>
      <w:bCs/>
      <w:sz w:val="24"/>
      <w:szCs w:val="24"/>
    </w:rPr>
  </w:style>
  <w:style w:type="paragraph" w:styleId="Heading4">
    <w:name w:val="heading 4"/>
    <w:basedOn w:val="Normal"/>
    <w:next w:val="Normal"/>
    <w:qFormat/>
    <w:pPr>
      <w:keepNext w:val="true"/>
      <w:numPr>
        <w:ilvl w:val="3"/>
        <w:numId w:val="1"/>
      </w:numPr>
      <w:spacing w:lineRule="auto" w:line="480"/>
      <w:jc w:val="center"/>
      <w:outlineLvl w:val="3"/>
    </w:pPr>
    <w:rPr>
      <w:rFonts w:ascii="Book Antiqua" w:hAnsi="Book Antiqua" w:eastAsia="Book Antiqua" w:cs="Book Antiqua"/>
      <w:b/>
      <w:bCs/>
      <w:sz w:val="24"/>
      <w:szCs w:val="24"/>
      <w:u w:val="single"/>
    </w:rPr>
  </w:style>
  <w:style w:type="paragraph" w:styleId="Heading5">
    <w:name w:val="heading 5"/>
    <w:basedOn w:val="Normal"/>
    <w:next w:val="Normal"/>
    <w:qFormat/>
    <w:pPr>
      <w:keepNext w:val="true"/>
      <w:numPr>
        <w:ilvl w:val="4"/>
        <w:numId w:val="1"/>
      </w:numPr>
      <w:outlineLvl w:val="4"/>
    </w:pPr>
    <w:rPr>
      <w:rFonts w:ascii="Book Antiqua" w:hAnsi="Book Antiqua" w:eastAsia="Book Antiqua" w:cs="Book Antiqua"/>
      <w:sz w:val="24"/>
      <w:szCs w:val="24"/>
      <w:u w:val="single"/>
    </w:rPr>
  </w:style>
  <w:style w:type="paragraph" w:styleId="Heading6">
    <w:name w:val="heading 6"/>
    <w:basedOn w:val="Normal"/>
    <w:next w:val="Normal"/>
    <w:qFormat/>
    <w:pPr>
      <w:keepNext w:val="true"/>
      <w:numPr>
        <w:ilvl w:val="5"/>
        <w:numId w:val="1"/>
      </w:numPr>
      <w:jc w:val="center"/>
      <w:outlineLvl w:val="5"/>
    </w:pPr>
    <w:rPr>
      <w:rFonts w:ascii="Book Antiqua" w:hAnsi="Book Antiqua" w:eastAsia="Book Antiqua" w:cs="Book Antiqua"/>
      <w:b/>
      <w:bCs/>
      <w:sz w:val="24"/>
      <w:szCs w:val="24"/>
    </w:rPr>
  </w:style>
  <w:style w:type="paragraph" w:styleId="Heading7">
    <w:name w:val="heading 7"/>
    <w:basedOn w:val="Normal"/>
    <w:next w:val="Normal"/>
    <w:qFormat/>
    <w:pPr>
      <w:keepNext w:val="true"/>
      <w:numPr>
        <w:ilvl w:val="6"/>
        <w:numId w:val="1"/>
      </w:numPr>
      <w:tabs>
        <w:tab w:val="clear" w:pos="720"/>
        <w:tab w:val="left" w:pos="360" w:leader="none"/>
      </w:tabs>
      <w:spacing w:lineRule="auto" w:line="360"/>
      <w:jc w:val="center"/>
      <w:outlineLvl w:val="6"/>
    </w:pPr>
    <w:rPr>
      <w:rFonts w:ascii="Book Antiqua" w:hAnsi="Book Antiqua" w:eastAsia="Book Antiqua" w:cs="Book Antiqua"/>
      <w:sz w:val="22"/>
      <w:szCs w:val="22"/>
    </w:rPr>
  </w:style>
  <w:style w:type="paragraph" w:styleId="Heading8">
    <w:name w:val="heading 8"/>
    <w:basedOn w:val="Normal"/>
    <w:next w:val="Normal"/>
    <w:qFormat/>
    <w:pPr>
      <w:keepNext w:val="true"/>
      <w:numPr>
        <w:ilvl w:val="7"/>
        <w:numId w:val="1"/>
      </w:numPr>
      <w:spacing w:lineRule="auto" w:line="360"/>
      <w:outlineLvl w:val="7"/>
    </w:pPr>
    <w:rPr>
      <w:rFonts w:ascii="Book Antiqua" w:hAnsi="Book Antiqua" w:eastAsia="Book Antiqua" w:cs="Book Antiqua"/>
      <w:b/>
      <w:bCs/>
      <w:sz w:val="24"/>
      <w:szCs w:val="24"/>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 w:hAnsi="Book Antiqua" w:eastAsia="Book Antiqua" w:cs="Book Antiqua"/>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neNumbers">
    <w:name w:val="LineNumbers"/>
    <w:basedOn w:val="Normal"/>
    <w:qFormat/>
    <w:pPr>
      <w:jc w:val="end"/>
    </w:pPr>
    <w:rPr/>
  </w:style>
  <w:style w:type="paragraph" w:styleId="NormalIndent">
    <w:name w:val="Normal Indent"/>
    <w:basedOn w:val="Normal"/>
    <w:qFormat/>
    <w:pPr>
      <w:ind w:hanging="0" w:start="720" w:end="0"/>
    </w:pPr>
    <w:rPr>
      <w:rFonts w:ascii="Tms Rmn" w:hAnsi="Tms Rmn" w:eastAsia="Tms Rmn" w:cs="Tms Rmn"/>
      <w:sz w:val="3276"/>
      <w:szCs w:val="3276"/>
    </w:rPr>
  </w:style>
  <w:style w:type="paragraph" w:styleId="SingleSpacing">
    <w:name w:val="Single Spacing"/>
    <w:basedOn w:val="Normal"/>
    <w:qFormat/>
    <w:pPr>
      <w:spacing w:lineRule="exact" w:line="223"/>
    </w:pPr>
    <w:rPr/>
  </w:style>
  <w:style w:type="paragraph" w:styleId="Address">
    <w:name w:val="Address"/>
    <w:basedOn w:val="SingleSpacing"/>
    <w:qFormat/>
    <w:pPr/>
    <w:rPr/>
  </w:style>
  <w:style w:type="paragraph" w:styleId="15Spacing">
    <w:name w:val="1.5 Spacing"/>
    <w:basedOn w:val="Normal"/>
    <w:qFormat/>
    <w:pPr>
      <w:spacing w:lineRule="exact" w:line="335"/>
    </w:pPr>
    <w:rPr/>
  </w:style>
  <w:style w:type="paragraph" w:styleId="DoubleSpacing">
    <w:name w:val="Double Spacing"/>
    <w:basedOn w:val="Normal"/>
    <w:qFormat/>
    <w:pPr/>
    <w:rPr/>
  </w:style>
  <w:style w:type="paragraph" w:styleId="CourtName">
    <w:name w:val="CourtName"/>
    <w:basedOn w:val="Normal"/>
    <w:qFormat/>
    <w:pPr/>
    <w:rPr/>
  </w:style>
  <w:style w:type="paragraph" w:styleId="FootnoteText">
    <w:name w:val="footnote text"/>
    <w:basedOn w:val="Normal"/>
    <w:pPr/>
    <w:rPr>
      <w:sz w:val="20"/>
      <w:szCs w:val="20"/>
    </w:rPr>
  </w:style>
  <w:style w:type="paragraph" w:styleId="BodyText2">
    <w:name w:val="Body Text 2"/>
    <w:basedOn w:val="Normal"/>
    <w:qFormat/>
    <w:pPr>
      <w:spacing w:lineRule="auto" w:line="360"/>
      <w:ind w:hanging="0" w:start="360" w:end="0"/>
    </w:pPr>
    <w:rPr>
      <w:rFonts w:ascii="Times New Roman" w:hAnsi="Times New Roman" w:eastAsia="Times New Roman" w:cs="Times New Roman"/>
      <w:sz w:val="24"/>
      <w:szCs w:val="24"/>
    </w:rPr>
  </w:style>
  <w:style w:type="paragraph" w:styleId="BlockText">
    <w:name w:val="Block Text"/>
    <w:basedOn w:val="Normal"/>
    <w:qFormat/>
    <w:pPr>
      <w:tabs>
        <w:tab w:val="clear" w:pos="720"/>
        <w:tab w:val="left" w:pos="360" w:leader="none"/>
      </w:tabs>
      <w:spacing w:lineRule="auto" w:line="360"/>
      <w:ind w:hanging="360" w:start="360" w:end="-360"/>
    </w:pPr>
    <w:rPr>
      <w:rFonts w:ascii="Times New Roman" w:hAnsi="Times New Roman" w:eastAsia="Times New Roman" w:cs="Times New Roman"/>
      <w:sz w:val="24"/>
      <w:szCs w:val="24"/>
    </w:rPr>
  </w:style>
  <w:style w:type="paragraph" w:styleId="WW-BodyText2">
    <w:name w:val="WW-Body Text 2"/>
    <w:basedOn w:val="Normal"/>
    <w:qFormat/>
    <w:pPr>
      <w:spacing w:lineRule="auto" w:line="480"/>
      <w:ind w:hanging="0" w:start="720" w:end="0"/>
    </w:pPr>
    <w:rPr>
      <w:rFonts w:ascii="Book Antiqua" w:hAnsi="Book Antiqua" w:eastAsia="Book Antiqua" w:cs="Book Antiqua"/>
      <w:sz w:val="24"/>
      <w:szCs w:val="24"/>
    </w:rPr>
  </w:style>
  <w:style w:type="paragraph" w:styleId="BodyText3">
    <w:name w:val="Body Text 3"/>
    <w:basedOn w:val="Normal"/>
    <w:qFormat/>
    <w:pPr>
      <w:spacing w:lineRule="auto" w:line="360" w:before="120" w:after="0"/>
      <w:jc w:val="both"/>
    </w:pPr>
    <w:rPr>
      <w:rFonts w:ascii="Book Antiqua" w:hAnsi="Book Antiqua" w:eastAsia="Book Antiqua" w:cs="Book Antiqua"/>
      <w:sz w:val="24"/>
      <w:szCs w:val="24"/>
    </w:rPr>
  </w:style>
  <w:style w:type="paragraph" w:styleId="WW-BodyText21">
    <w:name w:val="WW-Body Text 21"/>
    <w:basedOn w:val="Normal"/>
    <w:qFormat/>
    <w:pPr>
      <w:spacing w:lineRule="auto" w:line="240" w:before="0" w:after="120"/>
      <w:ind w:hanging="0" w:start="360" w:end="0"/>
    </w:pPr>
    <w:rPr>
      <w:rFonts w:ascii="Times New Roman" w:hAnsi="Times New Roman" w:eastAsia="Times New Roman" w:cs="Times New Roman"/>
      <w:sz w:val="26"/>
      <w:szCs w:val="26"/>
    </w:rPr>
  </w:style>
  <w:style w:type="paragraph" w:styleId="Bullet3">
    <w:name w:val="Bullet 3"/>
    <w:basedOn w:val="Normal"/>
    <w:qFormat/>
    <w:pPr>
      <w:spacing w:lineRule="auto" w:line="240" w:before="60" w:after="0"/>
      <w:ind w:hanging="720" w:start="1440" w:end="0"/>
    </w:pPr>
    <w:rPr>
      <w:rFonts w:ascii="Times New Roman" w:hAnsi="Times New Roman" w:eastAsia="Times New Roman" w:cs="Times New Roman"/>
      <w:sz w:val="24"/>
      <w:szCs w:val="24"/>
    </w:rPr>
  </w:style>
  <w:style w:type="paragraph" w:styleId="Bullet4">
    <w:name w:val="Bullet 4"/>
    <w:basedOn w:val="Normal"/>
    <w:qFormat/>
    <w:pPr>
      <w:spacing w:lineRule="auto" w:line="240" w:before="60" w:after="0"/>
      <w:ind w:hanging="936" w:start="2016" w:end="0"/>
    </w:pPr>
    <w:rPr>
      <w:rFonts w:ascii="Times New Roman" w:hAnsi="Times New Roman" w:eastAsia="Times New Roman" w:cs="Times New Roman"/>
      <w:sz w:val="24"/>
      <w:szCs w:val="24"/>
    </w:rPr>
  </w:style>
  <w:style w:type="paragraph" w:styleId="WW-BodyText22">
    <w:name w:val="WW-Body Text 22"/>
    <w:basedOn w:val="Normal"/>
    <w:qFormat/>
    <w:pPr>
      <w:ind w:firstLine="720" w:start="0" w:end="0"/>
      <w:jc w:val="both"/>
    </w:pPr>
    <w:rPr>
      <w:rFonts w:ascii="Book Antiqua" w:hAnsi="Book Antiqua" w:eastAsia="Book Antiqua" w:cs="Book Antiqua"/>
      <w:sz w:val="24"/>
      <w:szCs w:val="24"/>
    </w:rPr>
  </w:style>
  <w:style w:type="paragraph" w:styleId="BodyTextIndent2">
    <w:name w:val="Body Text Indent 2"/>
    <w:basedOn w:val="Normal"/>
    <w:qFormat/>
    <w:pPr>
      <w:spacing w:lineRule="auto" w:line="480"/>
      <w:ind w:firstLine="720" w:start="0" w:end="0"/>
    </w:pPr>
    <w:rPr>
      <w:rFonts w:ascii="Book Antiqua" w:hAnsi="Book Antiqua" w:eastAsia="Book Antiqua" w:cs="Book Antiqua"/>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2000-04-25T17:07:00Z</dcterms:created>
  <dc:creator>ETS-CS</dc:creator>
  <dc:description/>
  <dc:language>en-CA</dc:language>
  <cp:lastModifiedBy>SoCalGasCo.</cp:lastModifiedBy>
  <cp:lastPrinted>2000-04-26T16:59:00Z</cp:lastPrinted>
  <dcterms:modified xsi:type="dcterms:W3CDTF">2000-04-26T21:46:00Z</dcterms:modified>
  <cp:revision>68</cp:revision>
  <dc:subject/>
  <dc:title>Prepared Direct Testimony</dc:title>
</cp:coreProperties>
</file>