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rPr>
      </w:pPr>
      <w:r>
        <w:rPr>
          <w:rFonts w:cs="Arial" w:ascii="Arial" w:hAnsi="Arial"/>
          <w:b/>
        </w:rPr>
        <w:t>DYNEGY ENRON MERGER CONFERENCE CALL</w:t>
      </w:r>
    </w:p>
    <w:p>
      <w:pPr>
        <w:pStyle w:val="Normal"/>
        <w:jc w:val="center"/>
        <w:rPr>
          <w:rFonts w:ascii="Arial" w:hAnsi="Arial" w:cs="Arial"/>
          <w:b/>
        </w:rPr>
      </w:pPr>
      <w:r>
        <w:rPr>
          <w:rFonts w:cs="Arial" w:ascii="Arial" w:hAnsi="Arial"/>
          <w:b/>
        </w:rPr>
        <w:t>THURSDAY, NOV 8, 2001</w:t>
      </w:r>
    </w:p>
    <w:p>
      <w:pPr>
        <w:pStyle w:val="Normal"/>
        <w:jc w:val="center"/>
        <w:rPr>
          <w:rFonts w:ascii="Arial" w:hAnsi="Arial" w:cs="Arial"/>
          <w:b/>
        </w:rPr>
      </w:pPr>
      <w:r>
        <w:rPr>
          <w:rFonts w:cs="Arial" w:ascii="Arial" w:hAnsi="Arial"/>
          <w:b/>
        </w:rPr>
        <w:t>9:00 a.m. ET</w:t>
      </w:r>
    </w:p>
    <w:p>
      <w:pPr>
        <w:pStyle w:val="Normal"/>
        <w:jc w:val="center"/>
        <w:rPr>
          <w:rFonts w:ascii="Arial" w:hAnsi="Arial" w:cs="Arial"/>
          <w:b/>
        </w:rPr>
      </w:pPr>
      <w:r>
        <w:rPr>
          <w:rFonts w:cs="Arial" w:ascii="Arial" w:hAnsi="Arial"/>
          <w:b/>
        </w:rPr>
      </w:r>
    </w:p>
    <w:p>
      <w:pPr>
        <w:pStyle w:val="Heading1"/>
        <w:ind w:hanging="0" w:start="0"/>
        <w:rPr>
          <w:rFonts w:ascii="Arial" w:hAnsi="Arial" w:cs="Arial"/>
          <w:u w:val="single"/>
        </w:rPr>
      </w:pPr>
      <w:r>
        <w:rPr>
          <w:rFonts w:cs="Arial" w:ascii="Arial" w:hAnsi="Arial"/>
          <w:u w:val="single"/>
        </w:rPr>
        <w:t>CONFERENCE CALL SCRIPT</w:t>
      </w:r>
    </w:p>
    <w:p>
      <w:pPr>
        <w:pStyle w:val="Normal"/>
        <w:rPr>
          <w:rFonts w:ascii="Arial" w:hAnsi="Arial" w:cs="Arial"/>
          <w:u w:val="single"/>
        </w:rPr>
      </w:pPr>
      <w:r>
        <w:rPr>
          <w:rFonts w:cs="Arial" w:ascii="Arial" w:hAnsi="Arial"/>
          <w:u w:val="single"/>
        </w:rPr>
      </w:r>
    </w:p>
    <w:p>
      <w:pPr>
        <w:pStyle w:val="Normal"/>
        <w:rPr/>
      </w:pPr>
      <w:r>
        <w:rPr>
          <w:rFonts w:cs="Arial" w:ascii="Arial" w:hAnsi="Arial"/>
          <w:b/>
        </w:rPr>
        <w:t xml:space="preserve">[MEG NOLLEN STARTS THE CALL WITH </w:t>
      </w:r>
      <w:r>
        <w:rPr>
          <w:rFonts w:cs="Arial" w:ascii="Arial" w:hAnsi="Arial"/>
          <w:b/>
          <w:u w:val="single"/>
        </w:rPr>
        <w:t>FULL-LENGTH</w:t>
      </w:r>
      <w:r>
        <w:rPr>
          <w:rFonts w:cs="Arial" w:ascii="Arial" w:hAnsi="Arial"/>
          <w:b/>
        </w:rPr>
        <w:t xml:space="preserve"> SAFE HARBOUR, AND INTRODUCES CHUCK WATSON]</w:t>
      </w:r>
    </w:p>
    <w:p>
      <w:pPr>
        <w:pStyle w:val="Normal"/>
        <w:rPr>
          <w:rFonts w:ascii="Arial" w:hAnsi="Arial" w:cs="Arial"/>
          <w:b/>
        </w:rPr>
      </w:pPr>
      <w:r>
        <w:rPr>
          <w:rFonts w:cs="Arial" w:ascii="Arial" w:hAnsi="Arial"/>
          <w:b/>
        </w:rPr>
      </w:r>
    </w:p>
    <w:p>
      <w:pPr>
        <w:pStyle w:val="Normal"/>
        <w:rPr/>
      </w:pPr>
      <w:r>
        <w:rPr>
          <w:rFonts w:cs="Arial" w:ascii="Arial" w:hAnsi="Arial"/>
          <w:b/>
          <w:u w:val="single"/>
        </w:rPr>
        <w:t>CHUCK</w:t>
      </w:r>
      <w:r>
        <w:rPr>
          <w:rFonts w:cs="Arial" w:ascii="Arial" w:hAnsi="Arial"/>
          <w:b/>
        </w:rPr>
        <w:tab/>
        <w:tab/>
      </w:r>
    </w:p>
    <w:p>
      <w:pPr>
        <w:pStyle w:val="BodyText2"/>
        <w:spacing w:lineRule="auto" w:line="360"/>
        <w:rPr>
          <w:rFonts w:ascii="Arial" w:hAnsi="Arial" w:cs="Arial"/>
        </w:rPr>
      </w:pPr>
      <w:r>
        <w:rPr>
          <w:rFonts w:cs="Arial" w:ascii="Arial" w:hAnsi="Arial"/>
        </w:rPr>
        <w:tab/>
        <w:t>Welcome analysts and media and others listening in, especially Dynegy and Enron shareholders, employees and partners.</w:t>
      </w:r>
    </w:p>
    <w:p>
      <w:pPr>
        <w:pStyle w:val="BodyText2"/>
        <w:spacing w:lineRule="auto" w:line="360"/>
        <w:rPr>
          <w:rFonts w:ascii="Arial" w:hAnsi="Arial" w:cs="Arial"/>
        </w:rPr>
      </w:pPr>
      <w:r>
        <w:rPr>
          <w:rFonts w:cs="Arial" w:ascii="Arial" w:hAnsi="Arial"/>
        </w:rPr>
      </w:r>
    </w:p>
    <w:p>
      <w:pPr>
        <w:pStyle w:val="BodyText2"/>
        <w:numPr>
          <w:ilvl w:val="0"/>
          <w:numId w:val="16"/>
        </w:numPr>
        <w:spacing w:lineRule="auto" w:line="360"/>
        <w:rPr>
          <w:rFonts w:ascii="Arial" w:hAnsi="Arial" w:cs="Arial"/>
        </w:rPr>
      </w:pPr>
      <w:r>
        <w:rPr>
          <w:rFonts w:cs="Arial" w:ascii="Arial" w:hAnsi="Arial"/>
        </w:rPr>
        <w:t>Joining me this morning:</w:t>
      </w:r>
    </w:p>
    <w:p>
      <w:pPr>
        <w:pStyle w:val="BodyText2"/>
        <w:numPr>
          <w:ilvl w:val="0"/>
          <w:numId w:val="15"/>
        </w:numPr>
        <w:spacing w:lineRule="auto" w:line="360"/>
        <w:ind w:hanging="720" w:start="3600" w:end="0"/>
        <w:rPr>
          <w:rFonts w:ascii="Arial" w:hAnsi="Arial" w:cs="Arial"/>
        </w:rPr>
      </w:pPr>
      <w:r>
        <w:rPr>
          <w:rFonts w:cs="Arial" w:ascii="Arial" w:hAnsi="Arial"/>
        </w:rPr>
        <w:t>From Dynegy are:</w:t>
      </w:r>
    </w:p>
    <w:p>
      <w:pPr>
        <w:pStyle w:val="BodyText2"/>
        <w:numPr>
          <w:ilvl w:val="0"/>
          <w:numId w:val="15"/>
        </w:numPr>
        <w:spacing w:lineRule="auto" w:line="360"/>
        <w:ind w:hanging="720" w:start="3600" w:end="0"/>
        <w:rPr>
          <w:rFonts w:ascii="Arial" w:hAnsi="Arial" w:cs="Arial"/>
        </w:rPr>
      </w:pPr>
      <w:r>
        <w:rPr>
          <w:rFonts w:cs="Arial" w:ascii="Arial" w:hAnsi="Arial"/>
        </w:rPr>
        <w:t xml:space="preserve">President, Steve Bergstrom </w:t>
      </w:r>
    </w:p>
    <w:p>
      <w:pPr>
        <w:pStyle w:val="BodyText2"/>
        <w:numPr>
          <w:ilvl w:val="0"/>
          <w:numId w:val="7"/>
        </w:numPr>
        <w:spacing w:lineRule="auto" w:line="360"/>
        <w:ind w:hanging="720" w:start="3600" w:end="0"/>
        <w:rPr>
          <w:rFonts w:ascii="Arial" w:hAnsi="Arial" w:cs="Arial"/>
        </w:rPr>
      </w:pPr>
      <w:r>
        <w:rPr>
          <w:rFonts w:cs="Arial" w:ascii="Arial" w:hAnsi="Arial"/>
        </w:rPr>
        <w:t>Executive Vice President and Chief Financial Officer, Rob Doty</w:t>
      </w:r>
    </w:p>
    <w:p>
      <w:pPr>
        <w:pStyle w:val="BodyText2"/>
        <w:numPr>
          <w:ilvl w:val="0"/>
          <w:numId w:val="7"/>
        </w:numPr>
        <w:spacing w:lineRule="auto" w:line="360"/>
        <w:ind w:hanging="720" w:start="3600" w:end="0"/>
        <w:rPr>
          <w:rFonts w:ascii="Arial" w:hAnsi="Arial" w:cs="Arial"/>
        </w:rPr>
      </w:pPr>
      <w:r>
        <w:rPr>
          <w:rFonts w:cs="Arial" w:ascii="Arial" w:hAnsi="Arial"/>
        </w:rPr>
        <w:t>[?Ken Randolph, General Counsel]</w:t>
      </w:r>
    </w:p>
    <w:p>
      <w:pPr>
        <w:pStyle w:val="BodyText2"/>
        <w:numPr>
          <w:ilvl w:val="0"/>
          <w:numId w:val="5"/>
        </w:numPr>
        <w:spacing w:lineRule="auto" w:line="360"/>
        <w:ind w:hanging="720" w:start="3600" w:end="0"/>
        <w:rPr>
          <w:rFonts w:ascii="Arial" w:hAnsi="Arial" w:cs="Arial"/>
        </w:rPr>
      </w:pPr>
      <w:r>
        <w:rPr>
          <w:rFonts w:cs="Arial" w:ascii="Arial" w:hAnsi="Arial"/>
        </w:rPr>
        <w:t>From Enron are:</w:t>
      </w:r>
    </w:p>
    <w:p>
      <w:pPr>
        <w:pStyle w:val="BodyText2"/>
        <w:numPr>
          <w:ilvl w:val="0"/>
          <w:numId w:val="5"/>
        </w:numPr>
        <w:spacing w:lineRule="auto" w:line="360"/>
        <w:ind w:hanging="720" w:start="3600" w:end="0"/>
        <w:rPr>
          <w:rFonts w:ascii="Arial" w:hAnsi="Arial" w:cs="Arial"/>
        </w:rPr>
      </w:pPr>
      <w:r>
        <w:rPr>
          <w:rFonts w:cs="Arial" w:ascii="Arial" w:hAnsi="Arial"/>
        </w:rPr>
        <w:t xml:space="preserve">Chairman and CEO, Ken Lay </w:t>
      </w:r>
    </w:p>
    <w:p>
      <w:pPr>
        <w:pStyle w:val="BodyText2"/>
        <w:numPr>
          <w:ilvl w:val="0"/>
          <w:numId w:val="5"/>
        </w:numPr>
        <w:spacing w:lineRule="auto" w:line="360"/>
        <w:ind w:hanging="720" w:start="3600" w:end="0"/>
        <w:rPr>
          <w:rFonts w:ascii="Arial" w:hAnsi="Arial" w:cs="Arial"/>
        </w:rPr>
      </w:pPr>
      <w:r>
        <w:rPr>
          <w:rFonts w:cs="Arial" w:ascii="Arial" w:hAnsi="Arial"/>
        </w:rPr>
        <w:t>President and COO, Greg Whalley</w:t>
      </w:r>
    </w:p>
    <w:p>
      <w:pPr>
        <w:pStyle w:val="BodyText2"/>
        <w:numPr>
          <w:ilvl w:val="0"/>
          <w:numId w:val="5"/>
        </w:numPr>
        <w:spacing w:lineRule="auto" w:line="360"/>
        <w:ind w:hanging="720" w:start="3600" w:end="0"/>
        <w:rPr>
          <w:rFonts w:ascii="Arial" w:hAnsi="Arial" w:cs="Arial"/>
        </w:rPr>
      </w:pPr>
      <w:r>
        <w:rPr>
          <w:rFonts w:cs="Arial" w:ascii="Arial" w:hAnsi="Arial"/>
        </w:rPr>
        <w:t>Chief Financial Officer, Jeff McMahon</w:t>
      </w:r>
    </w:p>
    <w:p>
      <w:pPr>
        <w:pStyle w:val="BodyText2"/>
        <w:tabs>
          <w:tab w:val="clear" w:pos="720"/>
          <w:tab w:val="left" w:pos="2520" w:leader="none"/>
        </w:tabs>
        <w:spacing w:lineRule="auto" w:line="360"/>
        <w:ind w:hanging="0" w:start="360" w:end="0"/>
        <w:rPr>
          <w:rFonts w:ascii="Arial" w:hAnsi="Arial" w:cs="Arial"/>
        </w:rPr>
      </w:pPr>
      <w:r>
        <w:rPr>
          <w:rFonts w:cs="Arial" w:ascii="Arial" w:hAnsi="Arial"/>
        </w:rPr>
      </w:r>
    </w:p>
    <w:p>
      <w:pPr>
        <w:pStyle w:val="BodyText2"/>
        <w:spacing w:lineRule="auto" w:line="360"/>
        <w:ind w:hanging="0" w:end="0"/>
        <w:rPr>
          <w:rFonts w:ascii="Arial" w:hAnsi="Arial" w:cs="Arial"/>
        </w:rPr>
      </w:pPr>
      <w:r>
        <w:rPr>
          <w:rFonts w:cs="Arial" w:ascii="Arial" w:hAnsi="Arial"/>
        </w:rPr>
        <w:t>[In an enthusiastic, pumped-up tone]</w:t>
      </w:r>
    </w:p>
    <w:p>
      <w:pPr>
        <w:pStyle w:val="BodyText2"/>
        <w:numPr>
          <w:ilvl w:val="0"/>
          <w:numId w:val="16"/>
        </w:numPr>
        <w:spacing w:lineRule="auto" w:line="360"/>
        <w:rPr>
          <w:rFonts w:ascii="Arial" w:hAnsi="Arial" w:cs="Arial"/>
        </w:rPr>
      </w:pPr>
      <w:r>
        <w:rPr>
          <w:rFonts w:cs="Arial" w:ascii="Arial" w:hAnsi="Arial"/>
        </w:rPr>
        <w:t>This is a monumental day for Dynegy, Enron and for our industry!  Today we announced the merger of Dynegy and Enron, with a strong endorsement from our largest shareholder, ChevronTexaco</w:t>
      </w:r>
    </w:p>
    <w:p>
      <w:pPr>
        <w:pStyle w:val="BodyText2"/>
        <w:tabs>
          <w:tab w:val="clear" w:pos="720"/>
          <w:tab w:val="left" w:pos="2520" w:leader="none"/>
        </w:tabs>
        <w:spacing w:lineRule="auto" w:line="360"/>
        <w:ind w:hanging="0" w:start="360" w:end="0"/>
        <w:rPr>
          <w:rFonts w:ascii="Arial" w:hAnsi="Arial" w:cs="Arial"/>
          <w:u w:val="single"/>
        </w:rPr>
      </w:pPr>
      <w:r>
        <w:rPr>
          <w:rFonts w:cs="Arial" w:ascii="Arial" w:hAnsi="Arial"/>
          <w:u w:val="single"/>
        </w:rPr>
      </w:r>
    </w:p>
    <w:p>
      <w:pPr>
        <w:pStyle w:val="BodyText2"/>
        <w:numPr>
          <w:ilvl w:val="0"/>
          <w:numId w:val="9"/>
        </w:numPr>
        <w:tabs>
          <w:tab w:val="clear" w:pos="720"/>
          <w:tab w:val="left" w:pos="2520" w:leader="none"/>
          <w:tab w:val="left" w:pos="2880" w:leader="none"/>
        </w:tabs>
        <w:spacing w:lineRule="auto" w:line="360"/>
        <w:ind w:hanging="360" w:start="2880" w:end="0"/>
        <w:rPr>
          <w:rFonts w:ascii="Arial" w:hAnsi="Arial" w:cs="Arial"/>
          <w:u w:val="single"/>
        </w:rPr>
      </w:pPr>
      <w:r>
        <w:rPr>
          <w:rFonts w:cs="Arial" w:ascii="Arial" w:hAnsi="Arial"/>
        </w:rPr>
        <w:t>Negotiated over the last 2 weeks during the Tour Championship presented by Dynegy</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r>
    </w:p>
    <w:p>
      <w:pPr>
        <w:pStyle w:val="BodyText"/>
        <w:rPr/>
      </w:pPr>
      <w:r>
        <w:rPr/>
        <w:t>Focus on vision; what the new Dynegy can be</w:t>
      </w:r>
    </w:p>
    <w:p>
      <w:pPr>
        <w:pStyle w:val="BodyText"/>
        <w:rPr/>
      </w:pPr>
      <w:r>
        <w:rPr/>
        <w:t>Capability to expand its strong, heritage North American core businesses around the globe</w:t>
      </w:r>
    </w:p>
    <w:p>
      <w:pPr>
        <w:pStyle w:val="BodyText"/>
        <w:rPr/>
      </w:pPr>
      <w:r>
        <w:rPr/>
        <w:t>With this strategic combination, we will become a global energy merchant with a capability to compete around the globe</w:t>
      </w:r>
    </w:p>
    <w:p>
      <w:pPr>
        <w:pStyle w:val="BodyText"/>
        <w:rPr/>
      </w:pPr>
      <w:r>
        <w:rPr/>
        <w:t>This merger:</w:t>
      </w:r>
    </w:p>
    <w:p>
      <w:pPr>
        <w:pStyle w:val="Normal"/>
        <w:numPr>
          <w:ilvl w:val="0"/>
          <w:numId w:val="4"/>
        </w:numPr>
        <w:tabs>
          <w:tab w:val="left" w:pos="720" w:leader="none"/>
        </w:tabs>
        <w:ind w:hanging="360" w:start="720" w:end="0"/>
        <w:rPr>
          <w:rFonts w:ascii="Arial" w:hAnsi="Arial" w:cs="Arial"/>
          <w:b/>
          <w:sz w:val="28"/>
        </w:rPr>
      </w:pPr>
      <w:r>
        <w:rPr>
          <w:rFonts w:cs="Arial" w:ascii="Arial" w:hAnsi="Arial"/>
          <w:b/>
          <w:sz w:val="28"/>
        </w:rPr>
        <w:t>Enhances our size and capability</w:t>
      </w:r>
    </w:p>
    <w:p>
      <w:pPr>
        <w:pStyle w:val="Normal"/>
        <w:numPr>
          <w:ilvl w:val="0"/>
          <w:numId w:val="4"/>
        </w:numPr>
        <w:tabs>
          <w:tab w:val="left" w:pos="720" w:leader="none"/>
        </w:tabs>
        <w:ind w:hanging="360" w:start="720" w:end="0"/>
        <w:rPr>
          <w:rFonts w:ascii="Arial" w:hAnsi="Arial" w:cs="Arial"/>
          <w:b/>
          <w:sz w:val="28"/>
        </w:rPr>
      </w:pPr>
      <w:r>
        <w:rPr>
          <w:rFonts w:cs="Arial" w:ascii="Arial" w:hAnsi="Arial"/>
          <w:b/>
          <w:sz w:val="28"/>
        </w:rPr>
        <w:t>Advances our strategy by 3-4 years</w:t>
      </w:r>
    </w:p>
    <w:p>
      <w:pPr>
        <w:pStyle w:val="Normal"/>
        <w:numPr>
          <w:ilvl w:val="0"/>
          <w:numId w:val="4"/>
        </w:numPr>
        <w:tabs>
          <w:tab w:val="left" w:pos="720" w:leader="none"/>
        </w:tabs>
        <w:ind w:hanging="360" w:start="720" w:end="0"/>
        <w:rPr>
          <w:rFonts w:ascii="Arial" w:hAnsi="Arial" w:cs="Arial"/>
          <w:b/>
          <w:sz w:val="28"/>
        </w:rPr>
      </w:pPr>
      <w:r>
        <w:rPr>
          <w:rFonts w:cs="Arial" w:ascii="Arial" w:hAnsi="Arial"/>
          <w:b/>
          <w:sz w:val="28"/>
        </w:rPr>
        <w:t>Unleashes our earnings potential</w:t>
      </w:r>
    </w:p>
    <w:p>
      <w:pPr>
        <w:pStyle w:val="Normal"/>
        <w:numPr>
          <w:ilvl w:val="0"/>
          <w:numId w:val="4"/>
        </w:numPr>
        <w:tabs>
          <w:tab w:val="left" w:pos="720" w:leader="none"/>
        </w:tabs>
        <w:ind w:hanging="360" w:start="720" w:end="0"/>
        <w:rPr>
          <w:rFonts w:ascii="Arial" w:hAnsi="Arial" w:cs="Arial"/>
          <w:b/>
          <w:sz w:val="28"/>
        </w:rPr>
      </w:pPr>
      <w:r>
        <w:rPr>
          <w:rFonts w:cs="Arial" w:ascii="Arial" w:hAnsi="Arial"/>
          <w:b/>
          <w:sz w:val="28"/>
        </w:rPr>
        <w:t>Express appreciation for what Enron has built – great employees, model for commitment to the community</w:t>
      </w:r>
    </w:p>
    <w:p>
      <w:pPr>
        <w:pStyle w:val="Normal"/>
        <w:ind w:firstLine="720" w:end="0"/>
        <w:rPr>
          <w:rFonts w:ascii="Arial" w:hAnsi="Arial" w:cs="Arial"/>
          <w:b/>
          <w:sz w:val="28"/>
        </w:rPr>
      </w:pPr>
      <w:r>
        <w:rPr>
          <w:rFonts w:cs="Arial" w:ascii="Arial" w:hAnsi="Arial"/>
          <w:b/>
          <w:sz w:val="28"/>
        </w:rPr>
      </w:r>
    </w:p>
    <w:p>
      <w:pPr>
        <w:pStyle w:val="Normal"/>
        <w:rPr>
          <w:rFonts w:ascii="Arial" w:hAnsi="Arial" w:cs="Arial"/>
          <w:b/>
          <w:sz w:val="28"/>
        </w:rPr>
      </w:pPr>
      <w:r>
        <w:rPr>
          <w:rFonts w:cs="Arial" w:ascii="Arial" w:hAnsi="Arial"/>
          <w:b/>
          <w:sz w:val="28"/>
        </w:rPr>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 xml:space="preserve">Typical Dynegy deal – see the value where others don’t – and there </w:t>
      </w:r>
      <w:r>
        <w:rPr>
          <w:rFonts w:cs="Arial" w:ascii="Arial" w:hAnsi="Arial"/>
          <w:u w:val="single"/>
        </w:rPr>
        <w:t>is</w:t>
      </w:r>
      <w:r>
        <w:rPr>
          <w:rFonts w:cs="Arial" w:ascii="Arial" w:hAnsi="Arial"/>
        </w:rPr>
        <w:t xml:space="preserve"> huge value in the Enron franchise</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10"/>
        </w:numPr>
        <w:tabs>
          <w:tab w:val="clear" w:pos="720"/>
          <w:tab w:val="left" w:pos="2520" w:leader="none"/>
        </w:tabs>
        <w:spacing w:lineRule="auto" w:line="360"/>
        <w:rPr>
          <w:rFonts w:ascii="Arial" w:hAnsi="Arial" w:cs="Arial"/>
        </w:rPr>
      </w:pPr>
      <w:r>
        <w:rPr>
          <w:rFonts w:cs="Arial" w:ascii="Arial" w:hAnsi="Arial"/>
        </w:rPr>
        <w:t>Win – Win for both companies</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Stock for stock deal with tremendous upside for all shareholders</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Providing greatest potential value for Enron shareholders </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Significant accretion for DYN shareholders</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Immediate liquidity and financial stability for Enron</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Protection of Enron’s core energy franchise </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Best fit – culturally and strategically </w:t>
      </w:r>
    </w:p>
    <w:p>
      <w:pPr>
        <w:pStyle w:val="BodyText2"/>
        <w:numPr>
          <w:ilvl w:val="0"/>
          <w:numId w:val="6"/>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 xml:space="preserve">Talented and dedicated people </w:t>
      </w:r>
    </w:p>
    <w:p>
      <w:pPr>
        <w:pStyle w:val="BodyText2"/>
        <w:numPr>
          <w:ilvl w:val="0"/>
          <w:numId w:val="6"/>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16 year relationship as customers, counterparties and leading proponents of open, competitive wholesale markets</w:t>
      </w:r>
    </w:p>
    <w:p>
      <w:pPr>
        <w:pStyle w:val="BodyText2"/>
        <w:numPr>
          <w:ilvl w:val="0"/>
          <w:numId w:val="6"/>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and today we’ve become one</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Positioned for continued growth and earnings sustainability</w:t>
      </w:r>
    </w:p>
    <w:p>
      <w:pPr>
        <w:pStyle w:val="BodyText2"/>
        <w:tabs>
          <w:tab w:val="clear" w:pos="720"/>
          <w:tab w:val="left" w:pos="2520" w:leader="none"/>
        </w:tabs>
        <w:spacing w:lineRule="auto" w:line="360"/>
        <w:ind w:hanging="0" w:start="360" w:end="0"/>
        <w:rPr>
          <w:rFonts w:ascii="Arial" w:hAnsi="Arial" w:cs="Arial"/>
        </w:rPr>
      </w:pPr>
      <w:r>
        <w:rPr>
          <w:rFonts w:cs="Arial" w:ascii="Arial" w:hAnsi="Arial"/>
        </w:rPr>
      </w:r>
    </w:p>
    <w:p>
      <w:pPr>
        <w:pStyle w:val="BodyText2"/>
        <w:numPr>
          <w:ilvl w:val="0"/>
          <w:numId w:val="12"/>
        </w:numPr>
        <w:tabs>
          <w:tab w:val="clear" w:pos="720"/>
          <w:tab w:val="left" w:pos="2520" w:leader="none"/>
        </w:tabs>
        <w:spacing w:lineRule="auto" w:line="360"/>
        <w:rPr>
          <w:rFonts w:ascii="Arial" w:hAnsi="Arial" w:cs="Arial"/>
        </w:rPr>
      </w:pPr>
      <w:r>
        <w:rPr>
          <w:rFonts w:cs="Arial" w:ascii="Arial" w:hAnsi="Arial"/>
        </w:rPr>
        <w:t>The management team will consist of:</w:t>
      </w:r>
    </w:p>
    <w:p>
      <w:pPr>
        <w:pStyle w:val="BodyText2"/>
        <w:numPr>
          <w:ilvl w:val="0"/>
          <w:numId w:val="12"/>
        </w:numPr>
        <w:tabs>
          <w:tab w:val="left" w:pos="720" w:leader="none"/>
          <w:tab w:val="left" w:pos="2520" w:leader="none"/>
        </w:tabs>
        <w:spacing w:lineRule="auto" w:line="360"/>
        <w:ind w:hanging="360" w:start="720" w:end="0"/>
        <w:rPr>
          <w:rFonts w:ascii="Arial" w:hAnsi="Arial" w:cs="Arial"/>
        </w:rPr>
      </w:pPr>
      <w:r>
        <w:rPr>
          <w:rFonts w:cs="Arial" w:ascii="Arial" w:hAnsi="Arial"/>
        </w:rPr>
        <w:t>Chuck Watson, Chairman and CEO</w:t>
      </w:r>
    </w:p>
    <w:p>
      <w:pPr>
        <w:pStyle w:val="BodyText2"/>
        <w:numPr>
          <w:ilvl w:val="0"/>
          <w:numId w:val="12"/>
        </w:numPr>
        <w:tabs>
          <w:tab w:val="left" w:pos="720" w:leader="none"/>
          <w:tab w:val="left" w:pos="2520" w:leader="none"/>
        </w:tabs>
        <w:spacing w:lineRule="auto" w:line="360"/>
        <w:ind w:hanging="360" w:start="720" w:end="0"/>
        <w:rPr>
          <w:rFonts w:ascii="Arial" w:hAnsi="Arial" w:cs="Arial"/>
        </w:rPr>
      </w:pPr>
      <w:r>
        <w:rPr>
          <w:rFonts w:cs="Arial" w:ascii="Arial" w:hAnsi="Arial"/>
        </w:rPr>
        <w:t>Steve Bergstrom, President</w:t>
      </w:r>
    </w:p>
    <w:p>
      <w:pPr>
        <w:pStyle w:val="BodyText2"/>
        <w:numPr>
          <w:ilvl w:val="0"/>
          <w:numId w:val="12"/>
        </w:numPr>
        <w:tabs>
          <w:tab w:val="left" w:pos="720" w:leader="none"/>
          <w:tab w:val="left" w:pos="2520" w:leader="none"/>
        </w:tabs>
        <w:spacing w:lineRule="auto" w:line="360"/>
        <w:ind w:hanging="360" w:start="720" w:end="0"/>
        <w:rPr>
          <w:rFonts w:ascii="Arial" w:hAnsi="Arial" w:cs="Arial"/>
        </w:rPr>
      </w:pPr>
      <w:r>
        <w:rPr>
          <w:rFonts w:cs="Arial" w:ascii="Arial" w:hAnsi="Arial"/>
        </w:rPr>
        <w:t>Greg Whalley, Executive Vice President</w:t>
      </w:r>
    </w:p>
    <w:p>
      <w:pPr>
        <w:pStyle w:val="BodyText2"/>
        <w:numPr>
          <w:ilvl w:val="0"/>
          <w:numId w:val="12"/>
        </w:numPr>
        <w:tabs>
          <w:tab w:val="left" w:pos="720" w:leader="none"/>
          <w:tab w:val="left" w:pos="2520" w:leader="none"/>
        </w:tabs>
        <w:spacing w:lineRule="auto" w:line="360"/>
        <w:ind w:hanging="360" w:start="720" w:end="0"/>
        <w:rPr>
          <w:rFonts w:ascii="Arial" w:hAnsi="Arial" w:cs="Arial"/>
        </w:rPr>
      </w:pPr>
      <w:r>
        <w:rPr>
          <w:rFonts w:cs="Arial" w:ascii="Arial" w:hAnsi="Arial"/>
        </w:rPr>
        <w:t>Rob Doty, CFO</w:t>
      </w:r>
    </w:p>
    <w:p>
      <w:pPr>
        <w:pStyle w:val="BodyText2"/>
        <w:numPr>
          <w:ilvl w:val="0"/>
          <w:numId w:val="12"/>
        </w:numPr>
        <w:tabs>
          <w:tab w:val="clear" w:pos="720"/>
          <w:tab w:val="left" w:pos="2520" w:leader="none"/>
        </w:tabs>
        <w:spacing w:lineRule="auto" w:line="360"/>
        <w:rPr>
          <w:rFonts w:ascii="Arial" w:hAnsi="Arial" w:cs="Arial"/>
        </w:rPr>
      </w:pPr>
      <w:r>
        <w:rPr>
          <w:rFonts w:cs="Arial" w:ascii="Arial" w:hAnsi="Arial"/>
        </w:rPr>
        <w:t>The board will consist of Dynegy’s existing board plus 3 new members appointed by Enron</w:t>
      </w:r>
    </w:p>
    <w:p>
      <w:pPr>
        <w:pStyle w:val="BodyText2"/>
        <w:tabs>
          <w:tab w:val="clear" w:pos="720"/>
          <w:tab w:val="left" w:pos="2520" w:leader="none"/>
        </w:tabs>
        <w:spacing w:lineRule="auto" w:line="360"/>
        <w:rPr>
          <w:rFonts w:ascii="Arial" w:hAnsi="Arial" w:cs="Arial"/>
        </w:rPr>
      </w:pPr>
      <w:r>
        <w:rPr>
          <w:rFonts w:cs="Arial" w:ascii="Arial" w:hAnsi="Arial"/>
        </w:rPr>
      </w:r>
    </w:p>
    <w:p>
      <w:pPr>
        <w:pStyle w:val="BodyText2"/>
        <w:tabs>
          <w:tab w:val="clear" w:pos="720"/>
          <w:tab w:val="left" w:pos="2520" w:leader="none"/>
        </w:tabs>
        <w:spacing w:lineRule="auto" w:line="360"/>
        <w:rPr>
          <w:rFonts w:ascii="Arial" w:hAnsi="Arial" w:cs="Arial"/>
        </w:rPr>
      </w:pPr>
      <w:r>
        <w:rPr>
          <w:rFonts w:cs="Arial" w:ascii="Arial" w:hAnsi="Arial"/>
        </w:rPr>
      </w:r>
    </w:p>
    <w:p>
      <w:pPr>
        <w:pStyle w:val="BodyText2"/>
        <w:tabs>
          <w:tab w:val="clear" w:pos="720"/>
          <w:tab w:val="left" w:pos="2520" w:leader="none"/>
        </w:tabs>
        <w:spacing w:lineRule="auto" w:line="360"/>
        <w:ind w:hanging="0" w:start="360" w:end="0"/>
        <w:rPr>
          <w:rFonts w:ascii="Arial" w:hAnsi="Arial" w:cs="Arial"/>
        </w:rPr>
      </w:pPr>
      <w:r>
        <w:rPr>
          <w:rFonts w:cs="Arial" w:ascii="Arial" w:hAnsi="Arial"/>
        </w:rPr>
      </w:r>
    </w:p>
    <w:p>
      <w:pPr>
        <w:pStyle w:val="BodyText2"/>
        <w:tabs>
          <w:tab w:val="clear" w:pos="720"/>
          <w:tab w:val="left" w:pos="2520" w:leader="none"/>
        </w:tabs>
        <w:spacing w:lineRule="auto" w:line="360"/>
        <w:ind w:hanging="0" w:start="360" w:end="0"/>
        <w:rPr>
          <w:rFonts w:ascii="Arial" w:hAnsi="Arial" w:cs="Arial"/>
          <w:u w:val="single"/>
        </w:rPr>
      </w:pPr>
      <w:r>
        <w:rPr>
          <w:rFonts w:cs="Arial" w:ascii="Arial" w:hAnsi="Arial"/>
          <w:u w:val="single"/>
        </w:rPr>
      </w:r>
    </w:p>
    <w:p>
      <w:pPr>
        <w:pStyle w:val="BodyText2"/>
        <w:tabs>
          <w:tab w:val="clear" w:pos="720"/>
          <w:tab w:val="left" w:pos="2520" w:leader="none"/>
        </w:tabs>
        <w:spacing w:lineRule="auto" w:line="360"/>
        <w:ind w:hanging="0" w:start="360" w:end="0"/>
        <w:rPr>
          <w:rFonts w:ascii="Arial" w:hAnsi="Arial" w:cs="Arial"/>
          <w:u w:val="single"/>
        </w:rPr>
      </w:pPr>
      <w:r>
        <w:rPr>
          <w:rFonts w:cs="Arial" w:ascii="Arial" w:hAnsi="Arial"/>
          <w:u w:val="single"/>
        </w:rPr>
        <w:t>Steve Bergstrom, President</w:t>
      </w:r>
    </w:p>
    <w:p>
      <w:pPr>
        <w:pStyle w:val="BodyText2"/>
        <w:tabs>
          <w:tab w:val="clear" w:pos="720"/>
          <w:tab w:val="left" w:pos="2520" w:leader="none"/>
        </w:tabs>
        <w:spacing w:lineRule="auto" w:line="360"/>
        <w:ind w:hanging="0" w:start="360" w:end="0"/>
        <w:rPr/>
      </w:pPr>
      <w:r>
        <w:rPr>
          <w:rFonts w:cs="Arial" w:ascii="Arial" w:hAnsi="Arial"/>
        </w:rPr>
        <w:t xml:space="preserve">Good morning everyone  </w:t>
      </w:r>
      <w:r>
        <w:rPr>
          <w:rFonts w:cs="Arial" w:ascii="Arial" w:hAnsi="Arial"/>
          <w:i/>
        </w:rPr>
        <w:t>[Comment about merger…excited?]</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[PUT A STAKE IN IT – BE CONVINCING!  Need confidence]</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 xml:space="preserve">Enron is a earnings engine we are familiar with; in fact, I came from their core pipeline business about 15 years ago </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We’ve looked under the hood, performed some due diligence</w:t>
      </w:r>
    </w:p>
    <w:p>
      <w:pPr>
        <w:pStyle w:val="BodyText2"/>
        <w:numPr>
          <w:ilvl w:val="0"/>
          <w:numId w:val="2"/>
        </w:numPr>
        <w:tabs>
          <w:tab w:val="left" w:pos="720" w:leader="none"/>
          <w:tab w:val="left" w:pos="2520" w:leader="none"/>
        </w:tabs>
        <w:spacing w:lineRule="auto" w:line="360"/>
        <w:ind w:hanging="360" w:start="720" w:end="0"/>
        <w:rPr>
          <w:rFonts w:ascii="Arial" w:hAnsi="Arial" w:cs="Arial"/>
        </w:rPr>
      </w:pPr>
      <w:r>
        <w:rPr>
          <w:rFonts w:cs="Arial" w:ascii="Arial" w:hAnsi="Arial"/>
        </w:rPr>
        <w:t>Validate core energy business – strong / HUGE machine</w:t>
      </w:r>
    </w:p>
    <w:p>
      <w:pPr>
        <w:pStyle w:val="BodyText2"/>
        <w:numPr>
          <w:ilvl w:val="0"/>
          <w:numId w:val="2"/>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Never have been problems in their wholesale marketing and trading business and that’s where we see the greatest potential </w:t>
      </w:r>
    </w:p>
    <w:p>
      <w:pPr>
        <w:pStyle w:val="BodyText2"/>
        <w:numPr>
          <w:ilvl w:val="0"/>
          <w:numId w:val="2"/>
        </w:numPr>
        <w:tabs>
          <w:tab w:val="left" w:pos="720" w:leader="none"/>
          <w:tab w:val="left" w:pos="2520" w:leader="none"/>
        </w:tabs>
        <w:spacing w:lineRule="auto" w:line="360"/>
        <w:ind w:hanging="360" w:start="720" w:end="0"/>
        <w:rPr>
          <w:rFonts w:ascii="Arial" w:hAnsi="Arial" w:cs="Arial"/>
        </w:rPr>
      </w:pPr>
      <w:r>
        <w:rPr>
          <w:rFonts w:cs="Arial" w:ascii="Arial" w:hAnsi="Arial"/>
        </w:rPr>
        <w:t>SIGNIFICANT earnings and cash flow</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Under-performing assets have been dragging cash and earnings</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Once we clear the slate, which Rob will describe, we will unleash the value of Enron’s core energy franchise</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Acceleration of our strategy – step change…</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The combined entity will be very well positioned, with</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Intellectual capital leveraging core asset positions</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The leading wholesale natural gas and power franchises</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Principal energy market maker and liquidity provider</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Complementary physical and financial capabilities</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Comprehensive asset- backed energy delivery network</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Diverse pipelines and generation assets</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Premier technology infrastructure and platforms</w:t>
      </w:r>
    </w:p>
    <w:p>
      <w:pPr>
        <w:pStyle w:val="BodyText2"/>
        <w:tabs>
          <w:tab w:val="clear" w:pos="720"/>
          <w:tab w:val="left" w:pos="2520" w:leader="none"/>
        </w:tabs>
        <w:spacing w:lineRule="auto" w:line="360"/>
        <w:ind w:hanging="0" w:start="360" w:end="0"/>
        <w:rPr>
          <w:rFonts w:ascii="Arial" w:hAnsi="Arial" w:cs="Arial"/>
        </w:rPr>
      </w:pPr>
      <w:r>
        <w:rPr>
          <w:rFonts w:cs="Arial" w:ascii="Arial" w:hAnsi="Arial"/>
        </w:rPr>
      </w:r>
    </w:p>
    <w:p>
      <w:pPr>
        <w:pStyle w:val="BodyText2"/>
        <w:numPr>
          <w:ilvl w:val="0"/>
          <w:numId w:val="6"/>
        </w:numPr>
        <w:tabs>
          <w:tab w:val="clear" w:pos="720"/>
          <w:tab w:val="left" w:pos="2520" w:leader="none"/>
        </w:tabs>
        <w:spacing w:lineRule="auto" w:line="360"/>
        <w:rPr>
          <w:rFonts w:ascii="Arial" w:hAnsi="Arial" w:cs="Arial"/>
        </w:rPr>
      </w:pPr>
      <w:r>
        <w:rPr>
          <w:rFonts w:cs="Arial" w:ascii="Arial" w:hAnsi="Arial"/>
        </w:rPr>
        <w:t>Unmatched wholesale energy franchise</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Leading market maker for gas and power</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Well positioned, diversified energy network</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Superior risk management capabilities</w:t>
      </w:r>
    </w:p>
    <w:p>
      <w:pPr>
        <w:pStyle w:val="BodyText2"/>
        <w:numPr>
          <w:ilvl w:val="0"/>
          <w:numId w:val="6"/>
        </w:numPr>
        <w:tabs>
          <w:tab w:val="left" w:pos="720" w:leader="none"/>
          <w:tab w:val="left" w:pos="2520" w:leader="none"/>
        </w:tabs>
        <w:spacing w:lineRule="auto" w:line="360"/>
        <w:ind w:hanging="360" w:start="720" w:end="0"/>
        <w:rPr>
          <w:rFonts w:ascii="Arial" w:hAnsi="Arial" w:cs="Arial"/>
        </w:rPr>
      </w:pPr>
      <w:r>
        <w:rPr>
          <w:rFonts w:cs="Arial" w:ascii="Arial" w:hAnsi="Arial"/>
        </w:rPr>
        <w:t>Business acceleration through on-line trading</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13"/>
        </w:numPr>
        <w:tabs>
          <w:tab w:val="clear" w:pos="720"/>
          <w:tab w:val="left" w:pos="2520" w:leader="none"/>
        </w:tabs>
        <w:spacing w:lineRule="auto" w:line="360"/>
        <w:rPr>
          <w:rFonts w:ascii="Arial" w:hAnsi="Arial" w:cs="Arial"/>
        </w:rPr>
      </w:pPr>
      <w:r>
        <w:rPr>
          <w:rFonts w:cs="Arial" w:ascii="Arial" w:hAnsi="Arial"/>
        </w:rPr>
        <w:t>Synergies (+ cost savings / - business loss)</w:t>
      </w:r>
    </w:p>
    <w:p>
      <w:pPr>
        <w:pStyle w:val="BodyText2"/>
        <w:numPr>
          <w:ilvl w:val="0"/>
          <w:numId w:val="13"/>
        </w:numPr>
        <w:tabs>
          <w:tab w:val="clear" w:pos="720"/>
          <w:tab w:val="left" w:pos="2520" w:leader="none"/>
        </w:tabs>
        <w:spacing w:lineRule="auto" w:line="360"/>
        <w:rPr>
          <w:rFonts w:ascii="Arial" w:hAnsi="Arial" w:cs="Arial"/>
        </w:rPr>
      </w:pPr>
      <w:r>
        <w:rPr>
          <w:rFonts w:cs="Arial" w:ascii="Arial" w:hAnsi="Arial"/>
        </w:rPr>
        <w:t>Tremendous growth opportunities</w:t>
      </w:r>
    </w:p>
    <w:p>
      <w:pPr>
        <w:pStyle w:val="BodyText2"/>
        <w:numPr>
          <w:ilvl w:val="0"/>
          <w:numId w:val="13"/>
        </w:numPr>
        <w:tabs>
          <w:tab w:val="left" w:pos="720" w:leader="none"/>
          <w:tab w:val="left" w:pos="2520" w:leader="none"/>
        </w:tabs>
        <w:spacing w:lineRule="auto" w:line="360"/>
        <w:ind w:hanging="360" w:start="720" w:end="0"/>
        <w:rPr>
          <w:rFonts w:ascii="Arial" w:hAnsi="Arial" w:cs="Arial"/>
        </w:rPr>
      </w:pPr>
      <w:r>
        <w:rPr>
          <w:rFonts w:cs="Arial" w:ascii="Arial" w:hAnsi="Arial"/>
        </w:rPr>
        <w:t>Wholesale Gas and Power</w:t>
      </w:r>
    </w:p>
    <w:p>
      <w:pPr>
        <w:pStyle w:val="BodyText2"/>
        <w:numPr>
          <w:ilvl w:val="0"/>
          <w:numId w:val="13"/>
        </w:numPr>
        <w:tabs>
          <w:tab w:val="left" w:pos="720" w:leader="none"/>
          <w:tab w:val="left" w:pos="2520" w:leader="none"/>
        </w:tabs>
        <w:spacing w:lineRule="auto" w:line="360"/>
        <w:ind w:hanging="360" w:start="720" w:end="0"/>
        <w:rPr>
          <w:rFonts w:ascii="Arial" w:hAnsi="Arial" w:cs="Arial"/>
        </w:rPr>
      </w:pPr>
      <w:r>
        <w:rPr>
          <w:rFonts w:cs="Arial" w:ascii="Arial" w:hAnsi="Arial"/>
        </w:rPr>
        <w:t>Profitable Retail / C&amp;I business  [huge advantage]</w:t>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t>ROB DOTY</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t>[greetings, great to be here, love this deal]</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t>[MUST PUT A STAKE IN PARTNERSHIP HYSTERIA – BE CONFIDENT, REFERENCE MIRACLES OF PURCHASE ACCOUNTING THAT MAKE THIS DEAL WORK – WIPING SLATE CLEAN TO FREE UP THE ENGINE…]</w:t>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t>THE TRANSACTION</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Merger accounted for as a purchase of Enron by Dynegy</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All Enron assets and liabilities will be conservatively fair valued</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Appropriate reserves for litigation and other contingencies</w:t>
      </w:r>
    </w:p>
    <w:p>
      <w:pPr>
        <w:pStyle w:val="BodyText2"/>
        <w:numPr>
          <w:ilvl w:val="0"/>
          <w:numId w:val="12"/>
        </w:numPr>
        <w:tabs>
          <w:tab w:val="clear" w:pos="720"/>
          <w:tab w:val="left" w:pos="2520" w:leader="none"/>
        </w:tabs>
        <w:spacing w:lineRule="auto" w:line="360"/>
        <w:rPr>
          <w:rFonts w:ascii="Arial" w:hAnsi="Arial" w:cs="Arial"/>
        </w:rPr>
      </w:pPr>
      <w:r>
        <w:rPr>
          <w:rFonts w:cs="Arial" w:ascii="Arial" w:hAnsi="Arial"/>
        </w:rPr>
        <w:t>Stock-for-stock merger</w:t>
      </w:r>
    </w:p>
    <w:p>
      <w:pPr>
        <w:pStyle w:val="BodyText2"/>
        <w:numPr>
          <w:ilvl w:val="0"/>
          <w:numId w:val="12"/>
        </w:numPr>
        <w:tabs>
          <w:tab w:val="left" w:pos="720" w:leader="none"/>
          <w:tab w:val="left" w:pos="2520" w:leader="none"/>
        </w:tabs>
        <w:spacing w:lineRule="auto" w:line="360"/>
        <w:ind w:hanging="360" w:start="720" w:end="0"/>
        <w:rPr>
          <w:rFonts w:ascii="Arial" w:hAnsi="Arial" w:cs="Arial"/>
        </w:rPr>
      </w:pPr>
      <w:r>
        <w:rPr>
          <w:rFonts w:cs="Arial" w:ascii="Arial" w:hAnsi="Arial"/>
        </w:rPr>
        <w:t>Fixed conversion ratio of 0.2685 ENE per DYN share</w:t>
      </w:r>
    </w:p>
    <w:p>
      <w:pPr>
        <w:pStyle w:val="BodyText2"/>
        <w:numPr>
          <w:ilvl w:val="0"/>
          <w:numId w:val="12"/>
        </w:numPr>
        <w:tabs>
          <w:tab w:val="clear" w:pos="720"/>
          <w:tab w:val="left" w:pos="2520" w:leader="none"/>
        </w:tabs>
        <w:spacing w:lineRule="auto" w:line="360"/>
        <w:rPr>
          <w:rFonts w:ascii="Arial" w:hAnsi="Arial" w:cs="Arial"/>
        </w:rPr>
      </w:pPr>
      <w:r>
        <w:rPr>
          <w:rFonts w:cs="Arial" w:ascii="Arial" w:hAnsi="Arial"/>
        </w:rPr>
        <w:t>ChevronTexaco to invest $2.5 billion in convertible preferred equity</w:t>
      </w:r>
    </w:p>
    <w:p>
      <w:pPr>
        <w:pStyle w:val="BodyText2"/>
        <w:numPr>
          <w:ilvl w:val="0"/>
          <w:numId w:val="12"/>
        </w:numPr>
        <w:tabs>
          <w:tab w:val="left" w:pos="720" w:leader="none"/>
          <w:tab w:val="left" w:pos="2520" w:leader="none"/>
        </w:tabs>
        <w:spacing w:lineRule="auto" w:line="360"/>
        <w:ind w:hanging="360" w:start="720" w:end="0"/>
        <w:rPr>
          <w:rFonts w:ascii="Arial" w:hAnsi="Arial" w:cs="Arial"/>
        </w:rPr>
      </w:pPr>
      <w:r>
        <w:rPr>
          <w:rFonts w:cs="Arial" w:ascii="Arial" w:hAnsi="Arial"/>
        </w:rPr>
        <w:t>$1.5 billion invested immediately in DYN</w:t>
      </w:r>
    </w:p>
    <w:p>
      <w:pPr>
        <w:pStyle w:val="BodyText2"/>
        <w:numPr>
          <w:ilvl w:val="0"/>
          <w:numId w:val="12"/>
        </w:numPr>
        <w:tabs>
          <w:tab w:val="left" w:pos="720" w:leader="none"/>
          <w:tab w:val="left" w:pos="2520" w:leader="none"/>
        </w:tabs>
        <w:spacing w:lineRule="auto" w:line="360"/>
        <w:ind w:hanging="360" w:start="720" w:end="0"/>
        <w:rPr>
          <w:rFonts w:ascii="Arial" w:hAnsi="Arial" w:cs="Arial"/>
        </w:rPr>
      </w:pPr>
      <w:r>
        <w:rPr>
          <w:rFonts w:cs="Arial" w:ascii="Arial" w:hAnsi="Arial"/>
        </w:rPr>
        <w:t>DYN in turn invests $1.5 billion in convertible preferred interest in Northern Natural Gas pipeline</w:t>
      </w:r>
    </w:p>
    <w:p>
      <w:pPr>
        <w:pStyle w:val="BodyText2"/>
        <w:numPr>
          <w:ilvl w:val="0"/>
          <w:numId w:val="12"/>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This equity infusion will provide Enron immediate financial stability for the interim </w:t>
      </w:r>
    </w:p>
    <w:p>
      <w:pPr>
        <w:pStyle w:val="BodyText2"/>
        <w:numPr>
          <w:ilvl w:val="0"/>
          <w:numId w:val="12"/>
        </w:numPr>
        <w:tabs>
          <w:tab w:val="left" w:pos="720" w:leader="none"/>
          <w:tab w:val="left" w:pos="2520" w:leader="none"/>
        </w:tabs>
        <w:spacing w:lineRule="auto" w:line="360"/>
        <w:ind w:hanging="360" w:start="720" w:end="0"/>
        <w:rPr>
          <w:rFonts w:ascii="Arial" w:hAnsi="Arial" w:cs="Arial"/>
        </w:rPr>
      </w:pPr>
      <w:r>
        <w:rPr>
          <w:rFonts w:cs="Arial" w:ascii="Arial" w:hAnsi="Arial"/>
        </w:rPr>
        <w:t>ChevronTexaco will invest the other $1.0 billion upon closing</w:t>
      </w:r>
    </w:p>
    <w:p>
      <w:pPr>
        <w:pStyle w:val="BodyText2"/>
        <w:numPr>
          <w:ilvl w:val="0"/>
          <w:numId w:val="12"/>
        </w:numPr>
        <w:tabs>
          <w:tab w:val="left" w:pos="720" w:leader="none"/>
          <w:tab w:val="left" w:pos="2520" w:leader="none"/>
        </w:tabs>
        <w:spacing w:lineRule="auto" w:line="360"/>
        <w:ind w:hanging="360" w:start="720" w:end="0"/>
        <w:rPr>
          <w:rFonts w:ascii="Arial" w:hAnsi="Arial" w:cs="Arial"/>
        </w:rPr>
      </w:pPr>
      <w:r>
        <w:rPr>
          <w:rFonts w:cs="Arial" w:ascii="Arial" w:hAnsi="Arial"/>
        </w:rPr>
        <w:t>They have the option to purchase another $1.0 billion of shares over the next two years</w:t>
      </w:r>
    </w:p>
    <w:p>
      <w:pPr>
        <w:pStyle w:val="BodyText2"/>
        <w:numPr>
          <w:ilvl w:val="0"/>
          <w:numId w:val="12"/>
        </w:numPr>
        <w:tabs>
          <w:tab w:val="left" w:pos="720" w:leader="none"/>
          <w:tab w:val="left" w:pos="2520" w:leader="none"/>
        </w:tabs>
        <w:spacing w:lineRule="auto" w:line="360"/>
        <w:ind w:hanging="360" w:start="720" w:end="0"/>
        <w:rPr>
          <w:rFonts w:ascii="Arial" w:hAnsi="Arial" w:cs="Arial"/>
        </w:rPr>
      </w:pPr>
      <w:r>
        <w:rPr>
          <w:rFonts w:cs="Arial" w:ascii="Arial" w:hAnsi="Arial"/>
        </w:rPr>
        <w:t>Pre-emptive rights to maintain pro-rata ownership…</w:t>
      </w:r>
    </w:p>
    <w:p>
      <w:pPr>
        <w:pStyle w:val="BodyText2"/>
        <w:numPr>
          <w:ilvl w:val="0"/>
          <w:numId w:val="12"/>
        </w:numPr>
        <w:tabs>
          <w:tab w:val="clear" w:pos="720"/>
          <w:tab w:val="left" w:pos="2520" w:leader="none"/>
        </w:tabs>
        <w:spacing w:lineRule="auto" w:line="360"/>
        <w:rPr>
          <w:rFonts w:ascii="Arial" w:hAnsi="Arial" w:cs="Arial"/>
        </w:rPr>
      </w:pPr>
      <w:r>
        <w:rPr>
          <w:rFonts w:cs="Arial" w:ascii="Arial" w:hAnsi="Arial"/>
        </w:rPr>
        <w:t>MAC clause – general, SEC and litigation specific</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The merger is expected to close in the third quarter of 2002</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Approvals: FERC, SEC, HSR</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 xml:space="preserve">This merger is substantially accretive in the first year </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Dyn earnings estimate of $2.50 - $2.60, consensus at $2.56</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Ene current earnings estimate of $2.15, consensus at $2.09</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Even with conservative discount to Ene estimate 15 to 20% </w:t>
      </w:r>
    </w:p>
    <w:p>
      <w:pPr>
        <w:pStyle w:val="BodyText2"/>
        <w:tabs>
          <w:tab w:val="clear" w:pos="720"/>
          <w:tab w:val="left" w:pos="2520" w:leader="none"/>
        </w:tabs>
        <w:spacing w:lineRule="auto" w:line="360"/>
        <w:ind w:hanging="0" w:start="360" w:end="0"/>
        <w:rPr>
          <w:rFonts w:ascii="Arial" w:hAnsi="Arial" w:cs="Arial"/>
        </w:rPr>
      </w:pPr>
      <w:r>
        <w:rPr>
          <w:rFonts w:cs="Arial" w:ascii="Arial" w:hAnsi="Arial"/>
        </w:rPr>
        <w:t>~ $1.70 to $1.80</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Combined pro forma 2002 annual eps estimate is $3.10 – 3.15</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New company shares outstanding of ~ 645</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Even discounted, before synergies, this is still highly accretive at $0.55 to $0.60 or about 20%</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This is a conservative, or down-side case</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Have visited the rating agencies … maintaining investment grade status</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Restoration of investor confidence is a top priority</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Financial disclosure will be comprehensive and understandable</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Continue conservative accounting policies</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Combined company will have significant cash flows and strong balance sheet</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 xml:space="preserve">Still targeting debt to equity of no more than 50-55%, currently DYN 52% expected to in the mid 40’s after the merger closing </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Targeting growth rate of 15-20% annually</w:t>
      </w:r>
    </w:p>
    <w:p>
      <w:pPr>
        <w:pStyle w:val="BodyText2"/>
        <w:tabs>
          <w:tab w:val="clear" w:pos="720"/>
          <w:tab w:val="left" w:pos="2520" w:leader="none"/>
        </w:tabs>
        <w:spacing w:lineRule="auto" w:line="360"/>
        <w:rPr>
          <w:rFonts w:ascii="Arial" w:hAnsi="Arial" w:cs="Arial"/>
          <w:u w:val="single"/>
        </w:rPr>
      </w:pPr>
      <w:r>
        <w:rPr>
          <w:rFonts w:cs="Arial" w:ascii="Arial" w:hAnsi="Arial"/>
          <w:u w:val="single"/>
        </w:rPr>
      </w:r>
    </w:p>
    <w:p>
      <w:pPr>
        <w:pStyle w:val="BodyText2"/>
        <w:tabs>
          <w:tab w:val="clear" w:pos="720"/>
          <w:tab w:val="left" w:pos="2520" w:leader="none"/>
        </w:tabs>
        <w:spacing w:lineRule="auto" w:line="360"/>
        <w:rPr>
          <w:rFonts w:ascii="Arial" w:hAnsi="Arial" w:cs="Arial"/>
          <w:u w:val="single"/>
        </w:rPr>
      </w:pPr>
      <w:r>
        <w:rPr>
          <w:rFonts w:cs="Arial" w:ascii="Arial" w:hAnsi="Arial"/>
          <w:u w:val="single"/>
        </w:rPr>
        <w:t>Ken Lay</w:t>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r>
    </w:p>
    <w:p>
      <w:pPr>
        <w:pStyle w:val="BodyText2"/>
        <w:numPr>
          <w:ilvl w:val="0"/>
          <w:numId w:val="11"/>
        </w:numPr>
        <w:tabs>
          <w:tab w:val="clear" w:pos="720"/>
          <w:tab w:val="left" w:pos="2520" w:leader="none"/>
        </w:tabs>
        <w:spacing w:lineRule="auto" w:line="360"/>
        <w:rPr>
          <w:rFonts w:ascii="Arial" w:hAnsi="Arial" w:cs="Arial"/>
        </w:rPr>
      </w:pPr>
      <w:r>
        <w:rPr>
          <w:rFonts w:cs="Arial" w:ascii="Arial" w:hAnsi="Arial"/>
        </w:rPr>
        <w:t xml:space="preserve">This merger protects Enron’s core franchise and enables the stockholders of both companies to participate in the tremendous upside of the combined enterprise.  </w:t>
      </w:r>
    </w:p>
    <w:p>
      <w:pPr>
        <w:pStyle w:val="BodyText2"/>
        <w:numPr>
          <w:ilvl w:val="0"/>
          <w:numId w:val="11"/>
        </w:numPr>
        <w:tabs>
          <w:tab w:val="clear" w:pos="720"/>
          <w:tab w:val="left" w:pos="2520" w:leader="none"/>
        </w:tabs>
        <w:spacing w:lineRule="auto" w:line="360"/>
        <w:rPr>
          <w:rFonts w:ascii="Arial" w:hAnsi="Arial" w:cs="Arial"/>
        </w:rPr>
      </w:pPr>
      <w:r>
        <w:rPr>
          <w:rFonts w:cs="Arial" w:ascii="Arial" w:hAnsi="Arial"/>
        </w:rPr>
        <w:t xml:space="preserve">We knew that Dynegy would appreciate the true earnings potential of our core franchise </w:t>
      </w:r>
    </w:p>
    <w:p>
      <w:pPr>
        <w:pStyle w:val="BodyText2"/>
        <w:numPr>
          <w:ilvl w:val="0"/>
          <w:numId w:val="11"/>
        </w:numPr>
        <w:tabs>
          <w:tab w:val="clear" w:pos="720"/>
          <w:tab w:val="left" w:pos="2520" w:leader="none"/>
        </w:tabs>
        <w:spacing w:lineRule="auto" w:line="360"/>
        <w:rPr>
          <w:rFonts w:ascii="Arial" w:hAnsi="Arial" w:cs="Arial"/>
        </w:rPr>
      </w:pPr>
      <w:r>
        <w:rPr>
          <w:rFonts w:cs="Arial" w:ascii="Arial" w:hAnsi="Arial"/>
        </w:rPr>
        <w:t>Few of the alternatives we considered could assess and rapidly assimilate with Enron’s marketing and trading business</w:t>
      </w:r>
    </w:p>
    <w:p>
      <w:pPr>
        <w:pStyle w:val="BodyText2"/>
        <w:numPr>
          <w:ilvl w:val="0"/>
          <w:numId w:val="11"/>
        </w:numPr>
        <w:tabs>
          <w:tab w:val="clear" w:pos="720"/>
          <w:tab w:val="left" w:pos="2520" w:leader="none"/>
        </w:tabs>
        <w:spacing w:lineRule="auto" w:line="360"/>
        <w:rPr>
          <w:rFonts w:ascii="Arial" w:hAnsi="Arial" w:cs="Arial"/>
        </w:rPr>
      </w:pPr>
      <w:r>
        <w:rPr>
          <w:rFonts w:cs="Arial" w:ascii="Arial" w:hAnsi="Arial"/>
        </w:rPr>
        <w:t>This is an outstanding opportunity:</w:t>
      </w:r>
    </w:p>
    <w:p>
      <w:pPr>
        <w:pStyle w:val="BodyText2"/>
        <w:numPr>
          <w:ilvl w:val="0"/>
          <w:numId w:val="11"/>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The company we are creating will have a strong balance sheet, a world-class merchant energy operation and ample liquidity.  </w:t>
      </w:r>
    </w:p>
    <w:p>
      <w:pPr>
        <w:pStyle w:val="BodyText2"/>
        <w:numPr>
          <w:ilvl w:val="0"/>
          <w:numId w:val="11"/>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It will build upon the strength of our core wholesale gas and power franchise. </w:t>
      </w:r>
    </w:p>
    <w:p>
      <w:pPr>
        <w:pStyle w:val="BodyText2"/>
        <w:numPr>
          <w:ilvl w:val="0"/>
          <w:numId w:val="11"/>
        </w:numPr>
        <w:tabs>
          <w:tab w:val="left" w:pos="720" w:leader="none"/>
          <w:tab w:val="left" w:pos="2520" w:leader="none"/>
        </w:tabs>
        <w:spacing w:lineRule="auto" w:line="360"/>
        <w:ind w:hanging="360" w:start="720" w:end="0"/>
        <w:rPr>
          <w:rFonts w:ascii="Arial" w:hAnsi="Arial" w:cs="Arial"/>
        </w:rPr>
      </w:pPr>
      <w:r>
        <w:rPr>
          <w:rFonts w:eastAsia="Arial" w:cs="Arial" w:ascii="Arial" w:hAnsi="Arial"/>
        </w:rPr>
        <w:t xml:space="preserve"> </w:t>
      </w:r>
      <w:r>
        <w:rPr>
          <w:rFonts w:cs="Arial" w:ascii="Arial" w:hAnsi="Arial"/>
        </w:rPr>
        <w:t xml:space="preserve">It will solidify Houston’s position as the energy capital of the world and join together two companies with deep roots in the Houston community and the energy industry. </w:t>
      </w:r>
    </w:p>
    <w:p>
      <w:pPr>
        <w:pStyle w:val="BodyText2"/>
        <w:numPr>
          <w:ilvl w:val="0"/>
          <w:numId w:val="11"/>
        </w:numPr>
        <w:tabs>
          <w:tab w:val="clear" w:pos="720"/>
          <w:tab w:val="left" w:pos="2520" w:leader="none"/>
        </w:tabs>
        <w:spacing w:lineRule="auto" w:line="360"/>
        <w:rPr>
          <w:rFonts w:ascii="Arial" w:hAnsi="Arial" w:cs="Arial"/>
        </w:rPr>
      </w:pPr>
      <w:r>
        <w:rPr>
          <w:rFonts w:eastAsia="Arial" w:cs="Arial" w:ascii="Arial" w:hAnsi="Arial"/>
        </w:rPr>
        <w:t xml:space="preserve"> </w:t>
      </w:r>
      <w:r>
        <w:rPr>
          <w:rFonts w:cs="Arial" w:ascii="Arial" w:hAnsi="Arial"/>
        </w:rPr>
        <w:t>I am personally committed to working with Chuck and Steve and their colleagues in the months ahead to accomplish the merger, and to build a solid foundation for future value creation.</w:t>
      </w:r>
    </w:p>
    <w:p>
      <w:pPr>
        <w:pStyle w:val="BodyText2"/>
        <w:tabs>
          <w:tab w:val="clear" w:pos="720"/>
          <w:tab w:val="left" w:pos="2520" w:leader="none"/>
        </w:tabs>
        <w:spacing w:lineRule="auto" w:line="360"/>
        <w:rPr>
          <w:rFonts w:ascii="Arial" w:hAnsi="Arial" w:cs="Arial"/>
          <w:u w:val="single"/>
        </w:rPr>
      </w:pPr>
      <w:r>
        <w:rPr>
          <w:rFonts w:cs="Arial" w:ascii="Arial" w:hAnsi="Arial"/>
          <w:u w:val="single"/>
        </w:rPr>
      </w:r>
    </w:p>
    <w:p>
      <w:pPr>
        <w:pStyle w:val="BodyText2"/>
        <w:tabs>
          <w:tab w:val="clear" w:pos="720"/>
          <w:tab w:val="left" w:pos="2520" w:leader="none"/>
        </w:tabs>
        <w:spacing w:lineRule="auto" w:line="360"/>
        <w:ind w:hanging="0" w:start="360" w:end="0"/>
        <w:rPr>
          <w:rFonts w:ascii="Arial" w:hAnsi="Arial" w:cs="Arial"/>
          <w:u w:val="single"/>
        </w:rPr>
      </w:pPr>
      <w:r>
        <w:rPr>
          <w:rFonts w:cs="Arial" w:ascii="Arial" w:hAnsi="Arial"/>
          <w:u w:val="single"/>
        </w:rPr>
      </w:r>
    </w:p>
    <w:p>
      <w:pPr>
        <w:pStyle w:val="BodyText2"/>
        <w:tabs>
          <w:tab w:val="clear" w:pos="720"/>
          <w:tab w:val="left" w:pos="2520" w:leader="none"/>
        </w:tabs>
        <w:spacing w:lineRule="auto" w:line="360"/>
        <w:rPr>
          <w:rFonts w:ascii="Arial" w:hAnsi="Arial" w:cs="Arial"/>
          <w:u w:val="single"/>
        </w:rPr>
      </w:pPr>
      <w:r>
        <w:rPr>
          <w:rFonts w:cs="Arial" w:ascii="Arial" w:hAnsi="Arial"/>
          <w:u w:val="single"/>
        </w:rPr>
        <w:t>Greg Whalley</w:t>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r>
    </w:p>
    <w:p>
      <w:pPr>
        <w:pStyle w:val="BodyText2"/>
        <w:numPr>
          <w:ilvl w:val="0"/>
          <w:numId w:val="14"/>
        </w:numPr>
        <w:tabs>
          <w:tab w:val="clear" w:pos="720"/>
          <w:tab w:val="left" w:pos="2520" w:leader="none"/>
        </w:tabs>
        <w:spacing w:lineRule="auto" w:line="360"/>
        <w:rPr>
          <w:rFonts w:ascii="Arial" w:hAnsi="Arial" w:cs="Arial"/>
        </w:rPr>
      </w:pPr>
      <w:r>
        <w:rPr>
          <w:rFonts w:cs="Arial" w:ascii="Arial" w:hAnsi="Arial"/>
        </w:rPr>
        <w:t>[greetings, what you think about merger]</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14"/>
        </w:numPr>
        <w:tabs>
          <w:tab w:val="clear" w:pos="720"/>
          <w:tab w:val="left" w:pos="2520" w:leader="none"/>
        </w:tabs>
        <w:spacing w:lineRule="auto" w:line="360"/>
        <w:rPr>
          <w:rFonts w:ascii="Arial" w:hAnsi="Arial" w:cs="Arial"/>
        </w:rPr>
      </w:pPr>
      <w:r>
        <w:rPr>
          <w:rFonts w:cs="Arial" w:ascii="Arial" w:hAnsi="Arial"/>
        </w:rPr>
        <w:t>[quote from release] “Together with Enron’s recently completed bank financing, this cash infusion is expected immediately to provide Enron with ample liquidity and enable Enron to maintain and grow its energy marketing and trading and other core businesses”</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14"/>
        </w:numPr>
        <w:tabs>
          <w:tab w:val="clear" w:pos="720"/>
          <w:tab w:val="left" w:pos="2520" w:leader="none"/>
        </w:tabs>
        <w:spacing w:lineRule="auto" w:line="360"/>
        <w:rPr>
          <w:rFonts w:ascii="Arial" w:hAnsi="Arial" w:cs="Arial"/>
        </w:rPr>
      </w:pPr>
      <w:r>
        <w:rPr>
          <w:rFonts w:cs="Arial" w:ascii="Arial" w:hAnsi="Arial"/>
        </w:rPr>
        <w:t>This is the best solution for Enron and its stakeholders</w:t>
      </w:r>
    </w:p>
    <w:p>
      <w:pPr>
        <w:pStyle w:val="BodyText2"/>
        <w:numPr>
          <w:ilvl w:val="0"/>
          <w:numId w:val="14"/>
        </w:numPr>
        <w:tabs>
          <w:tab w:val="clear" w:pos="720"/>
          <w:tab w:val="left" w:pos="2520" w:leader="none"/>
        </w:tabs>
        <w:spacing w:lineRule="auto" w:line="360"/>
        <w:rPr>
          <w:rFonts w:ascii="Arial" w:hAnsi="Arial" w:cs="Arial"/>
        </w:rPr>
      </w:pPr>
      <w:r>
        <w:rPr>
          <w:rFonts w:cs="Arial" w:ascii="Arial" w:hAnsi="Arial"/>
        </w:rPr>
        <w:t xml:space="preserve">This merger validates the strength underlying Enron’s core energy business </w:t>
      </w:r>
    </w:p>
    <w:p>
      <w:pPr>
        <w:pStyle w:val="BodyText2"/>
        <w:numPr>
          <w:ilvl w:val="0"/>
          <w:numId w:val="14"/>
        </w:numPr>
        <w:tabs>
          <w:tab w:val="clear" w:pos="720"/>
          <w:tab w:val="left" w:pos="2520" w:leader="none"/>
        </w:tabs>
        <w:spacing w:lineRule="auto" w:line="360"/>
        <w:rPr>
          <w:rFonts w:ascii="Arial" w:hAnsi="Arial" w:cs="Arial"/>
        </w:rPr>
      </w:pPr>
      <w:r>
        <w:rPr>
          <w:rFonts w:cs="Arial" w:ascii="Arial" w:hAnsi="Arial"/>
        </w:rPr>
        <w:t>Protects and enhances the core energy franchise</w:t>
      </w:r>
    </w:p>
    <w:p>
      <w:pPr>
        <w:pStyle w:val="BodyText2"/>
        <w:numPr>
          <w:ilvl w:val="0"/>
          <w:numId w:val="14"/>
        </w:numPr>
        <w:tabs>
          <w:tab w:val="clear" w:pos="720"/>
          <w:tab w:val="left" w:pos="2520" w:leader="none"/>
        </w:tabs>
        <w:spacing w:lineRule="auto" w:line="360"/>
        <w:rPr>
          <w:rFonts w:ascii="Arial" w:hAnsi="Arial" w:cs="Arial"/>
        </w:rPr>
      </w:pPr>
      <w:r>
        <w:rPr>
          <w:rFonts w:cs="Arial" w:ascii="Arial" w:hAnsi="Arial"/>
        </w:rPr>
        <w:t xml:space="preserve">Best fit culturally and strategically </w:t>
      </w:r>
    </w:p>
    <w:p>
      <w:pPr>
        <w:pStyle w:val="BodyText2"/>
        <w:numPr>
          <w:ilvl w:val="0"/>
          <w:numId w:val="14"/>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Dynegy really understands our business </w:t>
      </w:r>
    </w:p>
    <w:p>
      <w:pPr>
        <w:pStyle w:val="BodyText2"/>
        <w:numPr>
          <w:ilvl w:val="0"/>
          <w:numId w:val="14"/>
        </w:numPr>
        <w:tabs>
          <w:tab w:val="left" w:pos="720" w:leader="none"/>
          <w:tab w:val="left" w:pos="2520" w:leader="none"/>
        </w:tabs>
        <w:spacing w:lineRule="auto" w:line="360"/>
        <w:ind w:hanging="360" w:start="720" w:end="0"/>
        <w:rPr>
          <w:rFonts w:ascii="Arial" w:hAnsi="Arial" w:cs="Arial"/>
        </w:rPr>
      </w:pPr>
      <w:r>
        <w:rPr>
          <w:rFonts w:cs="Arial" w:ascii="Arial" w:hAnsi="Arial"/>
        </w:rPr>
        <w:t>Our employees have similar skillsets and they understand the complexities of this business</w:t>
      </w:r>
    </w:p>
    <w:p>
      <w:pPr>
        <w:pStyle w:val="BodyText2"/>
        <w:numPr>
          <w:ilvl w:val="0"/>
          <w:numId w:val="14"/>
        </w:numPr>
        <w:tabs>
          <w:tab w:val="clear" w:pos="720"/>
          <w:tab w:val="left" w:pos="2520" w:leader="none"/>
        </w:tabs>
        <w:spacing w:lineRule="auto" w:line="360"/>
        <w:rPr>
          <w:rFonts w:ascii="Arial" w:hAnsi="Arial" w:cs="Arial"/>
        </w:rPr>
      </w:pPr>
      <w:r>
        <w:rPr>
          <w:rFonts w:cs="Arial" w:ascii="Arial" w:hAnsi="Arial"/>
        </w:rPr>
        <w:t>Stock transaction provides greatest potential value to shareholders</w:t>
      </w:r>
    </w:p>
    <w:p>
      <w:pPr>
        <w:pStyle w:val="BodyText2"/>
        <w:numPr>
          <w:ilvl w:val="0"/>
          <w:numId w:val="14"/>
        </w:numPr>
        <w:tabs>
          <w:tab w:val="clear" w:pos="720"/>
          <w:tab w:val="left" w:pos="2520" w:leader="none"/>
        </w:tabs>
        <w:spacing w:lineRule="auto" w:line="360"/>
        <w:rPr>
          <w:rFonts w:ascii="Arial" w:hAnsi="Arial" w:cs="Arial"/>
        </w:rPr>
      </w:pPr>
      <w:r>
        <w:rPr>
          <w:rFonts w:cs="Arial" w:ascii="Arial" w:hAnsi="Arial"/>
        </w:rPr>
        <w:t>Ultimately, hope to restore confidence and access to capital markets</w:t>
      </w:r>
    </w:p>
    <w:p>
      <w:pPr>
        <w:pStyle w:val="BodyText2"/>
        <w:tabs>
          <w:tab w:val="clear" w:pos="720"/>
          <w:tab w:val="left" w:pos="2520" w:leader="none"/>
        </w:tabs>
        <w:spacing w:lineRule="auto" w:line="360"/>
        <w:rPr>
          <w:rFonts w:ascii="Arial" w:hAnsi="Arial" w:cs="Arial"/>
        </w:rPr>
      </w:pPr>
      <w:r>
        <w:rPr>
          <w:rFonts w:cs="Arial" w:ascii="Arial" w:hAnsi="Arial"/>
        </w:rPr>
      </w:r>
    </w:p>
    <w:p>
      <w:pPr>
        <w:pStyle w:val="BodyText2"/>
        <w:tabs>
          <w:tab w:val="clear" w:pos="720"/>
          <w:tab w:val="left" w:pos="2520" w:leader="none"/>
        </w:tabs>
        <w:spacing w:lineRule="auto" w:line="360"/>
        <w:rPr>
          <w:rFonts w:ascii="Arial" w:hAnsi="Arial" w:cs="Arial"/>
          <w:u w:val="single"/>
        </w:rPr>
      </w:pPr>
      <w:r>
        <w:rPr>
          <w:rFonts w:cs="Arial" w:ascii="Arial" w:hAnsi="Arial"/>
          <w:u w:val="single"/>
        </w:rPr>
        <w:t>Jeff McMahon</w:t>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rPr>
        <w:t>8K – ENRON FINANCIAL DISCLOSURE COMMENTARY (to be provided by Enron)</w:t>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t>Chuck Watson wrap</w:t>
      </w:r>
    </w:p>
    <w:p>
      <w:pPr>
        <w:pStyle w:val="BodyText2"/>
        <w:numPr>
          <w:ilvl w:val="0"/>
          <w:numId w:val="8"/>
        </w:numPr>
        <w:tabs>
          <w:tab w:val="clear" w:pos="720"/>
          <w:tab w:val="left" w:pos="2520" w:leader="none"/>
        </w:tabs>
        <w:spacing w:lineRule="auto" w:line="360"/>
        <w:rPr>
          <w:rFonts w:ascii="Arial" w:hAnsi="Arial" w:cs="Arial"/>
        </w:rPr>
      </w:pPr>
      <w:r>
        <w:rPr>
          <w:rFonts w:cs="Arial" w:ascii="Arial" w:hAnsi="Arial"/>
        </w:rPr>
        <w:t xml:space="preserve">Especially difficult for the Enron employees </w:t>
      </w:r>
    </w:p>
    <w:p>
      <w:pPr>
        <w:pStyle w:val="BodyText2"/>
        <w:numPr>
          <w:ilvl w:val="0"/>
          <w:numId w:val="8"/>
        </w:numPr>
        <w:tabs>
          <w:tab w:val="left" w:pos="720" w:leader="none"/>
          <w:tab w:val="left" w:pos="2520" w:leader="none"/>
        </w:tabs>
        <w:spacing w:lineRule="auto" w:line="360"/>
        <w:ind w:hanging="360" w:start="720" w:end="0"/>
        <w:rPr>
          <w:rFonts w:ascii="Arial" w:hAnsi="Arial" w:cs="Arial"/>
        </w:rPr>
      </w:pPr>
      <w:r>
        <w:rPr>
          <w:rFonts w:cs="Arial" w:ascii="Arial" w:hAnsi="Arial"/>
        </w:rPr>
        <w:t>We’ve been rivals</w:t>
      </w:r>
    </w:p>
    <w:p>
      <w:pPr>
        <w:pStyle w:val="BodyText2"/>
        <w:numPr>
          <w:ilvl w:val="0"/>
          <w:numId w:val="8"/>
        </w:numPr>
        <w:tabs>
          <w:tab w:val="left" w:pos="720" w:leader="none"/>
          <w:tab w:val="left" w:pos="2520" w:leader="none"/>
        </w:tabs>
        <w:spacing w:lineRule="auto" w:line="360"/>
        <w:ind w:hanging="360" w:start="720" w:end="0"/>
        <w:rPr>
          <w:rFonts w:ascii="Arial" w:hAnsi="Arial" w:cs="Arial"/>
        </w:rPr>
      </w:pPr>
      <w:r>
        <w:rPr>
          <w:rFonts w:cs="Arial" w:ascii="Arial" w:hAnsi="Arial"/>
        </w:rPr>
        <w:t>Now we’re teammates</w:t>
      </w:r>
    </w:p>
    <w:p>
      <w:pPr>
        <w:pStyle w:val="BodyText2"/>
        <w:numPr>
          <w:ilvl w:val="0"/>
          <w:numId w:val="8"/>
        </w:numPr>
        <w:tabs>
          <w:tab w:val="clear" w:pos="720"/>
          <w:tab w:val="left" w:pos="2520" w:leader="none"/>
        </w:tabs>
        <w:spacing w:lineRule="auto" w:line="360"/>
        <w:rPr>
          <w:rFonts w:ascii="Arial" w:hAnsi="Arial" w:cs="Arial"/>
        </w:rPr>
      </w:pPr>
      <w:r>
        <w:rPr>
          <w:rFonts w:cs="Arial" w:ascii="Arial" w:hAnsi="Arial"/>
        </w:rPr>
        <w:t>Let me just say…</w:t>
      </w:r>
    </w:p>
    <w:p>
      <w:pPr>
        <w:pStyle w:val="BodyText2"/>
        <w:tabs>
          <w:tab w:val="clear" w:pos="720"/>
          <w:tab w:val="left" w:pos="2520" w:leader="none"/>
        </w:tabs>
        <w:spacing w:lineRule="auto" w:line="360"/>
        <w:rPr>
          <w:rFonts w:ascii="Arial" w:hAnsi="Arial" w:cs="Arial"/>
        </w:rPr>
      </w:pPr>
      <w:r>
        <w:rPr>
          <w:rFonts w:cs="Arial" w:ascii="Arial" w:hAnsi="Arial"/>
        </w:rPr>
      </w:r>
    </w:p>
    <w:p>
      <w:pPr>
        <w:pStyle w:val="BodyText2"/>
        <w:tabs>
          <w:tab w:val="clear" w:pos="720"/>
          <w:tab w:val="left" w:pos="2520" w:leader="none"/>
        </w:tabs>
        <w:spacing w:lineRule="auto" w:line="360"/>
        <w:rPr>
          <w:rFonts w:ascii="Arial" w:hAnsi="Arial" w:cs="Arial"/>
        </w:rPr>
      </w:pPr>
      <w:r>
        <w:rPr>
          <w:rFonts w:cs="Arial" w:ascii="Arial" w:hAnsi="Arial"/>
        </w:rPr>
        <w:t>Operator we’d like to open the call up to questions now.</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numFmt w:val="bullet"/>
      <w:lvlText w:val="-"/>
      <w:lvlJc w:val="start"/>
      <w:pPr>
        <w:tabs>
          <w:tab w:val="num" w:pos="1440"/>
        </w:tabs>
        <w:ind w:start="1440" w:hanging="720"/>
      </w:pPr>
      <w:rPr>
        <w:rFonts w:ascii="Liberation Serif" w:hAnsi="Liberation Serif" w:cs="Liberation Serif"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numFmt w:val="bullet"/>
      <w:lvlText w:val="-"/>
      <w:lvlJc w:val="start"/>
      <w:pPr>
        <w:tabs>
          <w:tab w:val="num" w:pos="1440"/>
        </w:tabs>
        <w:ind w:start="1440" w:hanging="720"/>
      </w:pPr>
      <w:rPr>
        <w:rFonts w:ascii="Liberation Serif" w:hAnsi="Liberation Serif" w:cs="Liberation Serif"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numFmt w:val="bullet"/>
      <w:lvlText w:val="-"/>
      <w:lvlJc w:val="start"/>
      <w:pPr>
        <w:tabs>
          <w:tab w:val="num" w:pos="1440"/>
        </w:tabs>
        <w:ind w:start="1440" w:hanging="720"/>
      </w:pPr>
      <w:rPr>
        <w:rFonts w:ascii="Liberation Serif" w:hAnsi="Liberation Serif" w:cs="Liberation Serif" w:hint="default"/>
      </w:rPr>
    </w:lvl>
  </w:abstractNum>
  <w:abstractNum w:abstractNumId="16">
    <w:lvl w:ilvl="0">
      <w:numFmt w:val="bullet"/>
      <w:lvlText w:val=""/>
      <w:lvlJc w:val="start"/>
      <w:pPr>
        <w:tabs>
          <w:tab w:val="num" w:pos="360"/>
        </w:tabs>
        <w:ind w:start="25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rFonts w:ascii="Wingdings" w:hAnsi="Wingdings" w:cs="Wingdings"/>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style>
  <w:style w:type="character" w:styleId="WW8Num41z0">
    <w:name w:val="WW8Num41z0"/>
    <w:qFormat/>
    <w:rPr>
      <w:rFonts w:ascii="Symbol" w:hAnsi="Symbol" w:cs="Symbol"/>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style>
  <w:style w:type="character" w:styleId="WW8Num63z0">
    <w:name w:val="WW8Num63z0"/>
    <w:qFormat/>
    <w:rPr/>
  </w:style>
  <w:style w:type="character" w:styleId="WW8Num64z0">
    <w:name w:val="WW8Num64z0"/>
    <w:qFormat/>
    <w:rPr>
      <w:rFonts w:ascii="Symbol" w:hAnsi="Symbol" w:cs="Symbol"/>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Wingdings" w:hAnsi="Wingdings" w:cs="Wingdings"/>
    </w:rPr>
  </w:style>
  <w:style w:type="character" w:styleId="WW8Num85z0">
    <w:name w:val="WW8Num85z0"/>
    <w:qFormat/>
    <w:rPr/>
  </w:style>
  <w:style w:type="character" w:styleId="WW8Num86z0">
    <w:name w:val="WW8Num86z0"/>
    <w:qFormat/>
    <w:rPr>
      <w:rFonts w:ascii="Symbol" w:hAnsi="Symbol" w:cs="Symbol"/>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rFonts w:ascii="Symbol" w:hAnsi="Symbol" w:cs="Symbol"/>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rFonts w:ascii="Symbol" w:hAnsi="Symbol" w:cs="Symbol"/>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style>
  <w:style w:type="character" w:styleId="WW8Num100z0">
    <w:name w:val="WW8Num100z0"/>
    <w:qFormat/>
    <w:rPr>
      <w:rFonts w:ascii="Symbol" w:hAnsi="Symbol" w:cs="Symbol"/>
    </w:rPr>
  </w:style>
  <w:style w:type="character" w:styleId="WW8Num101z0">
    <w:name w:val="WW8Num101z0"/>
    <w:qFormat/>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style>
  <w:style w:type="character" w:styleId="WW8Num113z0">
    <w:name w:val="WW8Num113z0"/>
    <w:qFormat/>
    <w:rPr>
      <w:rFonts w:ascii="Symbol" w:hAnsi="Symbol" w:cs="Symbol"/>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rFonts w:ascii="Symbol" w:hAnsi="Symbol" w:cs="Symbol"/>
    </w:rPr>
  </w:style>
  <w:style w:type="character" w:styleId="WW8Num140z0">
    <w:name w:val="WW8Num140z0"/>
    <w:qFormat/>
    <w:rPr>
      <w:rFonts w:ascii="Wingdings" w:hAnsi="Wingdings" w:cs="Wingdings"/>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style>
  <w:style w:type="character" w:styleId="WW8Num153z0">
    <w:name w:val="WW8Num153z0"/>
    <w:qFormat/>
    <w:rPr>
      <w:rFonts w:ascii="Symbol" w:hAnsi="Symbol" w:cs="Symbol"/>
    </w:rPr>
  </w:style>
  <w:style w:type="character" w:styleId="WW8Num154z0">
    <w:name w:val="WW8Num154z0"/>
    <w:qFormat/>
    <w:rPr/>
  </w:style>
  <w:style w:type="character" w:styleId="WW8Num155z0">
    <w:name w:val="WW8Num155z0"/>
    <w:qFormat/>
    <w:rPr/>
  </w:style>
  <w:style w:type="character" w:styleId="WW8Num156z0">
    <w:name w:val="WW8Num156z0"/>
    <w:qFormat/>
    <w:rPr>
      <w:rFonts w:ascii="Symbol" w:hAnsi="Symbol" w:cs="Symbol"/>
    </w:rPr>
  </w:style>
  <w:style w:type="character" w:styleId="WW8Num157z0">
    <w:name w:val="WW8Num157z0"/>
    <w:qFormat/>
    <w:rPr>
      <w:rFonts w:ascii="Symbol" w:hAnsi="Symbol" w:cs="Symbol"/>
    </w:rPr>
  </w:style>
  <w:style w:type="character" w:styleId="WW8Num158z0">
    <w:name w:val="WW8Num158z0"/>
    <w:qFormat/>
    <w:rPr/>
  </w:style>
  <w:style w:type="character" w:styleId="WW8Num159z0">
    <w:name w:val="WW8Num159z0"/>
    <w:qFormat/>
    <w:rPr/>
  </w:style>
  <w:style w:type="character" w:styleId="WW8Num160z0">
    <w:name w:val="WW8Num160z0"/>
    <w:qFormat/>
    <w:rPr>
      <w:rFonts w:ascii="Symbol" w:hAnsi="Symbol" w:cs="Symbol"/>
    </w:rPr>
  </w:style>
  <w:style w:type="character" w:styleId="WW8Num161z0">
    <w:name w:val="WW8Num161z0"/>
    <w:qFormat/>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2z0">
    <w:name w:val="WW8Num182z0"/>
    <w:qFormat/>
    <w:rPr>
      <w:rFonts w:ascii="Symbol" w:hAnsi="Symbol" w:cs="Symbol"/>
    </w:rPr>
  </w:style>
  <w:style w:type="character" w:styleId="WW8Num183z0">
    <w:name w:val="WW8Num183z0"/>
    <w:qFormat/>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style>
  <w:style w:type="character" w:styleId="WW8Num190z0">
    <w:name w:val="WW8Num190z0"/>
    <w:qFormat/>
    <w:rPr>
      <w:rFonts w:ascii="Symbol" w:hAnsi="Symbol" w:cs="Symbol"/>
    </w:rPr>
  </w:style>
  <w:style w:type="character" w:styleId="WW8Num191z0">
    <w:name w:val="WW8Num191z0"/>
    <w:qFormat/>
    <w:rPr/>
  </w:style>
  <w:style w:type="character" w:styleId="WW8Num192z0">
    <w:name w:val="WW8Num192z0"/>
    <w:qFormat/>
    <w:rPr>
      <w:rFonts w:ascii="Wingdings" w:hAnsi="Wingdings" w:cs="Wingdings"/>
    </w:rPr>
  </w:style>
  <w:style w:type="character" w:styleId="WW8Num193z0">
    <w:name w:val="WW8Num193z0"/>
    <w:qFormat/>
    <w:rPr/>
  </w:style>
  <w:style w:type="character" w:styleId="WW8Num194z0">
    <w:name w:val="WW8Num194z0"/>
    <w:qFormat/>
    <w:rPr>
      <w:rFonts w:ascii="Symbol" w:hAnsi="Symbol" w:cs="Symbol"/>
    </w:rPr>
  </w:style>
  <w:style w:type="character" w:styleId="WW8Num195z0">
    <w:name w:val="WW8Num195z0"/>
    <w:qFormat/>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St16z0">
    <w:name w:val="WW8NumSt16z0"/>
    <w:qFormat/>
    <w:rPr>
      <w:rFonts w:ascii="Symbol" w:hAnsi="Symbol" w:cs="Symbol"/>
    </w:rPr>
  </w:style>
  <w:style w:type="character" w:styleId="WW8NumSt17z0">
    <w:name w:val="WW8NumSt17z0"/>
    <w:qFormat/>
    <w:rPr>
      <w:rFonts w:ascii="Wingdings" w:hAnsi="Wingdings" w:cs="Wingdings"/>
    </w:rPr>
  </w:style>
  <w:style w:type="character" w:styleId="WW8NumSt178z0">
    <w:name w:val="WW8NumSt178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ind w:hanging="2160" w:start="216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160" w:start="2160" w:end="0"/>
    </w:pPr>
    <w:rPr/>
  </w:style>
  <w:style w:type="paragraph" w:styleId="BodyTextIndent2">
    <w:name w:val="Body Text Indent 2"/>
    <w:basedOn w:val="Normal"/>
    <w:qFormat/>
    <w:pPr>
      <w:ind w:hanging="0" w:start="2160" w:end="0"/>
    </w:pPr>
    <w:rPr/>
  </w:style>
  <w:style w:type="paragraph" w:styleId="DocumentMap">
    <w:name w:val="Document Map"/>
    <w:basedOn w:val="Normal"/>
    <w:qFormat/>
    <w:pPr>
      <w:shd w:fill="000080" w:val="clear"/>
    </w:pPr>
    <w:rPr>
      <w:rFonts w:ascii="Tahoma" w:hAnsi="Tahoma" w:cs="Tahoma"/>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2001-11-07T19:29:00Z</dcterms:created>
  <dc:creator>spst</dc:creator>
  <dc:description/>
  <dc:language>en-CA</dc:language>
  <cp:lastModifiedBy>Meg Nollen</cp:lastModifiedBy>
  <cp:lastPrinted>2001-11-07T03:34:00Z</cp:lastPrinted>
  <dcterms:modified xsi:type="dcterms:W3CDTF">2001-11-07T19:29:00Z</dcterms:modified>
  <cp:revision>2</cp:revision>
  <dc:subject/>
  <dc:title>SECOND QUARTER 2001 CONFERENCE CALL</dc:title>
</cp:coreProperties>
</file>