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jc w:val="center"/>
        <w:rPr>
          <w:rFonts w:ascii="Arial" w:hAnsi="Arial" w:cs="Arial"/>
          <w:b/>
          <w:sz w:val="28"/>
        </w:rPr>
      </w:pPr>
      <w:r>
        <w:rPr>
          <w:rFonts w:cs="Arial" w:ascii="Arial" w:hAnsi="Arial"/>
          <w:b/>
          <w:sz w:val="28"/>
        </w:rPr>
        <w:t>Matrix of Comments Submitted as of July 7, 2000 Concerning</w:t>
      </w:r>
    </w:p>
    <w:p>
      <w:pPr>
        <w:pStyle w:val="Normal"/>
        <w:ind w:start="1440" w:end="0"/>
        <w:jc w:val="center"/>
        <w:rPr>
          <w:rFonts w:ascii="Arial" w:hAnsi="Arial" w:cs="Arial"/>
          <w:b/>
          <w:sz w:val="28"/>
        </w:rPr>
      </w:pPr>
      <w:r>
        <w:rPr>
          <w:rFonts w:cs="Arial" w:ascii="Arial" w:hAnsi="Arial"/>
          <w:b/>
          <w:sz w:val="28"/>
        </w:rPr>
        <w:t>IndeGO Generation Integration Agreement</w:t>
      </w:r>
    </w:p>
    <w:p>
      <w:pPr>
        <w:pStyle w:val="Normal"/>
        <w:ind w:start="1440" w:end="0"/>
        <w:rPr>
          <w:rFonts w:ascii="Arial" w:hAnsi="Arial" w:cs="Arial"/>
          <w:b/>
          <w:sz w:val="28"/>
        </w:rPr>
      </w:pPr>
      <w:r>
        <w:rPr>
          <w:rFonts w:cs="Arial" w:ascii="Arial" w:hAnsi="Arial"/>
          <w:b/>
          <w:sz w:val="28"/>
        </w:rPr>
      </w:r>
    </w:p>
    <w:tbl>
      <w:tblPr>
        <w:tblW w:w="13176" w:type="dxa"/>
        <w:jc w:val="start"/>
        <w:tblInd w:w="0" w:type="dxa"/>
        <w:tblLayout w:type="fixed"/>
        <w:tblCellMar>
          <w:top w:w="0" w:type="dxa"/>
          <w:start w:w="108" w:type="dxa"/>
          <w:bottom w:w="0" w:type="dxa"/>
          <w:end w:w="108" w:type="dxa"/>
        </w:tblCellMar>
      </w:tblPr>
      <w:tblGrid>
        <w:gridCol w:w="9288"/>
        <w:gridCol w:w="2160"/>
        <w:gridCol w:w="1728"/>
      </w:tblGrid>
      <w:tr>
        <w:trPr>
          <w:tblHeader w:val="true"/>
        </w:trPr>
        <w:tc>
          <w:tcPr>
            <w:tcW w:w="9288" w:type="dxa"/>
            <w:tcBorders>
              <w:top w:val="double" w:sz="4" w:space="0" w:color="000000"/>
              <w:start w:val="double" w:sz="4" w:space="0" w:color="000000"/>
              <w:bottom w:val="double" w:sz="4" w:space="0" w:color="000000"/>
            </w:tcBorders>
          </w:tcPr>
          <w:p>
            <w:pPr>
              <w:pStyle w:val="Normal"/>
              <w:rPr>
                <w:rFonts w:ascii="Arial" w:hAnsi="Arial" w:cs="Arial"/>
                <w:b/>
              </w:rPr>
            </w:pPr>
            <w:r>
              <w:rPr>
                <w:rFonts w:cs="Arial" w:ascii="Arial" w:hAnsi="Arial"/>
                <w:b/>
              </w:rPr>
              <w:t>Section Number and Title/</w:t>
            </w:r>
          </w:p>
          <w:p>
            <w:pPr>
              <w:pStyle w:val="Normal"/>
              <w:rPr>
                <w:rFonts w:ascii="Arial" w:hAnsi="Arial" w:cs="Arial"/>
                <w:b/>
              </w:rPr>
            </w:pPr>
            <w:r>
              <w:rPr>
                <w:rFonts w:cs="Arial" w:ascii="Arial" w:hAnsi="Arial"/>
                <w:b/>
              </w:rPr>
              <w:t>Comments Received</w:t>
            </w:r>
          </w:p>
        </w:tc>
        <w:tc>
          <w:tcPr>
            <w:tcW w:w="2160" w:type="dxa"/>
            <w:tcBorders>
              <w:top w:val="double" w:sz="4" w:space="0" w:color="000000"/>
              <w:start w:val="double" w:sz="4" w:space="0" w:color="000000"/>
              <w:bottom w:val="double" w:sz="4" w:space="0" w:color="000000"/>
              <w:end w:val="double" w:sz="4" w:space="0" w:color="000000"/>
            </w:tcBorders>
          </w:tcPr>
          <w:p>
            <w:pPr>
              <w:pStyle w:val="Normal"/>
              <w:jc w:val="center"/>
              <w:rPr>
                <w:rFonts w:ascii="Arial" w:hAnsi="Arial" w:cs="Arial"/>
                <w:b/>
              </w:rPr>
            </w:pPr>
            <w:r>
              <w:rPr>
                <w:rFonts w:cs="Arial" w:ascii="Arial" w:hAnsi="Arial"/>
                <w:b/>
              </w:rPr>
              <w:t>Commenting</w:t>
            </w:r>
          </w:p>
          <w:p>
            <w:pPr>
              <w:pStyle w:val="Normal"/>
              <w:jc w:val="center"/>
              <w:rPr>
                <w:rFonts w:ascii="Arial" w:hAnsi="Arial" w:cs="Arial"/>
              </w:rPr>
            </w:pPr>
            <w:r>
              <w:rPr>
                <w:rFonts w:cs="Arial" w:ascii="Arial" w:hAnsi="Arial"/>
                <w:b/>
              </w:rPr>
              <w:t>Party</w:t>
            </w:r>
          </w:p>
        </w:tc>
        <w:tc>
          <w:tcPr>
            <w:tcW w:w="1728" w:type="dxa"/>
            <w:tcBorders>
              <w:top w:val="double" w:sz="4" w:space="0" w:color="000000"/>
              <w:bottom w:val="double" w:sz="4" w:space="0" w:color="000000"/>
              <w:end w:val="double" w:sz="4" w:space="0" w:color="000000"/>
            </w:tcBorders>
          </w:tcPr>
          <w:p>
            <w:pPr>
              <w:pStyle w:val="Normal"/>
              <w:jc w:val="center"/>
              <w:rPr>
                <w:rFonts w:ascii="Arial" w:hAnsi="Arial" w:cs="Arial"/>
                <w:b/>
              </w:rPr>
            </w:pPr>
            <w:r>
              <w:rPr>
                <w:rFonts w:cs="Arial" w:ascii="Arial" w:hAnsi="Arial"/>
                <w:b/>
              </w:rPr>
              <w:t>Proposed Category</w:t>
            </w:r>
          </w:p>
        </w:tc>
      </w:tr>
      <w:tr>
        <w:trPr/>
        <w:tc>
          <w:tcPr>
            <w:tcW w:w="9288" w:type="dxa"/>
            <w:tcBorders>
              <w:start w:val="double" w:sz="4" w:space="0" w:color="000000"/>
              <w:bottom w:val="single" w:sz="4" w:space="0" w:color="000000"/>
              <w:end w:val="single" w:sz="4" w:space="0" w:color="000000"/>
            </w:tcBorders>
          </w:tcPr>
          <w:p>
            <w:pPr>
              <w:pStyle w:val="Normal"/>
              <w:jc w:val="both"/>
              <w:rPr>
                <w:rFonts w:ascii="Arial" w:hAnsi="Arial" w:cs="Arial"/>
                <w:i/>
                <w:i/>
                <w:sz w:val="22"/>
              </w:rPr>
            </w:pPr>
            <w:r>
              <w:rPr>
                <w:rFonts w:cs="Arial" w:ascii="Arial" w:hAnsi="Arial"/>
                <w:i/>
                <w:u w:val="single"/>
              </w:rPr>
              <w:t>General</w:t>
            </w:r>
            <w:r>
              <w:rPr>
                <w:rFonts w:cs="Arial" w:ascii="Arial" w:hAnsi="Arial"/>
                <w:i/>
              </w:rPr>
              <w:t xml:space="preserve"> (no specific section reference)</w:t>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All technical standards/requirements should be incorporated into a Technical Appendix.  Transmitting utilities, including BPA, have published interconnection standards.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IndeGO GIA needs to be strengthened with respect to technical standards, look to BPA’s Technical Requirements for the Interconnection of Generation Resources as good example.</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BPA staff level position is that RMS should be adopted by RTO.</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All RTO documents should incorporate and be consistent with NERC Policy 10.</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Boilerplate provisions need to be consistent among various IndeGO documents.</w:t>
            </w:r>
          </w:p>
          <w:p>
            <w:pPr>
              <w:pStyle w:val="Normal"/>
              <w:rPr>
                <w:rFonts w:ascii="Arial" w:hAnsi="Arial" w:cs="Arial"/>
                <w:sz w:val="22"/>
                <w:u w:val="single"/>
              </w:rPr>
            </w:pPr>
            <w:r>
              <w:rPr>
                <w:rFonts w:cs="Arial" w:ascii="Arial" w:hAnsi="Arial"/>
                <w:sz w:val="22"/>
                <w:u w:val="single"/>
              </w:rPr>
            </w:r>
          </w:p>
          <w:p>
            <w:pPr>
              <w:pStyle w:val="Normal"/>
              <w:numPr>
                <w:ilvl w:val="0"/>
                <w:numId w:val="2"/>
              </w:numPr>
              <w:tabs>
                <w:tab w:val="clear" w:pos="720"/>
              </w:tabs>
              <w:ind w:hanging="360" w:start="720" w:end="0"/>
              <w:rPr>
                <w:rFonts w:ascii="Arial" w:hAnsi="Arial" w:cs="Arial"/>
                <w:sz w:val="22"/>
                <w:u w:val="single"/>
              </w:rPr>
            </w:pPr>
            <w:r>
              <w:rPr>
                <w:rFonts w:cs="Arial" w:ascii="Arial" w:hAnsi="Arial"/>
                <w:sz w:val="22"/>
              </w:rPr>
              <w:t>Corps/Bureau/Energy Northwest issues (as identified by BPA-TBL):</w:t>
            </w:r>
          </w:p>
          <w:p>
            <w:pPr>
              <w:pStyle w:val="Normal"/>
              <w:numPr>
                <w:ilvl w:val="0"/>
                <w:numId w:val="53"/>
              </w:numPr>
              <w:tabs>
                <w:tab w:val="clear" w:pos="720"/>
              </w:tabs>
              <w:ind w:hanging="360" w:start="1080" w:end="0"/>
              <w:rPr>
                <w:rFonts w:ascii="Arial" w:hAnsi="Arial" w:cs="Arial"/>
                <w:sz w:val="22"/>
                <w:u w:val="single"/>
              </w:rPr>
            </w:pPr>
            <w:r>
              <w:rPr>
                <w:rFonts w:cs="Arial" w:ascii="Arial" w:hAnsi="Arial"/>
                <w:sz w:val="22"/>
              </w:rPr>
              <w:t>May need some grace period to get Corps/Bureau facilities (e.g., metering, excitors, governors) up to RTO standards.</w:t>
            </w:r>
          </w:p>
          <w:p>
            <w:pPr>
              <w:pStyle w:val="Normal"/>
              <w:numPr>
                <w:ilvl w:val="0"/>
                <w:numId w:val="53"/>
              </w:numPr>
              <w:tabs>
                <w:tab w:val="clear" w:pos="720"/>
              </w:tabs>
              <w:ind w:hanging="360" w:start="1080" w:end="0"/>
              <w:rPr>
                <w:rFonts w:ascii="Arial" w:hAnsi="Arial" w:cs="Arial"/>
                <w:sz w:val="22"/>
                <w:u w:val="single"/>
              </w:rPr>
            </w:pPr>
            <w:r>
              <w:rPr>
                <w:rFonts w:cs="Arial" w:ascii="Arial" w:hAnsi="Arial"/>
                <w:sz w:val="22"/>
              </w:rPr>
              <w:t>BPA will be the Federal contractual party with respect to Federal generation.  Corps/Bureau will not execute any of the RTO agreements.</w:t>
            </w:r>
          </w:p>
          <w:p>
            <w:pPr>
              <w:pStyle w:val="Normal"/>
              <w:numPr>
                <w:ilvl w:val="0"/>
                <w:numId w:val="53"/>
              </w:numPr>
              <w:tabs>
                <w:tab w:val="clear" w:pos="720"/>
              </w:tabs>
              <w:ind w:hanging="360" w:start="1080" w:end="0"/>
              <w:rPr>
                <w:rFonts w:ascii="Arial" w:hAnsi="Arial" w:cs="Arial"/>
                <w:sz w:val="22"/>
                <w:u w:val="single"/>
              </w:rPr>
            </w:pPr>
            <w:r>
              <w:rPr>
                <w:rFonts w:cs="Arial" w:ascii="Arial" w:hAnsi="Arial"/>
                <w:sz w:val="22"/>
              </w:rPr>
              <w:t>Section 3.7 – add “NRC” to list (and also add to definitions)</w:t>
            </w:r>
          </w:p>
          <w:p>
            <w:pPr>
              <w:pStyle w:val="Normal"/>
              <w:numPr>
                <w:ilvl w:val="0"/>
                <w:numId w:val="53"/>
              </w:numPr>
              <w:tabs>
                <w:tab w:val="clear" w:pos="720"/>
              </w:tabs>
              <w:ind w:hanging="360" w:start="1080" w:end="0"/>
              <w:rPr>
                <w:rFonts w:ascii="Arial" w:hAnsi="Arial" w:cs="Arial"/>
                <w:sz w:val="22"/>
                <w:u w:val="single"/>
              </w:rPr>
            </w:pPr>
            <w:r>
              <w:rPr>
                <w:rFonts w:cs="Arial" w:ascii="Arial" w:hAnsi="Arial"/>
                <w:sz w:val="22"/>
              </w:rPr>
              <w:t>Corps and Bureau of Reclamation will likely bring additional issues.</w:t>
            </w:r>
          </w:p>
          <w:p>
            <w:pPr>
              <w:pStyle w:val="Normal"/>
              <w:rPr>
                <w:rFonts w:ascii="Arial" w:hAnsi="Arial" w:cs="Arial"/>
                <w:sz w:val="22"/>
                <w:u w:val="single"/>
              </w:rPr>
            </w:pPr>
            <w:r>
              <w:rPr>
                <w:rFonts w:cs="Arial" w:ascii="Arial" w:hAnsi="Arial"/>
                <w:sz w:val="22"/>
                <w:u w:val="single"/>
              </w:rPr>
            </w:r>
          </w:p>
          <w:p>
            <w:pPr>
              <w:pStyle w:val="Normal"/>
              <w:numPr>
                <w:ilvl w:val="0"/>
                <w:numId w:val="25"/>
              </w:numPr>
              <w:tabs>
                <w:tab w:val="clear" w:pos="720"/>
              </w:tabs>
              <w:ind w:hanging="360" w:start="720" w:end="0"/>
              <w:rPr>
                <w:sz w:val="22"/>
              </w:rPr>
            </w:pPr>
            <w:r>
              <w:rPr>
                <w:rFonts w:cs="Arial" w:ascii="Arial" w:hAnsi="Arial"/>
                <w:sz w:val="22"/>
              </w:rPr>
              <w:t>The Generation Interconnection Agreement will have to be modified to</w:t>
              <w:br/>
              <w:t>accommodate the Net Metering law (R.C.W. Chapter 80.60) that was passed here</w:t>
              <w:br/>
              <w:t>in Washington in 1998. The law covers generators of 25 kW or less that are</w:t>
              <w:br/>
              <w:t>powered by solar, wind, hydro or fuel cells. Washington distribution</w:t>
              <w:br/>
              <w:t>utilities are required to install two-way meters for all customers with such</w:t>
              <w:br/>
              <w:t>facilities and to credit those customers for any power produced in excess of</w:t>
              <w:br/>
              <w:t>the customer's needs. We are required to accept all qualified net metering</w:t>
              <w:br/>
              <w:t>customers until the total generating capacity of the net metered systems</w:t>
              <w:br/>
              <w:t xml:space="preserve">reaches 0.1 percent of our 1996 peak load. </w:t>
              <w:br/>
              <w:br/>
              <w:t>Because these generators are tiny and, even in the aggregate, are unlikely</w:t>
              <w:br/>
              <w:t>to have any appreciable effect on the operation of the grid, I think the</w:t>
              <w:br/>
              <w:t>easiest approach would be simply to write an exemption into the GIA for such</w:t>
              <w:br/>
              <w:t xml:space="preserve">net metered generators. </w:t>
              <w:br/>
              <w:br/>
              <w:t>I don't know whether any of the other RTO-West states have net metering</w:t>
              <w:br/>
              <w:t>laws. However, net metering has been kicked around quite a bit in</w:t>
              <w:br/>
              <w:t>connection with federal restructuring legislation. Hence, we need to keep</w:t>
              <w:br/>
              <w:t>an eye developments in DC in this regard.</w:t>
            </w:r>
          </w:p>
          <w:p>
            <w:pPr>
              <w:pStyle w:val="Normal"/>
              <w:numPr>
                <w:ilvl w:val="0"/>
                <w:numId w:val="15"/>
              </w:numPr>
              <w:tabs>
                <w:tab w:val="clear" w:pos="720"/>
              </w:tabs>
              <w:spacing w:before="240" w:after="0"/>
              <w:ind w:hanging="360" w:start="720" w:end="0"/>
              <w:rPr>
                <w:sz w:val="22"/>
              </w:rPr>
            </w:pPr>
            <w:r>
              <w:rPr>
                <w:rFonts w:cs="Arial" w:ascii="Arial" w:hAnsi="Arial"/>
                <w:sz w:val="22"/>
              </w:rPr>
              <w:t>Nevada may have a net metering law as well, although the cut-off is probably less than 25 kW.  I think that a net metering provision would be appropriate for a number of reasons, not all of which are compelled by state renewable laws/policies.  Many small wholesale entities (at least in Utah and other east-side locations) have modest</w:t>
              <w:br/>
              <w:t>generators behind their meters and would be disadvantaged if there were no net metering accommodations available. Given the size of the generators (generally much less than 25MW (</w:t>
            </w:r>
            <w:r>
              <w:rPr>
                <w:rFonts w:cs="Arial" w:ascii="Arial" w:hAnsi="Arial"/>
                <w:i/>
                <w:sz w:val="22"/>
              </w:rPr>
              <w:t>kW?</w:t>
            </w:r>
            <w:r>
              <w:rPr>
                <w:rFonts w:cs="Arial" w:ascii="Arial" w:hAnsi="Arial"/>
                <w:sz w:val="22"/>
              </w:rPr>
              <w:t>)), they are not significant to the grid, but are to their owners.  A cutoff higher than 25 kWs may be appropriate for net metering purposes.  Where the generator is substantially smaller than the customer's off-peak minimum load, there does not seem to me to be a need to exclude it from any net metering provisions.</w:t>
            </w:r>
            <w:r>
              <w:rPr>
                <w:sz w:val="22"/>
              </w:rPr>
              <w:br/>
            </w:r>
          </w:p>
          <w:p>
            <w:pPr>
              <w:pStyle w:val="Normal"/>
              <w:numPr>
                <w:ilvl w:val="0"/>
                <w:numId w:val="13"/>
              </w:numPr>
              <w:tabs>
                <w:tab w:val="clear" w:pos="720"/>
              </w:tabs>
              <w:ind w:hanging="360" w:start="720" w:end="0"/>
              <w:rPr>
                <w:rFonts w:ascii="Arial" w:hAnsi="Arial" w:cs="Arial"/>
                <w:sz w:val="22"/>
              </w:rPr>
            </w:pPr>
            <w:r>
              <w:rPr>
                <w:rFonts w:cs="Arial" w:ascii="Arial" w:hAnsi="Arial"/>
                <w:sz w:val="22"/>
              </w:rPr>
              <w:t>Federal agencies do not usually accept liability nor do they waive defenses of the United States.</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The federal agencies are subject to information disclosure statutes such as the Freedom of Information Act</w:t>
            </w:r>
            <w:r>
              <w:rPr/>
              <w:t>.</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There needs to be a statement that such actions as the Biological Opinions and water quality standards need to be met in accordance with applicable law.</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 xml:space="preserve">The Federal agencies need to decide if this agreement is subject to formal consultation with the National Marine Fisheries Service (NMFS) and the Fish and Wildlife Service (FWS) under the Endangered Species Act (ESA). </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 xml:space="preserve">The Federal agencies need to fulfill their National Environmental Protection Act (NEPA) requirements prior to taking final action. </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Federal court references should be made specific.</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The assumption is that questions regarding such issues as indemnification and hold harmless concepts will be addressed in the RTO Subgroup on Liability and Insurance.  Generally, the federal agencies cannot provide indemnification or hold harmless agreements.</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To the extent there is reliance on appropriated funds to pay for obligations under the Agreements there are no guarantees that Congress will choose to make those funds available.</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There needs to be an understanding of the direct funding agreement mechanisms between Bonneville Power Administration (Bonneville) and the Corps, and Bonneville and Reclamation with regard to payment of obligations under the Agreement.</w:t>
            </w:r>
          </w:p>
          <w:p>
            <w:pPr>
              <w:pStyle w:val="Normal"/>
              <w:rPr>
                <w:rFonts w:ascii="Arial" w:hAnsi="Arial" w:cs="Arial"/>
                <w:sz w:val="22"/>
              </w:rPr>
            </w:pPr>
            <w:r>
              <w:rPr>
                <w:rFonts w:cs="Arial" w:ascii="Arial" w:hAnsi="Arial"/>
                <w:sz w:val="22"/>
              </w:rPr>
            </w:r>
          </w:p>
          <w:p>
            <w:pPr>
              <w:pStyle w:val="Normal"/>
              <w:numPr>
                <w:ilvl w:val="0"/>
                <w:numId w:val="4"/>
              </w:numPr>
              <w:ind w:hanging="360" w:start="720" w:end="0"/>
              <w:rPr>
                <w:rFonts w:ascii="Arial" w:hAnsi="Arial" w:cs="Arial"/>
                <w:b/>
                <w:i/>
                <w:i/>
                <w:sz w:val="22"/>
              </w:rPr>
            </w:pPr>
            <w:r>
              <w:rPr>
                <w:rFonts w:cs="Arial" w:ascii="Arial" w:hAnsi="Arial"/>
                <w:sz w:val="22"/>
              </w:rPr>
              <w:t xml:space="preserve">The IndeGO GIA is a great starting point. However, it was written with merchant generation plants in mind, and fails to account for the unique attributes of Qualifying Facilities (QF cogeneration facilities). </w:t>
            </w:r>
            <w:r>
              <w:rPr>
                <w:rFonts w:cs="Arial" w:ascii="Arial" w:hAnsi="Arial"/>
                <w:b/>
                <w:i/>
                <w:sz w:val="22"/>
              </w:rPr>
              <w:t>QF cogeneration projects are unlike merchant plants in that most are of simple-cycle configuration, designed to provide a continuous source of process steam, and with electrical output normally being dictated by steam demand. Unlike most merchant plants, they require near-continuous operation in order to comply with provisions of steam sale contracts, thermal output certification requirements under PURPA, and operational, safety and environmental constraints on production processes and back-up boilers.</w:t>
            </w:r>
          </w:p>
          <w:p>
            <w:pPr>
              <w:pStyle w:val="Normal"/>
              <w:ind w:start="360" w:end="0"/>
              <w:rPr>
                <w:rFonts w:ascii="Arial" w:hAnsi="Arial" w:cs="Arial"/>
                <w:b/>
                <w:i/>
                <w:i/>
                <w:sz w:val="22"/>
              </w:rPr>
            </w:pPr>
            <w:r>
              <w:rPr>
                <w:rFonts w:cs="Arial" w:ascii="Arial" w:hAnsi="Arial"/>
                <w:b/>
                <w:i/>
                <w:sz w:val="22"/>
              </w:rPr>
            </w:r>
          </w:p>
          <w:p>
            <w:pPr>
              <w:pStyle w:val="Normal"/>
              <w:numPr>
                <w:ilvl w:val="0"/>
                <w:numId w:val="41"/>
              </w:numPr>
              <w:tabs>
                <w:tab w:val="clear" w:pos="720"/>
              </w:tabs>
              <w:ind w:hanging="360" w:start="720" w:end="0"/>
              <w:rPr>
                <w:rFonts w:ascii="Arial" w:hAnsi="Arial" w:cs="Arial"/>
                <w:sz w:val="22"/>
              </w:rPr>
            </w:pPr>
            <w:r>
              <w:rPr>
                <w:rFonts w:cs="Arial" w:ascii="Arial" w:hAnsi="Arial"/>
                <w:sz w:val="22"/>
              </w:rPr>
              <w:t xml:space="preserve">The CAISO is currently developing a standalone QF Participating Generator Agreement (analogous to the GIA) that addresses the nuances of QF generation.  </w:t>
            </w:r>
            <w:r>
              <w:rPr>
                <w:rFonts w:cs="Arial" w:ascii="Arial" w:hAnsi="Arial"/>
                <w:b/>
                <w:i/>
                <w:sz w:val="22"/>
              </w:rPr>
              <w:t>Mountain West ISA also recognized that QF operations were unique, and required modifications to the ISA’s standard interconnect and dispatch protocols.  See MWISA Appendix E to Compliance Filing.</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It might be helpful to do whatever we can to make the terms of the agreement as neutral or inclusive as possible, so that the agreement as written will work for any party within the potential RTO West that might want to sign a generation integration agreement.  For example, there is language included in the agreement right now that wouldn’t fit if the signing party were Canadian.</w:t>
            </w:r>
          </w:p>
          <w:p>
            <w:pPr>
              <w:pStyle w:val="Normal"/>
              <w:ind w:start="360" w:end="0"/>
              <w:rPr>
                <w:rFonts w:ascii="Arial" w:hAnsi="Arial" w:cs="Arial"/>
                <w:sz w:val="22"/>
              </w:rPr>
            </w:pPr>
            <w:r>
              <w:rPr>
                <w:rFonts w:cs="Arial" w:ascii="Arial" w:hAnsi="Arial"/>
                <w:sz w:val="22"/>
              </w:rPr>
            </w:r>
          </w:p>
        </w:tc>
        <w:tc>
          <w:tcPr>
            <w:tcW w:w="2160" w:type="dxa"/>
            <w:tcBorders>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Snohomish PUD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UAMPS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c>
          <w:tcPr>
            <w:tcW w:w="1728" w:type="dxa"/>
            <w:tcBorders>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t>2</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2</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t>1</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Recitals</w:t>
            </w:r>
          </w:p>
          <w:p>
            <w:pPr>
              <w:pStyle w:val="Normal"/>
              <w:numPr>
                <w:ilvl w:val="0"/>
                <w:numId w:val="31"/>
              </w:numPr>
              <w:tabs>
                <w:tab w:val="clear" w:pos="720"/>
              </w:tabs>
              <w:ind w:hanging="360" w:start="720" w:end="0"/>
              <w:rPr>
                <w:rFonts w:ascii="Arial" w:hAnsi="Arial" w:cs="Arial"/>
                <w:sz w:val="22"/>
                <w:u w:val="single"/>
              </w:rPr>
            </w:pPr>
            <w:r>
              <w:rPr>
                <w:rFonts w:cs="Arial" w:ascii="Arial" w:hAnsi="Arial"/>
                <w:sz w:val="22"/>
              </w:rPr>
              <w:t>The definition of the Federal Columbia River Power System (FCRPS) in the Generation Integration Agreement (Agreement) and the definition of the FCRPS in the Biological Opinion are not the same.  The Biological Opinion covers the hydroelectric projects in the Columbia River Basin.</w:t>
            </w:r>
          </w:p>
          <w:p>
            <w:pPr>
              <w:pStyle w:val="Normal"/>
              <w:ind w:start="360" w:end="0"/>
              <w:rPr>
                <w:rFonts w:ascii="Arial" w:hAnsi="Arial" w:cs="Arial"/>
                <w:sz w:val="22"/>
                <w:u w:val="single"/>
              </w:rPr>
            </w:pPr>
            <w:r>
              <w:rPr>
                <w:rFonts w:cs="Arial" w:ascii="Arial" w:hAnsi="Arial"/>
                <w:sz w:val="22"/>
                <w:u w:val="single"/>
              </w:rPr>
            </w:r>
          </w:p>
          <w:p>
            <w:pPr>
              <w:pStyle w:val="Normal"/>
              <w:numPr>
                <w:ilvl w:val="0"/>
                <w:numId w:val="31"/>
              </w:numPr>
              <w:tabs>
                <w:tab w:val="clear" w:pos="720"/>
              </w:tabs>
              <w:ind w:hanging="360" w:start="720" w:end="0"/>
              <w:rPr>
                <w:rFonts w:ascii="Arial" w:hAnsi="Arial" w:cs="Arial"/>
                <w:sz w:val="22"/>
                <w:u w:val="single"/>
              </w:rPr>
            </w:pPr>
            <w:r>
              <w:rPr>
                <w:rFonts w:cs="Arial" w:ascii="Arial" w:hAnsi="Arial"/>
                <w:sz w:val="22"/>
              </w:rPr>
              <w:t>Control of Federal Facilities remains with the Corps of Engineers (the Corps) and the Bureau of Reclamation (Reclamation).  (Recitals and other sections)</w:t>
            </w:r>
          </w:p>
          <w:p>
            <w:pPr>
              <w:pStyle w:val="Normal"/>
              <w:rPr>
                <w:rFonts w:ascii="Arial" w:hAnsi="Arial" w:cs="Arial"/>
                <w:sz w:val="22"/>
                <w:u w:val="single"/>
              </w:rPr>
            </w:pPr>
            <w:r>
              <w:rPr>
                <w:rFonts w:cs="Arial" w:ascii="Arial" w:hAnsi="Arial"/>
                <w:sz w:val="22"/>
                <w:u w:val="single"/>
              </w:rPr>
            </w:r>
          </w:p>
          <w:p>
            <w:pPr>
              <w:pStyle w:val="Normal"/>
              <w:numPr>
                <w:ilvl w:val="0"/>
                <w:numId w:val="31"/>
              </w:numPr>
              <w:tabs>
                <w:tab w:val="clear" w:pos="720"/>
              </w:tabs>
              <w:ind w:hanging="360" w:start="720" w:end="0"/>
              <w:rPr>
                <w:rFonts w:ascii="Arial" w:hAnsi="Arial" w:cs="Arial"/>
                <w:sz w:val="22"/>
                <w:u w:val="single"/>
              </w:rPr>
            </w:pPr>
            <w:r>
              <w:rPr>
                <w:rFonts w:cs="Arial" w:ascii="Arial" w:hAnsi="Arial"/>
                <w:sz w:val="22"/>
              </w:rPr>
              <w:t>Reference should be made to the ability of Congress to exercise their discretion at any time and thereby potentially change any existing arrangements among the parties to the Agreement.  (Recitals, Sections 2 and 3.5 and other sections)</w:t>
            </w:r>
          </w:p>
          <w:p>
            <w:pPr>
              <w:pStyle w:val="Normal"/>
              <w:rPr>
                <w:rFonts w:ascii="Arial" w:hAnsi="Arial" w:cs="Arial"/>
                <w:sz w:val="22"/>
                <w:u w:val="single"/>
              </w:rPr>
            </w:pPr>
            <w:r>
              <w:rPr>
                <w:rFonts w:cs="Arial" w:ascii="Arial" w:hAnsi="Arial"/>
                <w:sz w:val="22"/>
                <w:u w:val="single"/>
              </w:rPr>
            </w:r>
          </w:p>
        </w:tc>
        <w:tc>
          <w:tcPr>
            <w:tcW w:w="2160"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tc>
        <w:tc>
          <w:tcPr>
            <w:tcW w:w="1728" w:type="dxa"/>
            <w:tcBorders>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9"/>
              </w:numPr>
              <w:rPr>
                <w:rFonts w:ascii="Arial" w:hAnsi="Arial" w:cs="Arial"/>
                <w:u w:val="single"/>
              </w:rPr>
            </w:pPr>
            <w:r>
              <w:rPr>
                <w:rFonts w:cs="Arial" w:ascii="Arial" w:hAnsi="Arial"/>
                <w:u w:val="single"/>
              </w:rPr>
              <w:t>Definitions</w:t>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Congestion Clearing</w:t>
            </w:r>
            <w:r>
              <w:rPr>
                <w:rFonts w:cs="Arial" w:ascii="Arial" w:hAnsi="Arial"/>
                <w:sz w:val="22"/>
              </w:rPr>
              <w:t>:  Provisions in the current agreement dealing with congestion clearing are based on the approach IndeGO proposed, which was to accept all schedules and then solicit bids to create counter-flows to clear any resulting congestion.  This does not appear to be the likely approach for RTO West, and so probably all of the generation integration agreement’s provisions addressing congestion clearing will need to be revisited, and tailored to reflect the approach RTO West develops.</w:t>
            </w:r>
          </w:p>
          <w:p>
            <w:pPr>
              <w:pStyle w:val="Normal"/>
              <w:ind w:start="360" w:end="0"/>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Control Area</w:t>
            </w:r>
            <w:r>
              <w:rPr>
                <w:rFonts w:cs="Arial" w:ascii="Arial" w:hAnsi="Arial"/>
                <w:sz w:val="22"/>
              </w:rPr>
              <w:t>:  We may want to take a second look at the definition of “control area” under the agreement in view of NERC’s current efforts to re-define and unbundle control area functions.  We might want to try to create something flexible enough to accommodate evolution in this area.</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add “NRC” to list (in Section 3.7) (and also add to definitions)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The definitions for “Hydro Plant” and “Hydro Plant Operator” do not appear to include Federal agency generation facilities.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Ancillary Services</w:t>
            </w:r>
            <w:r>
              <w:rPr>
                <w:rFonts w:cs="Arial" w:ascii="Arial" w:hAnsi="Arial"/>
                <w:sz w:val="22"/>
              </w:rPr>
              <w:t>: This listing of ancillary services comports with FERC’s list, but not with the NERC Policy 10 raw materials (“building blocks”) approach.  Modify this section as appropriate, pending recommendations of NWRTO Ancillary Services Work Group.</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Congestion Clearing</w:t>
            </w:r>
            <w:r>
              <w:rPr>
                <w:rFonts w:cs="Arial" w:ascii="Arial" w:hAnsi="Arial"/>
                <w:sz w:val="22"/>
              </w:rPr>
              <w:t>: Do we need to include TLR in the definition?</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Displacement Energy</w:t>
            </w:r>
            <w:r>
              <w:rPr>
                <w:rFonts w:cs="Arial" w:ascii="Arial" w:hAnsi="Arial"/>
                <w:sz w:val="22"/>
              </w:rPr>
              <w:t>: Who monitors and how? Possible to reference some objective principle, standard, or regulation? QF’s should also qualify as Displacement Energy if still under contract?</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Electric Losses</w:t>
            </w:r>
            <w:r>
              <w:rPr>
                <w:rFonts w:cs="Arial" w:ascii="Arial" w:hAnsi="Arial"/>
                <w:sz w:val="22"/>
              </w:rPr>
              <w:t>: Why does the definition include “power?” Is RTO West being compensated for lost capacity rather than just I</w:t>
            </w:r>
            <w:r>
              <w:rPr>
                <w:rFonts w:cs="Arial" w:ascii="Arial" w:hAnsi="Arial"/>
                <w:sz w:val="22"/>
                <w:vertAlign w:val="superscript"/>
              </w:rPr>
              <w:t>2</w:t>
            </w:r>
            <w:r>
              <w:rPr>
                <w:rFonts w:cs="Arial" w:ascii="Arial" w:hAnsi="Arial"/>
                <w:sz w:val="22"/>
              </w:rPr>
              <w:t>R losses? Reference should be made to the loss allocation methodology, per recommendations of Ancillary Services and Congestion Management work groups.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b/>
                <w:i/>
                <w:sz w:val="22"/>
                <w:u w:val="single"/>
              </w:rPr>
              <w:t>Generation Facility</w:t>
            </w:r>
            <w:r>
              <w:rPr>
                <w:rFonts w:cs="Arial" w:ascii="Arial" w:hAnsi="Arial"/>
                <w:b/>
                <w:i/>
                <w:sz w:val="22"/>
              </w:rPr>
              <w:t>: Add “including cogeneration facilities and all other Qualifying Facilities.”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Interconnected Unit</w:t>
            </w:r>
            <w:r>
              <w:rPr>
                <w:rFonts w:cs="Arial" w:ascii="Arial" w:hAnsi="Arial"/>
                <w:sz w:val="22"/>
              </w:rPr>
              <w:t>:  Do we need an exception for generating units that exclusively serve load inside the fence and never sell output to the grid? Do any IPP’s/QF’s have any such units?</w:t>
            </w:r>
          </w:p>
          <w:p>
            <w:pPr>
              <w:pStyle w:val="Normal"/>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u w:val="single"/>
              </w:rPr>
              <w:t>Interconnection Facilities</w:t>
            </w:r>
            <w:r>
              <w:rPr>
                <w:rFonts w:cs="Arial" w:ascii="Arial" w:hAnsi="Arial"/>
                <w:sz w:val="22"/>
              </w:rPr>
              <w:t>: Clarify that generation step-up transformers are now included in Transmission assets, per FERC?</w:t>
            </w:r>
          </w:p>
          <w:p>
            <w:pPr>
              <w:pStyle w:val="Normal"/>
              <w:rPr>
                <w:rFonts w:ascii="Arial" w:hAnsi="Arial" w:cs="Arial"/>
                <w:sz w:val="22"/>
                <w:u w:val="single"/>
              </w:rPr>
            </w:pPr>
            <w:r>
              <w:rPr>
                <w:rFonts w:cs="Arial" w:ascii="Arial" w:hAnsi="Arial"/>
                <w:sz w:val="22"/>
                <w:u w:val="single"/>
              </w:rPr>
            </w:r>
          </w:p>
          <w:p>
            <w:pPr>
              <w:pStyle w:val="Normal"/>
              <w:numPr>
                <w:ilvl w:val="0"/>
                <w:numId w:val="28"/>
              </w:numPr>
              <w:ind w:hanging="360" w:start="720" w:end="0"/>
              <w:rPr>
                <w:sz w:val="22"/>
              </w:rPr>
            </w:pPr>
            <w:r>
              <w:rPr>
                <w:rFonts w:cs="Arial" w:ascii="Arial" w:hAnsi="Arial"/>
                <w:b/>
                <w:i/>
                <w:sz w:val="22"/>
                <w:u w:val="single"/>
              </w:rPr>
              <w:t>Loss or Losses:</w:t>
            </w:r>
            <w:r>
              <w:rPr>
                <w:rFonts w:cs="Arial" w:ascii="Arial" w:hAnsi="Arial"/>
                <w:b/>
                <w:i/>
                <w:sz w:val="22"/>
              </w:rPr>
              <w:t xml:space="preserve"> Delete reference to consequential damages, unless liability is intended to be symmetrical, to cover any losses sustained by Generating Party in the event RTO West goofs. See §3.6. Suggest limiting damages to direct damages only, not consequential.</w:t>
            </w:r>
          </w:p>
          <w:p>
            <w:pPr>
              <w:pStyle w:val="Normal"/>
              <w:ind w:start="360" w:end="0"/>
              <w:rPr>
                <w:sz w:val="22"/>
              </w:rPr>
            </w:pPr>
            <w:r>
              <w:rPr>
                <w:sz w:val="22"/>
              </w:rPr>
            </w:r>
          </w:p>
          <w:p>
            <w:pPr>
              <w:pStyle w:val="Normal"/>
              <w:numPr>
                <w:ilvl w:val="0"/>
                <w:numId w:val="28"/>
              </w:numPr>
              <w:ind w:hanging="360" w:start="720" w:end="0"/>
              <w:rPr>
                <w:sz w:val="22"/>
              </w:rPr>
            </w:pPr>
            <w:r>
              <w:rPr>
                <w:rFonts w:cs="Arial" w:ascii="Arial" w:hAnsi="Arial"/>
                <w:b/>
                <w:i/>
                <w:sz w:val="22"/>
                <w:u w:val="single"/>
              </w:rPr>
              <w:t>Must-Take Generation</w:t>
            </w:r>
            <w:r>
              <w:rPr>
                <w:rFonts w:cs="Arial" w:ascii="Arial" w:hAnsi="Arial"/>
                <w:b/>
                <w:i/>
                <w:sz w:val="22"/>
              </w:rPr>
              <w:t>: Need to add this definition to accommodate deliveries to TO’s under existing QF power purchase contracts.</w:t>
            </w:r>
          </w:p>
          <w:p>
            <w:pPr>
              <w:pStyle w:val="Normal"/>
              <w:rPr>
                <w:sz w:val="22"/>
              </w:rPr>
            </w:pPr>
            <w:r>
              <w:rPr>
                <w:sz w:val="22"/>
              </w:rPr>
            </w:r>
          </w:p>
          <w:p>
            <w:pPr>
              <w:pStyle w:val="Normal"/>
              <w:numPr>
                <w:ilvl w:val="0"/>
                <w:numId w:val="28"/>
              </w:numPr>
              <w:ind w:hanging="360" w:start="720" w:end="0"/>
              <w:rPr>
                <w:sz w:val="22"/>
              </w:rPr>
            </w:pPr>
            <w:r>
              <w:rPr>
                <w:rFonts w:cs="Arial" w:ascii="Arial" w:hAnsi="Arial"/>
                <w:sz w:val="22"/>
                <w:u w:val="single"/>
              </w:rPr>
              <w:t>Pre-existing Generation Agreement</w:t>
            </w:r>
            <w:r>
              <w:rPr>
                <w:rFonts w:cs="Arial" w:ascii="Arial" w:hAnsi="Arial"/>
                <w:sz w:val="22"/>
              </w:rPr>
              <w:t>:  Add “or any part of an Interconnected Unit.”</w:t>
            </w:r>
          </w:p>
          <w:p>
            <w:pPr>
              <w:pStyle w:val="Normal"/>
              <w:rPr>
                <w:sz w:val="22"/>
              </w:rPr>
            </w:pPr>
            <w:r>
              <w:rPr>
                <w:sz w:val="22"/>
              </w:rPr>
            </w:r>
          </w:p>
          <w:p>
            <w:pPr>
              <w:pStyle w:val="Normal"/>
              <w:numPr>
                <w:ilvl w:val="0"/>
                <w:numId w:val="28"/>
              </w:numPr>
              <w:ind w:hanging="360" w:start="720" w:end="0"/>
              <w:rPr>
                <w:rFonts w:ascii="Arial" w:hAnsi="Arial" w:cs="Arial"/>
              </w:rPr>
            </w:pPr>
            <w:r>
              <w:rPr>
                <w:rFonts w:cs="Arial" w:ascii="Arial" w:hAnsi="Arial"/>
                <w:b/>
                <w:i/>
                <w:sz w:val="22"/>
                <w:u w:val="single"/>
              </w:rPr>
              <w:t>Significant Events List</w:t>
            </w:r>
            <w:r>
              <w:rPr>
                <w:rFonts w:cs="Arial" w:ascii="Arial" w:hAnsi="Arial"/>
                <w:b/>
                <w:i/>
                <w:sz w:val="22"/>
              </w:rPr>
              <w:t>: Need to define “Interconnecting Party,” or, reference § of Agreement where the term is defined. If Interconnecting Party means the LDC, then QF’s behind the T/D split need to ensure that they get simultaneous notice of all significant event lists given to RTO West.</w:t>
            </w:r>
          </w:p>
          <w:p>
            <w:pPr>
              <w:pStyle w:val="Normal"/>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and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and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and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1</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1"/>
              </w:numPr>
              <w:rPr>
                <w:rFonts w:ascii="Arial" w:hAnsi="Arial" w:cs="Arial"/>
                <w:sz w:val="22"/>
                <w:u w:val="single"/>
              </w:rPr>
            </w:pPr>
            <w:r>
              <w:rPr>
                <w:rFonts w:cs="Arial" w:ascii="Arial" w:hAnsi="Arial"/>
                <w:u w:val="single"/>
              </w:rPr>
              <w:t>Effective Date; Term and Termination</w:t>
            </w:r>
          </w:p>
          <w:p>
            <w:pPr>
              <w:pStyle w:val="Normal"/>
              <w:numPr>
                <w:ilvl w:val="0"/>
                <w:numId w:val="48"/>
              </w:numPr>
              <w:tabs>
                <w:tab w:val="clear" w:pos="720"/>
              </w:tabs>
              <w:ind w:hanging="360" w:start="720" w:end="0"/>
              <w:rPr>
                <w:rFonts w:ascii="Arial" w:hAnsi="Arial" w:cs="Arial"/>
                <w:sz w:val="22"/>
                <w:u w:val="single"/>
              </w:rPr>
            </w:pPr>
            <w:r>
              <w:rPr>
                <w:rFonts w:cs="Arial" w:ascii="Arial" w:hAnsi="Arial"/>
                <w:sz w:val="22"/>
              </w:rPr>
              <w:t>Reference should be made to the ability of Congress to exercise their discretion at any time and thereby potentially change any existing arrangements among the parties to the Agreement.  (Recitals, Sections 2 and 3.5 and other sections)</w:t>
            </w:r>
          </w:p>
          <w:p>
            <w:pPr>
              <w:pStyle w:val="Normal"/>
              <w:rPr>
                <w:rFonts w:ascii="Arial" w:hAnsi="Arial" w:cs="Arial"/>
                <w:sz w:val="22"/>
                <w:u w:val="single"/>
              </w:rPr>
            </w:pPr>
            <w:r>
              <w:rPr>
                <w:rFonts w:cs="Arial" w:ascii="Arial" w:hAnsi="Arial"/>
                <w:sz w:val="22"/>
                <w:u w:val="single"/>
              </w:rPr>
            </w:r>
          </w:p>
          <w:p>
            <w:pPr>
              <w:pStyle w:val="Normal"/>
              <w:tabs>
                <w:tab w:val="clear" w:pos="720"/>
                <w:tab w:val="left" w:pos="360" w:leader="none"/>
              </w:tabs>
              <w:rPr/>
            </w:pPr>
            <w:r>
              <w:rPr>
                <w:rFonts w:cs="Arial" w:ascii="Arial" w:hAnsi="Arial"/>
              </w:rPr>
              <w:tab/>
            </w:r>
            <w:r>
              <w:rPr>
                <w:rFonts w:cs="Arial" w:ascii="Arial" w:hAnsi="Arial"/>
                <w:u w:val="single"/>
              </w:rPr>
              <w:t>2.1 (Effective Date)</w:t>
            </w:r>
          </w:p>
          <w:p>
            <w:pPr>
              <w:pStyle w:val="Normal"/>
              <w:numPr>
                <w:ilvl w:val="0"/>
                <w:numId w:val="12"/>
              </w:numPr>
              <w:ind w:hanging="360" w:start="720" w:end="0"/>
              <w:rPr>
                <w:rFonts w:ascii="Arial" w:hAnsi="Arial" w:cs="Arial"/>
                <w:sz w:val="22"/>
              </w:rPr>
            </w:pPr>
            <w:r>
              <w:rPr>
                <w:rFonts w:cs="Arial" w:ascii="Arial" w:hAnsi="Arial"/>
                <w:sz w:val="22"/>
              </w:rPr>
              <w:t>The term of the Agreement needs to be finite.  The term could be for 10 years with an automatic renewal at year nine.</w:t>
            </w:r>
          </w:p>
          <w:p>
            <w:pPr>
              <w:pStyle w:val="Normal"/>
              <w:rPr>
                <w:rFonts w:ascii="Arial" w:hAnsi="Arial" w:cs="Arial"/>
                <w:sz w:val="22"/>
                <w:u w:val="single"/>
              </w:rPr>
            </w:pPr>
            <w:r>
              <w:rPr>
                <w:rFonts w:cs="Arial" w:ascii="Arial" w:hAnsi="Arial"/>
                <w:sz w:val="22"/>
                <w:u w:val="single"/>
              </w:rPr>
            </w:r>
          </w:p>
          <w:p>
            <w:pPr>
              <w:pStyle w:val="Normal"/>
              <w:numPr>
                <w:ilvl w:val="1"/>
                <w:numId w:val="11"/>
              </w:numPr>
              <w:tabs>
                <w:tab w:val="clear" w:pos="720"/>
                <w:tab w:val="left" w:pos="360" w:leader="none"/>
              </w:tabs>
              <w:rPr>
                <w:rFonts w:ascii="Arial" w:hAnsi="Arial" w:cs="Arial"/>
                <w:u w:val="single"/>
              </w:rPr>
            </w:pPr>
            <w:r>
              <w:rPr>
                <w:rFonts w:cs="Arial" w:ascii="Arial" w:hAnsi="Arial"/>
                <w:u w:val="single"/>
              </w:rPr>
              <w:t>(Termination)</w:t>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required notice to RTO of “any operating change that would cause an Interconnected Unit to cease operating within the Interconnected Control Area” is overly broad.  Does it include “micro-generation”?</w:t>
            </w:r>
          </w:p>
          <w:p>
            <w:pPr>
              <w:pStyle w:val="Normal"/>
              <w:ind w:start="360" w:end="0"/>
              <w:rPr>
                <w:rFonts w:ascii="Arial" w:hAnsi="Arial" w:cs="Arial"/>
                <w:sz w:val="22"/>
                <w:u w:val="single"/>
              </w:rPr>
            </w:pPr>
            <w:r>
              <w:rPr>
                <w:rFonts w:cs="Arial" w:ascii="Arial" w:hAnsi="Arial"/>
                <w:sz w:val="22"/>
                <w:u w:val="single"/>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There needs to be exclusion for federal facilities for forced outages.  (Section 2.2 – last sentence)</w:t>
            </w:r>
          </w:p>
          <w:p>
            <w:pPr>
              <w:pStyle w:val="Normal"/>
              <w:rPr>
                <w:rFonts w:ascii="Arial" w:hAnsi="Arial" w:cs="Arial"/>
                <w:sz w:val="22"/>
              </w:rPr>
            </w:pPr>
            <w:r>
              <w:rPr>
                <w:rFonts w:cs="Arial" w:ascii="Arial" w:hAnsi="Arial"/>
                <w:sz w:val="22"/>
              </w:rPr>
            </w:r>
          </w:p>
          <w:p>
            <w:pPr>
              <w:pStyle w:val="Normal"/>
              <w:numPr>
                <w:ilvl w:val="0"/>
                <w:numId w:val="13"/>
              </w:numPr>
              <w:tabs>
                <w:tab w:val="clear" w:pos="720"/>
              </w:tabs>
              <w:ind w:hanging="360" w:start="720" w:end="0"/>
              <w:rPr>
                <w:rFonts w:ascii="Arial" w:hAnsi="Arial" w:cs="Arial"/>
                <w:b/>
                <w:i/>
                <w:i/>
                <w:sz w:val="22"/>
                <w:u w:val="single"/>
              </w:rPr>
            </w:pPr>
            <w:r>
              <w:rPr>
                <w:rFonts w:cs="Arial" w:ascii="Arial" w:hAnsi="Arial"/>
                <w:b/>
                <w:i/>
                <w:sz w:val="22"/>
              </w:rPr>
              <w:t>Define what is meant by “changes in operation.” E.g. what if a merchant plant has a steam turbine connected to the RTO grid, and then decided to idle it for 3 months because steam was more valuable for process heat than for generating electricity?</w:t>
            </w:r>
          </w:p>
          <w:p>
            <w:pPr>
              <w:pStyle w:val="Normal"/>
              <w:rPr>
                <w:rFonts w:ascii="Arial" w:hAnsi="Arial" w:cs="Arial"/>
                <w:b/>
                <w:i/>
                <w:i/>
                <w:sz w:val="22"/>
                <w:u w:val="single"/>
              </w:rPr>
            </w:pPr>
            <w:r>
              <w:rPr>
                <w:rFonts w:cs="Arial" w:ascii="Arial" w:hAnsi="Arial"/>
                <w:b/>
                <w:i/>
                <w:sz w:val="22"/>
                <w:u w:val="single"/>
              </w:rPr>
            </w:r>
          </w:p>
          <w:p>
            <w:pPr>
              <w:pStyle w:val="Normal"/>
              <w:numPr>
                <w:ilvl w:val="0"/>
                <w:numId w:val="13"/>
              </w:numPr>
              <w:tabs>
                <w:tab w:val="clear" w:pos="720"/>
              </w:tabs>
              <w:ind w:hanging="360" w:start="720" w:end="0"/>
              <w:rPr>
                <w:rFonts w:ascii="Arial" w:hAnsi="Arial" w:cs="Arial"/>
                <w:sz w:val="22"/>
                <w:u w:val="single"/>
              </w:rPr>
            </w:pPr>
            <w:r>
              <w:rPr>
                <w:rFonts w:cs="Arial" w:ascii="Arial" w:hAnsi="Arial"/>
                <w:sz w:val="22"/>
              </w:rPr>
              <w:t>In the event a TO joins RTO West, and then opts out, wouldn’t any GIA between RTO West and generation connected to that TO’s grid be terminated? What about QF’s and merchant plants that made reliance investments in metering upgrades, AGC, etc, only to have the GIA unilaterally terminated by TO’s actions? Is this issue of TO liability to third party generators better addressed in the TCA?</w:t>
            </w:r>
          </w:p>
          <w:p>
            <w:pPr>
              <w:pStyle w:val="Normal"/>
              <w:tabs>
                <w:tab w:val="clear" w:pos="720"/>
                <w:tab w:val="left" w:pos="360" w:leader="none"/>
              </w:tabs>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18"/>
              </w:rPr>
            </w:pPr>
            <w:r>
              <w:rPr>
                <w:rFonts w:cs="Arial" w:ascii="Arial" w:hAnsi="Arial"/>
                <w:sz w:val="18"/>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widowControl w:val="false"/>
              <w:rPr>
                <w:rFonts w:ascii="Arial" w:hAnsi="Arial" w:cs="Arial"/>
                <w:u w:val="single"/>
              </w:rPr>
            </w:pPr>
            <w:r>
              <w:rPr>
                <w:rFonts w:cs="Arial" w:ascii="Arial" w:hAnsi="Arial"/>
                <w:u w:val="single"/>
              </w:rPr>
              <w:t>3.  Agreement’s Application</w:t>
            </w:r>
          </w:p>
          <w:p>
            <w:pPr>
              <w:pStyle w:val="Normal"/>
              <w:keepNext w:val="true"/>
              <w:keepLines/>
              <w:widowControl w:val="false"/>
              <w:rPr>
                <w:rFonts w:ascii="Arial" w:hAnsi="Arial" w:cs="Arial"/>
                <w:u w:val="single"/>
              </w:rPr>
            </w:pPr>
            <w:r>
              <w:rPr>
                <w:rFonts w:cs="Arial" w:ascii="Arial" w:hAnsi="Arial"/>
                <w:u w:val="single"/>
              </w:rPr>
            </w:r>
          </w:p>
          <w:p>
            <w:pPr>
              <w:pStyle w:val="Normal"/>
              <w:keepNext w:val="true"/>
              <w:keepLines/>
              <w:widowControl w:val="false"/>
              <w:tabs>
                <w:tab w:val="clear" w:pos="720"/>
                <w:tab w:val="left" w:pos="360" w:leader="none"/>
              </w:tabs>
              <w:rPr>
                <w:rFonts w:ascii="Arial" w:hAnsi="Arial" w:cs="Arial"/>
              </w:rPr>
            </w:pPr>
            <w:r>
              <w:rPr>
                <w:rFonts w:cs="Arial" w:ascii="Arial" w:hAnsi="Arial"/>
              </w:rPr>
              <w:tab/>
            </w:r>
            <w:r>
              <w:rPr>
                <w:rFonts w:cs="Arial" w:ascii="Arial" w:hAnsi="Arial"/>
                <w:u w:val="single"/>
              </w:rPr>
              <w:t>3.2 (Pre-existing Generation Agreements)</w:t>
            </w:r>
          </w:p>
          <w:p>
            <w:pPr>
              <w:pStyle w:val="Normal"/>
              <w:widowControl w:val="false"/>
              <w:numPr>
                <w:ilvl w:val="0"/>
                <w:numId w:val="36"/>
              </w:numPr>
              <w:ind w:hanging="360" w:start="720" w:end="0"/>
              <w:rPr>
                <w:rFonts w:ascii="Arial" w:hAnsi="Arial" w:cs="Arial"/>
                <w:sz w:val="22"/>
              </w:rPr>
            </w:pPr>
            <w:r>
              <w:rPr>
                <w:rFonts w:cs="Arial" w:ascii="Arial" w:hAnsi="Arial"/>
                <w:sz w:val="22"/>
              </w:rPr>
              <w:t>Add language stating that Generating Party is not required to forfeit any of its rights under the pre-existing generation agreement.</w:t>
            </w:r>
          </w:p>
          <w:p>
            <w:pPr>
              <w:pStyle w:val="Normal"/>
              <w:widowControl w:val="false"/>
              <w:ind w:start="360" w:end="0"/>
              <w:rPr>
                <w:rFonts w:ascii="Arial" w:hAnsi="Arial" w:cs="Arial"/>
                <w:sz w:val="22"/>
              </w:rPr>
            </w:pPr>
            <w:r>
              <w:rPr>
                <w:rFonts w:cs="Arial" w:ascii="Arial" w:hAnsi="Arial"/>
                <w:sz w:val="22"/>
              </w:rPr>
            </w:r>
          </w:p>
          <w:p>
            <w:pPr>
              <w:pStyle w:val="Normal"/>
              <w:widowControl w:val="false"/>
              <w:numPr>
                <w:ilvl w:val="0"/>
                <w:numId w:val="36"/>
              </w:numPr>
              <w:ind w:hanging="360" w:start="720" w:end="0"/>
              <w:rPr>
                <w:rFonts w:ascii="Arial" w:hAnsi="Arial" w:cs="Arial"/>
                <w:sz w:val="22"/>
              </w:rPr>
            </w:pPr>
            <w:r>
              <w:rPr>
                <w:rFonts w:cs="Arial" w:ascii="Arial" w:hAnsi="Arial"/>
                <w:sz w:val="22"/>
              </w:rPr>
              <w:t xml:space="preserve">Revise to obligate Generating Party to use “Commercially Reasonable” efforts to comply with the GIA. </w:t>
            </w:r>
          </w:p>
          <w:p>
            <w:pPr>
              <w:pStyle w:val="Normal"/>
              <w:widowControl w:val="false"/>
              <w:rPr>
                <w:rFonts w:ascii="Arial" w:hAnsi="Arial" w:cs="Arial"/>
                <w:sz w:val="22"/>
              </w:rPr>
            </w:pPr>
            <w:r>
              <w:rPr>
                <w:rFonts w:cs="Arial" w:ascii="Arial" w:hAnsi="Arial"/>
                <w:sz w:val="22"/>
              </w:rPr>
            </w:r>
          </w:p>
          <w:p>
            <w:pPr>
              <w:pStyle w:val="Normal"/>
              <w:widowControl w:val="false"/>
              <w:numPr>
                <w:ilvl w:val="0"/>
                <w:numId w:val="49"/>
              </w:numPr>
              <w:tabs>
                <w:tab w:val="clear" w:pos="720"/>
                <w:tab w:val="left" w:pos="360" w:leader="none"/>
              </w:tabs>
              <w:ind w:hanging="360" w:start="720" w:end="0"/>
              <w:rPr>
                <w:rFonts w:ascii="Arial" w:hAnsi="Arial" w:cs="Arial"/>
                <w:sz w:val="22"/>
              </w:rPr>
            </w:pPr>
            <w:r>
              <w:rPr>
                <w:rFonts w:cs="Arial" w:ascii="Arial" w:hAnsi="Arial"/>
                <w:sz w:val="22"/>
              </w:rPr>
              <w:t>Define “Commercially Reasonable” as not requiring the forfeiture of any benefits of pre-existing agreement(s), any loss of QF status under PURPA, any breach of steam or power sale contracts, or any loss of expected project cashflow or profit streams.</w:t>
            </w:r>
          </w:p>
          <w:p>
            <w:pPr>
              <w:pStyle w:val="Normal"/>
              <w:widowControl w:val="false"/>
              <w:tabs>
                <w:tab w:val="clear" w:pos="720"/>
                <w:tab w:val="left" w:pos="360" w:leader="none"/>
              </w:tabs>
              <w:rPr>
                <w:rFonts w:ascii="Arial" w:hAnsi="Arial" w:cs="Arial"/>
                <w:sz w:val="22"/>
              </w:rPr>
            </w:pPr>
            <w:r>
              <w:rPr>
                <w:rFonts w:cs="Arial" w:ascii="Arial" w:hAnsi="Arial"/>
                <w:sz w:val="22"/>
              </w:rPr>
            </w:r>
          </w:p>
          <w:p>
            <w:pPr>
              <w:pStyle w:val="Normal"/>
              <w:widowControl w:val="false"/>
              <w:tabs>
                <w:tab w:val="clear" w:pos="720"/>
                <w:tab w:val="left" w:pos="360" w:leader="none"/>
              </w:tabs>
              <w:rPr/>
            </w:pPr>
            <w:r>
              <w:rPr>
                <w:rFonts w:cs="Arial" w:ascii="Arial" w:hAnsi="Arial"/>
              </w:rPr>
              <w:tab/>
            </w:r>
            <w:r>
              <w:rPr>
                <w:rFonts w:cs="Arial" w:ascii="Arial" w:hAnsi="Arial"/>
                <w:u w:val="single"/>
              </w:rPr>
              <w:t>3.3 (New Agreements Relating to Interconnected Generation Facilities)</w:t>
            </w:r>
          </w:p>
          <w:p>
            <w:pPr>
              <w:pStyle w:val="Normal"/>
              <w:widowControl w:val="false"/>
              <w:numPr>
                <w:ilvl w:val="0"/>
                <w:numId w:val="47"/>
              </w:numPr>
              <w:tabs>
                <w:tab w:val="clear" w:pos="720"/>
                <w:tab w:val="left" w:pos="360" w:leader="none"/>
              </w:tabs>
              <w:ind w:hanging="360" w:start="720" w:end="0"/>
              <w:rPr>
                <w:rFonts w:ascii="Arial" w:hAnsi="Arial" w:cs="Arial"/>
                <w:sz w:val="22"/>
              </w:rPr>
            </w:pPr>
            <w:r>
              <w:rPr>
                <w:rFonts w:cs="Arial" w:ascii="Arial" w:hAnsi="Arial"/>
                <w:sz w:val="22"/>
              </w:rPr>
              <w:t>This GIA document has the potential to become a barrier to investment in new generation (to the advantage of new transmission or DSM) to the extent that it ties the hands of new generation. There should be a similar RTO West requirement that all new transmission expansion and DSM project proponents take all Commercially Reasonable efforts to ensure that their new agreements comport with the RTO West agreements. The Load Integration Agreement exists, and can be modified to include new DSM projects. Is there a new, generic new Transmission Integration Agreement, or, is the Transmission Control Agreement the vehicle to be used for inclusion of new transmission facilities?</w:t>
            </w:r>
          </w:p>
          <w:p>
            <w:pPr>
              <w:pStyle w:val="Normal"/>
              <w:widowControl w:val="false"/>
              <w:tabs>
                <w:tab w:val="clear" w:pos="720"/>
                <w:tab w:val="left" w:pos="360" w:leader="none"/>
              </w:tabs>
              <w:rPr>
                <w:rFonts w:ascii="Arial" w:hAnsi="Arial" w:cs="Arial"/>
                <w:sz w:val="22"/>
              </w:rPr>
            </w:pPr>
            <w:r>
              <w:rPr>
                <w:rFonts w:cs="Arial" w:ascii="Arial" w:hAnsi="Arial"/>
                <w:sz w:val="22"/>
              </w:rPr>
            </w:r>
          </w:p>
          <w:p>
            <w:pPr>
              <w:pStyle w:val="Normal"/>
              <w:widowControl w:val="false"/>
              <w:tabs>
                <w:tab w:val="clear" w:pos="720"/>
                <w:tab w:val="left" w:pos="360" w:leader="none"/>
              </w:tabs>
              <w:rPr/>
            </w:pPr>
            <w:r>
              <w:rPr>
                <w:rFonts w:cs="Arial" w:ascii="Arial" w:hAnsi="Arial"/>
              </w:rPr>
              <w:tab/>
            </w:r>
            <w:r>
              <w:rPr>
                <w:rFonts w:cs="Arial" w:ascii="Arial" w:hAnsi="Arial"/>
                <w:u w:val="single"/>
              </w:rPr>
              <w:t>3.4 (New or Additional Generation Facilities)</w:t>
            </w:r>
          </w:p>
          <w:p>
            <w:pPr>
              <w:pStyle w:val="Normal"/>
              <w:widowControl w:val="false"/>
              <w:numPr>
                <w:ilvl w:val="0"/>
                <w:numId w:val="7"/>
              </w:numPr>
              <w:ind w:hanging="360" w:start="720" w:end="0"/>
              <w:rPr>
                <w:rFonts w:ascii="Arial" w:hAnsi="Arial" w:cs="Arial"/>
                <w:sz w:val="22"/>
                <w:u w:val="single"/>
              </w:rPr>
            </w:pPr>
            <w:r>
              <w:rPr>
                <w:rFonts w:cs="Arial" w:ascii="Arial" w:hAnsi="Arial"/>
                <w:sz w:val="22"/>
              </w:rPr>
              <w:t>There needs to be further review regarding “New or Additional Generation Facilities.”</w:t>
            </w:r>
          </w:p>
          <w:p>
            <w:pPr>
              <w:pStyle w:val="Normal"/>
              <w:widowControl w:val="false"/>
              <w:ind w:start="360" w:end="0"/>
              <w:rPr>
                <w:rFonts w:ascii="Arial" w:hAnsi="Arial" w:cs="Arial"/>
                <w:sz w:val="22"/>
                <w:u w:val="single"/>
              </w:rPr>
            </w:pPr>
            <w:r>
              <w:rPr>
                <w:rFonts w:cs="Arial" w:ascii="Arial" w:hAnsi="Arial"/>
                <w:sz w:val="22"/>
                <w:u w:val="single"/>
              </w:rPr>
            </w:r>
          </w:p>
          <w:p>
            <w:pPr>
              <w:pStyle w:val="Normal"/>
              <w:widowControl w:val="false"/>
              <w:numPr>
                <w:ilvl w:val="0"/>
                <w:numId w:val="7"/>
              </w:numPr>
              <w:ind w:hanging="360" w:start="720" w:end="0"/>
              <w:rPr>
                <w:rFonts w:ascii="Arial" w:hAnsi="Arial" w:cs="Arial"/>
                <w:sz w:val="22"/>
                <w:u w:val="single"/>
              </w:rPr>
            </w:pPr>
            <w:r>
              <w:rPr>
                <w:rFonts w:cs="Arial" w:ascii="Arial" w:hAnsi="Arial"/>
                <w:sz w:val="22"/>
              </w:rPr>
              <w:t>The Generating Party should be required to amend Exhibit B only to the extent permitted by any Pre-existing Generation Agreements.</w:t>
            </w:r>
          </w:p>
          <w:p>
            <w:pPr>
              <w:pStyle w:val="Normal"/>
              <w:widowControl w:val="false"/>
              <w:rPr>
                <w:rFonts w:ascii="Arial" w:hAnsi="Arial" w:cs="Arial"/>
                <w:sz w:val="22"/>
                <w:u w:val="single"/>
              </w:rPr>
            </w:pPr>
            <w:r>
              <w:rPr>
                <w:rFonts w:cs="Arial" w:ascii="Arial" w:hAnsi="Arial"/>
                <w:sz w:val="22"/>
                <w:u w:val="single"/>
              </w:rPr>
            </w:r>
          </w:p>
          <w:p>
            <w:pPr>
              <w:pStyle w:val="Normal"/>
              <w:widowControl w:val="false"/>
              <w:tabs>
                <w:tab w:val="clear" w:pos="720"/>
                <w:tab w:val="left" w:pos="360" w:leader="none"/>
              </w:tabs>
              <w:rPr/>
            </w:pPr>
            <w:r>
              <w:rPr>
                <w:rFonts w:cs="Arial" w:ascii="Arial" w:hAnsi="Arial"/>
                <w:sz w:val="22"/>
              </w:rPr>
              <w:tab/>
            </w:r>
            <w:r>
              <w:rPr>
                <w:rFonts w:cs="Arial" w:ascii="Arial" w:hAnsi="Arial"/>
                <w:u w:val="single"/>
              </w:rPr>
              <w:t>3.5 (Transfers of Control over Interconnected Units)</w:t>
            </w:r>
          </w:p>
          <w:p>
            <w:pPr>
              <w:pStyle w:val="Normal"/>
              <w:widowControl w:val="false"/>
              <w:numPr>
                <w:ilvl w:val="0"/>
                <w:numId w:val="44"/>
              </w:numPr>
              <w:tabs>
                <w:tab w:val="clear" w:pos="720"/>
              </w:tabs>
              <w:ind w:hanging="360" w:start="720" w:end="0"/>
              <w:rPr>
                <w:rFonts w:ascii="Arial" w:hAnsi="Arial" w:cs="Arial"/>
                <w:sz w:val="22"/>
                <w:u w:val="single"/>
              </w:rPr>
            </w:pPr>
            <w:r>
              <w:rPr>
                <w:rFonts w:cs="Arial" w:ascii="Arial" w:hAnsi="Arial"/>
                <w:sz w:val="22"/>
              </w:rPr>
              <w:t>Reference should be made to the ability of Congress to exercise their discretion at any time and thereby potentially change any existing arrangements among the parties to the Agreement.  (Recitals, Sections 2 and 3.5 and other sections)</w:t>
            </w:r>
          </w:p>
          <w:p>
            <w:pPr>
              <w:pStyle w:val="Normal"/>
              <w:widowControl w:val="false"/>
              <w:rPr>
                <w:rFonts w:ascii="Arial" w:hAnsi="Arial" w:cs="Arial"/>
                <w:sz w:val="22"/>
                <w:u w:val="single"/>
              </w:rPr>
            </w:pPr>
            <w:r>
              <w:rPr>
                <w:rFonts w:cs="Arial" w:ascii="Arial" w:hAnsi="Arial"/>
                <w:sz w:val="22"/>
                <w:u w:val="single"/>
              </w:rPr>
            </w:r>
          </w:p>
          <w:p>
            <w:pPr>
              <w:pStyle w:val="Normal"/>
              <w:widowControl w:val="false"/>
              <w:tabs>
                <w:tab w:val="clear" w:pos="720"/>
                <w:tab w:val="left" w:pos="360" w:leader="none"/>
              </w:tabs>
              <w:rPr/>
            </w:pPr>
            <w:r>
              <w:rPr>
                <w:rFonts w:cs="Arial" w:ascii="Arial" w:hAnsi="Arial"/>
              </w:rPr>
              <w:tab/>
            </w:r>
            <w:r>
              <w:rPr>
                <w:rFonts w:cs="Arial" w:ascii="Arial" w:hAnsi="Arial"/>
                <w:u w:val="single"/>
              </w:rPr>
              <w:t>3.6 (The Generating Party’s Responsibility to Protect Its Electric System)</w:t>
            </w:r>
          </w:p>
          <w:p>
            <w:pPr>
              <w:pStyle w:val="Normal"/>
              <w:widowControl w:val="false"/>
              <w:numPr>
                <w:ilvl w:val="0"/>
                <w:numId w:val="46"/>
              </w:numPr>
              <w:ind w:hanging="360" w:start="720" w:end="0"/>
              <w:rPr>
                <w:rFonts w:ascii="Arial" w:hAnsi="Arial" w:cs="Arial"/>
                <w:sz w:val="22"/>
              </w:rPr>
            </w:pPr>
            <w:r>
              <w:rPr>
                <w:rFonts w:cs="Arial" w:ascii="Arial" w:hAnsi="Arial"/>
                <w:sz w:val="22"/>
              </w:rPr>
              <w:t xml:space="preserve">This section needs to be revised to place symmetrical burdens upon the RTO to protect the Electrical Systems under RTO control, and to bear responsibility for “Losses” caused by the RTO. </w:t>
            </w:r>
          </w:p>
          <w:p>
            <w:pPr>
              <w:pStyle w:val="Normal"/>
              <w:widowControl w:val="false"/>
              <w:ind w:start="360" w:end="0"/>
              <w:rPr>
                <w:rFonts w:ascii="Arial" w:hAnsi="Arial" w:cs="Arial"/>
                <w:sz w:val="22"/>
              </w:rPr>
            </w:pPr>
            <w:r>
              <w:rPr>
                <w:rFonts w:cs="Arial" w:ascii="Arial" w:hAnsi="Arial"/>
                <w:sz w:val="22"/>
              </w:rPr>
            </w:r>
          </w:p>
          <w:p>
            <w:pPr>
              <w:pStyle w:val="Normal"/>
              <w:widowControl w:val="false"/>
              <w:numPr>
                <w:ilvl w:val="0"/>
                <w:numId w:val="46"/>
              </w:numPr>
              <w:ind w:hanging="360" w:start="720" w:end="0"/>
              <w:rPr>
                <w:rFonts w:ascii="Arial" w:hAnsi="Arial" w:cs="Arial"/>
                <w:u w:val="single"/>
              </w:rPr>
            </w:pPr>
            <w:r>
              <w:rPr>
                <w:rFonts w:cs="Arial" w:ascii="Arial" w:hAnsi="Arial"/>
                <w:sz w:val="22"/>
              </w:rPr>
              <w:t>See definition of “Electric System” in Appendix A. Is the “RTO West-Controlled Transmission” an “Electric System?”  Seems to be.  Do we need an exemption for these facilities in the definition?</w:t>
            </w:r>
          </w:p>
          <w:p>
            <w:pPr>
              <w:pStyle w:val="Normal"/>
              <w:widowControl w:val="false"/>
              <w:rPr>
                <w:rFonts w:ascii="Arial" w:hAnsi="Arial" w:cs="Arial"/>
                <w:sz w:val="22"/>
                <w:u w:val="single"/>
              </w:rPr>
            </w:pPr>
            <w:r>
              <w:rPr>
                <w:rFonts w:cs="Arial" w:ascii="Arial" w:hAnsi="Arial"/>
                <w:sz w:val="22"/>
                <w:u w:val="single"/>
              </w:rPr>
            </w:r>
          </w:p>
          <w:p>
            <w:pPr>
              <w:pStyle w:val="Normal"/>
              <w:widowControl w:val="false"/>
              <w:numPr>
                <w:ilvl w:val="0"/>
                <w:numId w:val="46"/>
              </w:numPr>
              <w:ind w:hanging="360" w:start="720" w:end="0"/>
              <w:rPr>
                <w:rFonts w:ascii="Arial" w:hAnsi="Arial" w:cs="Arial"/>
                <w:u w:val="single"/>
              </w:rPr>
            </w:pPr>
            <w:r>
              <w:rPr>
                <w:rFonts w:cs="Arial" w:ascii="Arial" w:hAnsi="Arial"/>
                <w:sz w:val="22"/>
              </w:rPr>
              <w:t>See definition of “Loss” in Appendix A. Delete the reference to “consequential” damages.  If such language is retained, RTO West must be given symmetrical liability for consequential damages.</w:t>
            </w:r>
          </w:p>
          <w:p>
            <w:pPr>
              <w:pStyle w:val="Normal"/>
              <w:widowControl w:val="false"/>
              <w:rPr>
                <w:rFonts w:ascii="Arial" w:hAnsi="Arial" w:cs="Arial"/>
                <w:u w:val="single"/>
              </w:rPr>
            </w:pPr>
            <w:r>
              <w:rPr>
                <w:rFonts w:cs="Arial" w:ascii="Arial" w:hAnsi="Arial"/>
                <w:u w:val="single"/>
              </w:rPr>
            </w:r>
          </w:p>
          <w:p>
            <w:pPr>
              <w:pStyle w:val="Normal"/>
              <w:widowControl w:val="false"/>
              <w:tabs>
                <w:tab w:val="clear" w:pos="720"/>
                <w:tab w:val="left" w:pos="360" w:leader="none"/>
              </w:tabs>
              <w:rPr/>
            </w:pPr>
            <w:r>
              <w:rPr>
                <w:rFonts w:cs="Arial" w:ascii="Arial" w:hAnsi="Arial"/>
              </w:rPr>
              <w:tab/>
            </w:r>
            <w:r>
              <w:rPr>
                <w:rFonts w:cs="Arial" w:ascii="Arial" w:hAnsi="Arial"/>
                <w:u w:val="single"/>
              </w:rPr>
              <w:t>3.7 (Compliance with NERC, WSCC, FERC, Etc.)</w:t>
            </w:r>
          </w:p>
          <w:p>
            <w:pPr>
              <w:pStyle w:val="Normal"/>
              <w:widowControl w:val="false"/>
              <w:numPr>
                <w:ilvl w:val="0"/>
                <w:numId w:val="39"/>
              </w:numPr>
              <w:tabs>
                <w:tab w:val="clear" w:pos="720"/>
              </w:tabs>
              <w:ind w:hanging="360" w:start="720" w:end="0"/>
              <w:rPr>
                <w:rFonts w:ascii="Arial" w:hAnsi="Arial" w:cs="Arial"/>
                <w:sz w:val="22"/>
                <w:u w:val="single"/>
              </w:rPr>
            </w:pPr>
            <w:r>
              <w:rPr>
                <w:rFonts w:cs="Arial" w:ascii="Arial" w:hAnsi="Arial"/>
                <w:sz w:val="22"/>
              </w:rPr>
              <w:t>add “NRC” to list (and also add to definitions)</w:t>
            </w:r>
          </w:p>
          <w:p>
            <w:pPr>
              <w:pStyle w:val="Normal"/>
              <w:widowControl w:val="false"/>
              <w:ind w:start="360" w:end="0"/>
              <w:rPr>
                <w:rFonts w:ascii="Arial" w:hAnsi="Arial" w:cs="Arial"/>
                <w:sz w:val="22"/>
                <w:u w:val="single"/>
              </w:rPr>
            </w:pPr>
            <w:r>
              <w:rPr>
                <w:rFonts w:cs="Arial" w:ascii="Arial" w:hAnsi="Arial"/>
                <w:sz w:val="22"/>
                <w:u w:val="single"/>
              </w:rPr>
            </w:r>
          </w:p>
          <w:p>
            <w:pPr>
              <w:pStyle w:val="Normal"/>
              <w:widowControl w:val="false"/>
              <w:numPr>
                <w:ilvl w:val="0"/>
                <w:numId w:val="39"/>
              </w:numPr>
              <w:tabs>
                <w:tab w:val="clear" w:pos="720"/>
              </w:tabs>
              <w:ind w:hanging="360" w:start="720" w:end="0"/>
              <w:rPr>
                <w:rFonts w:ascii="Arial" w:hAnsi="Arial" w:cs="Arial"/>
                <w:sz w:val="22"/>
                <w:u w:val="single"/>
              </w:rPr>
            </w:pPr>
            <w:r>
              <w:rPr>
                <w:rFonts w:cs="Arial" w:ascii="Arial" w:hAnsi="Arial"/>
                <w:sz w:val="22"/>
              </w:rPr>
              <w:t>Compliance with NERC, WSCC, FERC etc. raises questions of authority for the Corps and Reclamation.  (Section 3.7 and other sections)</w:t>
            </w:r>
          </w:p>
          <w:p>
            <w:pPr>
              <w:pStyle w:val="Normal"/>
              <w:widowControl w:val="false"/>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6"/>
              </w:rPr>
            </w:pPr>
            <w:r>
              <w:rPr>
                <w:rFonts w:cs="Arial" w:ascii="Arial" w:hAnsi="Arial"/>
                <w:sz w:val="26"/>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6"/>
              </w:rPr>
            </w:pPr>
            <w:r>
              <w:rPr>
                <w:rFonts w:cs="Arial" w:ascii="Arial" w:hAnsi="Arial"/>
                <w:sz w:val="26"/>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BPA-TBL</w:t>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6"/>
              </w:rPr>
            </w:pPr>
            <w:r>
              <w:rPr>
                <w:rFonts w:cs="Arial" w:ascii="Arial" w:hAnsi="Arial"/>
                <w:sz w:val="26"/>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6"/>
              </w:rPr>
            </w:pPr>
            <w:r>
              <w:rPr>
                <w:rFonts w:cs="Arial" w:ascii="Arial" w:hAnsi="Arial"/>
                <w:sz w:val="26"/>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2 or 3</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1 or 2</w:t>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widowControl w:val="false"/>
              <w:rPr>
                <w:rFonts w:ascii="Arial" w:hAnsi="Arial" w:cs="Arial"/>
                <w:u w:val="single"/>
              </w:rPr>
            </w:pPr>
            <w:r>
              <w:rPr>
                <w:rFonts w:cs="Arial" w:ascii="Arial" w:hAnsi="Arial"/>
                <w:u w:val="single"/>
              </w:rPr>
              <w:t>4.  Interconnections, Metering Systems, Communications, and Data</w:t>
            </w:r>
          </w:p>
          <w:p>
            <w:pPr>
              <w:pStyle w:val="Normal"/>
              <w:widowControl w:val="false"/>
              <w:rPr>
                <w:rFonts w:ascii="Arial" w:hAnsi="Arial" w:cs="Arial"/>
                <w:u w:val="single"/>
              </w:rPr>
            </w:pPr>
            <w:r>
              <w:rPr>
                <w:rFonts w:cs="Arial" w:ascii="Arial" w:hAnsi="Arial"/>
                <w:u w:val="single"/>
              </w:rPr>
            </w:r>
          </w:p>
          <w:p>
            <w:pPr>
              <w:pStyle w:val="Normal"/>
              <w:widowControl w:val="false"/>
              <w:tabs>
                <w:tab w:val="clear" w:pos="720"/>
                <w:tab w:val="left" w:pos="360" w:leader="none"/>
              </w:tabs>
              <w:rPr/>
            </w:pPr>
            <w:r>
              <w:rPr>
                <w:rFonts w:cs="Arial" w:ascii="Arial" w:hAnsi="Arial"/>
              </w:rPr>
              <w:tab/>
            </w:r>
            <w:r>
              <w:rPr>
                <w:rFonts w:cs="Arial" w:ascii="Arial" w:hAnsi="Arial"/>
                <w:u w:val="single"/>
              </w:rPr>
              <w:t>4.2.1 (Metering System Requirements – Application)</w:t>
            </w:r>
          </w:p>
          <w:p>
            <w:pPr>
              <w:pStyle w:val="Normal"/>
              <w:widowControl w:val="false"/>
              <w:numPr>
                <w:ilvl w:val="0"/>
                <w:numId w:val="56"/>
              </w:numPr>
              <w:ind w:hanging="360" w:start="720" w:end="0"/>
              <w:rPr>
                <w:rFonts w:ascii="Arial" w:hAnsi="Arial" w:cs="Arial"/>
                <w:sz w:val="22"/>
                <w:u w:val="single"/>
              </w:rPr>
            </w:pPr>
            <w:r>
              <w:rPr>
                <w:rFonts w:cs="Arial" w:ascii="Arial" w:hAnsi="Arial"/>
                <w:sz w:val="22"/>
              </w:rPr>
              <w:t>The Corps and Reclamation will make reasonable efforts to meet metering system requirements, subject to available funds</w:t>
            </w:r>
          </w:p>
          <w:p>
            <w:pPr>
              <w:pStyle w:val="Normal"/>
              <w:widowControl w:val="false"/>
              <w:ind w:start="360" w:end="0"/>
              <w:rPr>
                <w:rFonts w:ascii="Arial" w:hAnsi="Arial" w:cs="Arial"/>
                <w:sz w:val="22"/>
                <w:u w:val="single"/>
              </w:rPr>
            </w:pPr>
            <w:r>
              <w:rPr>
                <w:rFonts w:cs="Arial" w:ascii="Arial" w:hAnsi="Arial"/>
                <w:sz w:val="22"/>
                <w:u w:val="single"/>
              </w:rPr>
            </w:r>
          </w:p>
          <w:p>
            <w:pPr>
              <w:pStyle w:val="Normal"/>
              <w:widowControl w:val="false"/>
              <w:tabs>
                <w:tab w:val="clear" w:pos="720"/>
                <w:tab w:val="left" w:pos="360" w:leader="none"/>
              </w:tabs>
              <w:rPr/>
            </w:pPr>
            <w:r>
              <w:rPr>
                <w:rFonts w:cs="Arial" w:ascii="Arial" w:hAnsi="Arial"/>
              </w:rPr>
              <w:tab/>
            </w:r>
            <w:r>
              <w:rPr>
                <w:rFonts w:cs="Arial" w:ascii="Arial" w:hAnsi="Arial"/>
                <w:u w:val="single"/>
              </w:rPr>
              <w:t>4.2.2 (Interchange Metering)</w:t>
            </w:r>
          </w:p>
          <w:p>
            <w:pPr>
              <w:pStyle w:val="Normal"/>
              <w:widowControl w:val="false"/>
              <w:numPr>
                <w:ilvl w:val="0"/>
                <w:numId w:val="54"/>
              </w:numPr>
              <w:ind w:hanging="360" w:start="720" w:end="0"/>
              <w:rPr>
                <w:rFonts w:ascii="Arial" w:hAnsi="Arial" w:cs="Arial"/>
                <w:sz w:val="22"/>
                <w:u w:val="single"/>
              </w:rPr>
            </w:pPr>
            <w:r>
              <w:rPr>
                <w:rFonts w:cs="Arial" w:ascii="Arial" w:hAnsi="Arial"/>
                <w:b/>
                <w:i/>
                <w:sz w:val="22"/>
              </w:rPr>
              <w:t>Is all generation behind the LDC interchange meter with RTO West treated as a single Interconnnected Plant to be dispatched by the Control Area Operator, or, will some large generation resources actually be dispatched by the RTO even though they reside behind the T/D split?</w:t>
            </w:r>
          </w:p>
          <w:p>
            <w:pPr>
              <w:pStyle w:val="Normal"/>
              <w:widowControl w:val="false"/>
              <w:rPr>
                <w:rFonts w:ascii="Arial" w:hAnsi="Arial" w:cs="Arial"/>
                <w:sz w:val="22"/>
                <w:u w:val="single"/>
              </w:rPr>
            </w:pPr>
            <w:r>
              <w:rPr>
                <w:rFonts w:cs="Arial" w:ascii="Arial" w:hAnsi="Arial"/>
                <w:sz w:val="22"/>
                <w:u w:val="single"/>
              </w:rPr>
            </w:r>
          </w:p>
          <w:p>
            <w:pPr>
              <w:pStyle w:val="Normal"/>
              <w:widowControl w:val="false"/>
              <w:ind w:start="360" w:end="0"/>
              <w:rPr>
                <w:rFonts w:ascii="Arial" w:hAnsi="Arial" w:cs="Arial"/>
                <w:u w:val="single"/>
              </w:rPr>
            </w:pPr>
            <w:r>
              <w:rPr>
                <w:rFonts w:cs="Arial" w:ascii="Arial" w:hAnsi="Arial"/>
                <w:u w:val="single"/>
              </w:rPr>
              <w:t>4.2.2(a) (Interchange Metering)</w:t>
            </w:r>
          </w:p>
          <w:p>
            <w:pPr>
              <w:pStyle w:val="Normal"/>
              <w:widowControl w:val="false"/>
              <w:numPr>
                <w:ilvl w:val="0"/>
                <w:numId w:val="45"/>
              </w:numPr>
              <w:ind w:hanging="360" w:start="720" w:end="0"/>
              <w:rPr>
                <w:rFonts w:ascii="Arial" w:hAnsi="Arial" w:cs="Arial"/>
                <w:sz w:val="22"/>
              </w:rPr>
            </w:pPr>
            <w:r>
              <w:rPr>
                <w:rFonts w:cs="Arial" w:ascii="Arial" w:hAnsi="Arial"/>
              </w:rPr>
              <w:t>should be “MVAr/hrs” (</w:t>
            </w:r>
            <w:r>
              <w:rPr>
                <w:rFonts w:cs="Arial" w:ascii="Arial" w:hAnsi="Arial"/>
                <w:b/>
                <w:i/>
                <w:sz w:val="20"/>
              </w:rPr>
              <w:t>SDL Note – should the reference here be to 4.2.2(c)?</w:t>
            </w:r>
            <w:r>
              <w:rPr>
                <w:rFonts w:cs="Arial" w:ascii="Arial" w:hAnsi="Arial"/>
                <w:sz w:val="20"/>
              </w:rPr>
              <w:t>)</w:t>
            </w:r>
          </w:p>
          <w:p>
            <w:pPr>
              <w:pStyle w:val="Normal"/>
              <w:widowControl w:val="false"/>
              <w:rPr>
                <w:rFonts w:ascii="Arial" w:hAnsi="Arial" w:cs="Arial"/>
                <w:sz w:val="22"/>
              </w:rPr>
            </w:pPr>
            <w:r>
              <w:rPr>
                <w:rFonts w:cs="Arial" w:ascii="Arial" w:hAnsi="Arial"/>
                <w:sz w:val="22"/>
              </w:rPr>
            </w:r>
          </w:p>
          <w:p>
            <w:pPr>
              <w:pStyle w:val="Normal"/>
              <w:widowControl w:val="false"/>
              <w:ind w:start="360" w:end="0"/>
              <w:rPr>
                <w:rFonts w:ascii="Arial" w:hAnsi="Arial" w:cs="Arial"/>
                <w:u w:val="single"/>
              </w:rPr>
            </w:pPr>
            <w:r>
              <w:rPr>
                <w:rFonts w:cs="Arial" w:ascii="Arial" w:hAnsi="Arial"/>
                <w:u w:val="single"/>
              </w:rPr>
              <w:t>4.2.3(a) (Calibration and Testing)</w:t>
            </w:r>
          </w:p>
          <w:p>
            <w:pPr>
              <w:pStyle w:val="Normal"/>
              <w:widowControl w:val="false"/>
              <w:numPr>
                <w:ilvl w:val="0"/>
                <w:numId w:val="3"/>
              </w:numPr>
              <w:tabs>
                <w:tab w:val="clear" w:pos="720"/>
              </w:tabs>
              <w:ind w:hanging="360" w:start="720" w:end="0"/>
              <w:rPr>
                <w:rFonts w:ascii="Arial" w:hAnsi="Arial" w:cs="Arial"/>
                <w:sz w:val="22"/>
              </w:rPr>
            </w:pPr>
            <w:r>
              <w:rPr>
                <w:rFonts w:cs="Arial" w:ascii="Arial" w:hAnsi="Arial"/>
                <w:sz w:val="22"/>
              </w:rPr>
              <w:t>should eliminate requirements in section 4.2.4.3 for technical qualifications and independence of testers and instead rely on providing RTO with notice of planned tests and right to be present.</w:t>
            </w:r>
          </w:p>
          <w:p>
            <w:pPr>
              <w:pStyle w:val="Normal"/>
              <w:widowControl w:val="false"/>
              <w:rPr>
                <w:rFonts w:ascii="Arial" w:hAnsi="Arial" w:cs="Arial"/>
                <w:sz w:val="22"/>
              </w:rPr>
            </w:pPr>
            <w:r>
              <w:rPr>
                <w:rFonts w:cs="Arial" w:ascii="Arial" w:hAnsi="Arial"/>
                <w:sz w:val="22"/>
              </w:rPr>
            </w:r>
          </w:p>
          <w:p>
            <w:pPr>
              <w:pStyle w:val="Normal"/>
              <w:widowControl w:val="false"/>
              <w:tabs>
                <w:tab w:val="clear" w:pos="720"/>
                <w:tab w:val="left" w:pos="360" w:leader="none"/>
              </w:tabs>
              <w:rPr/>
            </w:pPr>
            <w:r>
              <w:rPr>
                <w:rFonts w:cs="Arial" w:ascii="Arial" w:hAnsi="Arial"/>
              </w:rPr>
              <w:tab/>
            </w:r>
            <w:r>
              <w:rPr>
                <w:rFonts w:cs="Arial" w:ascii="Arial" w:hAnsi="Arial"/>
                <w:u w:val="single"/>
              </w:rPr>
              <w:t>4.2.4.3 (Calibration and Testing)</w:t>
            </w:r>
          </w:p>
          <w:p>
            <w:pPr>
              <w:pStyle w:val="Normal"/>
              <w:widowControl w:val="false"/>
              <w:numPr>
                <w:ilvl w:val="0"/>
                <w:numId w:val="35"/>
              </w:numPr>
              <w:ind w:hanging="360" w:start="720" w:end="0"/>
              <w:rPr>
                <w:rFonts w:ascii="Arial" w:hAnsi="Arial" w:cs="Arial"/>
                <w:sz w:val="22"/>
              </w:rPr>
            </w:pPr>
            <w:r>
              <w:rPr>
                <w:rFonts w:cs="Arial" w:ascii="Arial" w:hAnsi="Arial"/>
                <w:sz w:val="22"/>
              </w:rPr>
              <w:t>The technical qualifications for personnel are too limiting.</w:t>
            </w:r>
          </w:p>
          <w:p>
            <w:pPr>
              <w:pStyle w:val="Normal"/>
              <w:widowControl w:val="false"/>
              <w:rPr>
                <w:rFonts w:ascii="Arial" w:hAnsi="Arial" w:cs="Arial"/>
                <w:sz w:val="22"/>
              </w:rPr>
            </w:pPr>
            <w:r>
              <w:rPr>
                <w:rFonts w:cs="Arial" w:ascii="Arial" w:hAnsi="Arial"/>
                <w:sz w:val="22"/>
              </w:rPr>
            </w:r>
          </w:p>
          <w:p>
            <w:pPr>
              <w:pStyle w:val="Normal"/>
              <w:widowControl w:val="false"/>
              <w:tabs>
                <w:tab w:val="clear" w:pos="720"/>
                <w:tab w:val="left" w:pos="360" w:leader="none"/>
              </w:tabs>
              <w:rPr>
                <w:rFonts w:ascii="Arial" w:hAnsi="Arial" w:cs="Arial"/>
                <w:sz w:val="22"/>
              </w:rPr>
            </w:pPr>
            <w:r>
              <w:rPr>
                <w:rFonts w:cs="Arial" w:ascii="Arial" w:hAnsi="Arial"/>
              </w:rPr>
              <w:tab/>
            </w:r>
            <w:r>
              <w:rPr>
                <w:rFonts w:cs="Arial" w:ascii="Arial" w:hAnsi="Arial"/>
                <w:u w:val="single"/>
              </w:rPr>
              <w:t>4.2.4.5 (Calibration and Testing)</w:t>
            </w:r>
          </w:p>
          <w:p>
            <w:pPr>
              <w:pStyle w:val="Normal"/>
              <w:widowControl w:val="false"/>
              <w:numPr>
                <w:ilvl w:val="0"/>
                <w:numId w:val="33"/>
              </w:numPr>
              <w:tabs>
                <w:tab w:val="clear" w:pos="720"/>
              </w:tabs>
              <w:ind w:hanging="360" w:start="720" w:end="0"/>
              <w:rPr>
                <w:rFonts w:ascii="Arial" w:hAnsi="Arial" w:cs="Arial"/>
                <w:sz w:val="22"/>
              </w:rPr>
            </w:pPr>
            <w:r>
              <w:rPr>
                <w:rFonts w:cs="Arial" w:ascii="Arial" w:hAnsi="Arial"/>
                <w:sz w:val="22"/>
              </w:rPr>
              <w:t>The costs and expenses of any audits should be borne by the requesting party to the Agreement.  (Section 4.2.4.5 and other sections)</w:t>
            </w:r>
          </w:p>
          <w:p>
            <w:pPr>
              <w:pStyle w:val="Normal"/>
              <w:widowControl w:val="false"/>
              <w:rPr>
                <w:rFonts w:ascii="Arial" w:hAnsi="Arial" w:cs="Arial"/>
                <w:sz w:val="22"/>
              </w:rPr>
            </w:pPr>
            <w:r>
              <w:rPr>
                <w:rFonts w:cs="Arial" w:ascii="Arial" w:hAnsi="Arial"/>
                <w:sz w:val="22"/>
              </w:rPr>
            </w:r>
          </w:p>
          <w:p>
            <w:pPr>
              <w:pStyle w:val="Normal"/>
              <w:widowControl w:val="false"/>
              <w:tabs>
                <w:tab w:val="clear" w:pos="720"/>
                <w:tab w:val="left" w:pos="360" w:leader="none"/>
              </w:tabs>
              <w:rPr/>
            </w:pPr>
            <w:r>
              <w:rPr>
                <w:rFonts w:cs="Arial" w:ascii="Arial" w:hAnsi="Arial"/>
                <w:sz w:val="22"/>
              </w:rPr>
              <w:tab/>
            </w:r>
            <w:r>
              <w:rPr>
                <w:rFonts w:cs="Arial" w:ascii="Arial" w:hAnsi="Arial"/>
                <w:u w:val="single"/>
              </w:rPr>
              <w:t>4.2.6 (Additional Metering)</w:t>
            </w:r>
          </w:p>
          <w:p>
            <w:pPr>
              <w:pStyle w:val="Normal"/>
              <w:widowControl w:val="false"/>
              <w:numPr>
                <w:ilvl w:val="0"/>
                <w:numId w:val="22"/>
              </w:numPr>
              <w:tabs>
                <w:tab w:val="clear" w:pos="720"/>
              </w:tabs>
              <w:ind w:hanging="360" w:start="720" w:end="0"/>
              <w:rPr>
                <w:rFonts w:ascii="Arial" w:hAnsi="Arial" w:cs="Arial"/>
                <w:sz w:val="22"/>
              </w:rPr>
            </w:pPr>
            <w:r>
              <w:rPr>
                <w:rFonts w:cs="Arial" w:ascii="Arial" w:hAnsi="Arial"/>
                <w:sz w:val="22"/>
              </w:rPr>
              <w:t>Any “Additional Metering” should be installed only with mutual agreement of the parties to the Agreement.</w:t>
            </w:r>
          </w:p>
          <w:p>
            <w:pPr>
              <w:pStyle w:val="Normal"/>
              <w:widowControl w:val="false"/>
              <w:ind w:start="360" w:end="0"/>
              <w:rPr>
                <w:rFonts w:ascii="Arial" w:hAnsi="Arial" w:cs="Arial"/>
                <w:sz w:val="22"/>
              </w:rPr>
            </w:pPr>
            <w:r>
              <w:rPr>
                <w:rFonts w:cs="Arial" w:ascii="Arial" w:hAnsi="Arial"/>
                <w:sz w:val="22"/>
              </w:rPr>
            </w:r>
          </w:p>
          <w:p>
            <w:pPr>
              <w:pStyle w:val="Normal"/>
              <w:widowControl w:val="false"/>
              <w:numPr>
                <w:ilvl w:val="0"/>
                <w:numId w:val="22"/>
              </w:numPr>
              <w:tabs>
                <w:tab w:val="clear" w:pos="720"/>
              </w:tabs>
              <w:ind w:hanging="360" w:start="720" w:end="0"/>
              <w:rPr>
                <w:rFonts w:ascii="Arial" w:hAnsi="Arial" w:cs="Arial"/>
                <w:sz w:val="22"/>
              </w:rPr>
            </w:pPr>
            <w:r>
              <w:rPr>
                <w:rFonts w:cs="Arial" w:ascii="Arial" w:hAnsi="Arial"/>
                <w:sz w:val="22"/>
              </w:rPr>
              <w:t>Add “All costs of such additional metering shall be borne by RTO West.”</w:t>
            </w:r>
          </w:p>
          <w:p>
            <w:pPr>
              <w:pStyle w:val="Normal"/>
              <w:widowControl w:val="false"/>
              <w:ind w:start="360" w:end="0"/>
              <w:rPr>
                <w:rFonts w:ascii="Arial" w:hAnsi="Arial" w:cs="Arial"/>
                <w:sz w:val="22"/>
              </w:rPr>
            </w:pPr>
            <w:r>
              <w:rPr>
                <w:rFonts w:cs="Arial" w:ascii="Arial" w:hAnsi="Arial"/>
                <w:sz w:val="22"/>
              </w:rPr>
            </w:r>
          </w:p>
          <w:p>
            <w:pPr>
              <w:pStyle w:val="Normal"/>
              <w:widowControl w:val="false"/>
              <w:ind w:start="360" w:end="0"/>
              <w:rPr>
                <w:rFonts w:ascii="Arial" w:hAnsi="Arial" w:cs="Arial"/>
                <w:u w:val="single"/>
              </w:rPr>
            </w:pPr>
            <w:r>
              <w:rPr>
                <w:rFonts w:cs="Arial" w:ascii="Arial" w:hAnsi="Arial"/>
                <w:u w:val="single"/>
              </w:rPr>
              <w:t>4.3.3 (Data by Automatic Data Transfer)</w:t>
            </w:r>
          </w:p>
          <w:p>
            <w:pPr>
              <w:pStyle w:val="Normal"/>
              <w:widowControl w:val="false"/>
              <w:numPr>
                <w:ilvl w:val="0"/>
                <w:numId w:val="3"/>
              </w:numPr>
              <w:tabs>
                <w:tab w:val="clear" w:pos="720"/>
              </w:tabs>
              <w:ind w:hanging="360" w:start="720" w:end="0"/>
              <w:rPr>
                <w:rFonts w:ascii="Arial" w:hAnsi="Arial" w:cs="Arial"/>
                <w:sz w:val="22"/>
              </w:rPr>
            </w:pPr>
            <w:r>
              <w:rPr>
                <w:rFonts w:cs="Arial" w:ascii="Arial" w:hAnsi="Arial"/>
                <w:sz w:val="22"/>
              </w:rPr>
              <w:t>reference to “IndeGO Control Center” does not recognize the continuing existence of satellite control centers to which generators are currently sending data.</w:t>
            </w:r>
          </w:p>
          <w:p>
            <w:pPr>
              <w:pStyle w:val="Normal"/>
              <w:widowControl w:val="false"/>
              <w:ind w:start="360" w:end="0"/>
              <w:rPr>
                <w:rFonts w:ascii="Arial" w:hAnsi="Arial" w:cs="Arial"/>
                <w:sz w:val="22"/>
              </w:rPr>
            </w:pPr>
            <w:r>
              <w:rPr>
                <w:rFonts w:cs="Arial" w:ascii="Arial" w:hAnsi="Arial"/>
                <w:sz w:val="22"/>
              </w:rPr>
            </w:r>
          </w:p>
          <w:p>
            <w:pPr>
              <w:pStyle w:val="Normal"/>
              <w:widowControl w:val="false"/>
              <w:numPr>
                <w:ilvl w:val="0"/>
                <w:numId w:val="3"/>
              </w:numPr>
              <w:tabs>
                <w:tab w:val="clear" w:pos="720"/>
              </w:tabs>
              <w:ind w:hanging="360" w:start="720" w:end="0"/>
              <w:rPr>
                <w:rFonts w:ascii="Arial" w:hAnsi="Arial" w:cs="Arial"/>
                <w:sz w:val="22"/>
              </w:rPr>
            </w:pPr>
            <w:r>
              <w:rPr>
                <w:rFonts w:cs="Arial" w:ascii="Arial" w:hAnsi="Arial"/>
                <w:sz w:val="22"/>
              </w:rPr>
              <w:t>There needs to be further discussion  regarding “Data by Automatic Data Transfer”</w:t>
            </w:r>
          </w:p>
          <w:p>
            <w:pPr>
              <w:pStyle w:val="Normal"/>
              <w:widowControl w:val="false"/>
              <w:rPr>
                <w:rFonts w:ascii="Arial" w:hAnsi="Arial" w:cs="Arial"/>
                <w:sz w:val="22"/>
              </w:rPr>
            </w:pPr>
            <w:r>
              <w:rPr>
                <w:rFonts w:cs="Arial" w:ascii="Arial" w:hAnsi="Arial"/>
                <w:sz w:val="22"/>
              </w:rPr>
            </w:r>
          </w:p>
          <w:p>
            <w:pPr>
              <w:pStyle w:val="Normal"/>
              <w:widowControl w:val="false"/>
              <w:tabs>
                <w:tab w:val="clear" w:pos="720"/>
                <w:tab w:val="left" w:pos="360" w:leader="none"/>
              </w:tabs>
              <w:rPr>
                <w:rFonts w:ascii="Arial" w:hAnsi="Arial" w:cs="Arial"/>
              </w:rPr>
            </w:pPr>
            <w:r>
              <w:rPr>
                <w:rFonts w:cs="Arial" w:ascii="Arial" w:hAnsi="Arial"/>
              </w:rPr>
              <w:tab/>
            </w:r>
            <w:r>
              <w:rPr>
                <w:rFonts w:cs="Arial" w:ascii="Arial" w:hAnsi="Arial"/>
                <w:u w:val="single"/>
              </w:rPr>
              <w:t>4.4.4 and 4.4.5 (Communications Capabilities)</w:t>
            </w:r>
          </w:p>
          <w:p>
            <w:pPr>
              <w:pStyle w:val="Normal"/>
              <w:widowControl w:val="false"/>
              <w:numPr>
                <w:ilvl w:val="0"/>
                <w:numId w:val="20"/>
              </w:numPr>
              <w:tabs>
                <w:tab w:val="clear" w:pos="720"/>
                <w:tab w:val="left" w:pos="360" w:leader="none"/>
              </w:tabs>
              <w:ind w:hanging="360" w:start="720" w:end="0"/>
              <w:rPr>
                <w:rFonts w:ascii="Arial" w:hAnsi="Arial" w:cs="Arial"/>
                <w:sz w:val="22"/>
              </w:rPr>
            </w:pPr>
            <w:r>
              <w:rPr>
                <w:rFonts w:cs="Arial" w:ascii="Arial" w:hAnsi="Arial"/>
                <w:sz w:val="22"/>
              </w:rPr>
              <w:t>Add “All costs of such additional communications facilities shall be borne by RTO West.”</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0"/>
              </w:rPr>
            </w:pPr>
            <w:r>
              <w:rPr>
                <w:rFonts w:cs="Arial" w:ascii="Arial" w:hAnsi="Arial"/>
                <w:sz w:val="30"/>
              </w:rPr>
            </w:r>
          </w:p>
          <w:p>
            <w:pPr>
              <w:pStyle w:val="Normal"/>
              <w:widowControl w:val="false"/>
              <w:rPr>
                <w:rFonts w:ascii="Arial" w:hAnsi="Arial" w:cs="Arial"/>
                <w:sz w:val="22"/>
              </w:rPr>
            </w:pPr>
            <w:r>
              <w:rPr>
                <w:rFonts w:cs="Arial" w:ascii="Arial" w:hAnsi="Arial"/>
                <w:sz w:val="22"/>
              </w:rPr>
              <w:t>BPA-TBL</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BPA-TBL</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IPP/QF Group</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BPA-TBL</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Federal Parties</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rPr>
            </w:pPr>
            <w:r>
              <w:rPr>
                <w:rFonts w:cs="Arial" w:ascii="Arial" w:hAnsi="Arial"/>
                <w:sz w:val="22"/>
              </w:rPr>
              <w:t>IPP/QF Group</w:t>
            </w:r>
          </w:p>
        </w:tc>
        <w:tc>
          <w:tcPr>
            <w:tcW w:w="1728"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6"/>
              </w:rPr>
            </w:pPr>
            <w:r>
              <w:rPr>
                <w:rFonts w:cs="Arial" w:ascii="Arial" w:hAnsi="Arial"/>
                <w:sz w:val="26"/>
              </w:rPr>
            </w:r>
          </w:p>
          <w:p>
            <w:pPr>
              <w:pStyle w:val="Normal"/>
              <w:widowControl w:val="false"/>
              <w:rPr>
                <w:rFonts w:ascii="Arial" w:hAnsi="Arial" w:cs="Arial"/>
                <w:sz w:val="22"/>
              </w:rPr>
            </w:pPr>
            <w:r>
              <w:rPr>
                <w:rFonts w:cs="Arial" w:ascii="Arial" w:hAnsi="Arial"/>
                <w:sz w:val="22"/>
              </w:rPr>
              <w:t>1</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8"/>
              </w:rPr>
            </w:pPr>
            <w:r>
              <w:rPr>
                <w:rFonts w:cs="Arial" w:ascii="Arial" w:hAnsi="Arial"/>
                <w:sz w:val="28"/>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32"/>
              </w:rPr>
            </w:pPr>
            <w:r>
              <w:rPr>
                <w:rFonts w:cs="Arial" w:ascii="Arial" w:hAnsi="Arial"/>
                <w:sz w:val="3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5.  RTO West’s Obligations</w:t>
            </w:r>
          </w:p>
          <w:p>
            <w:pPr>
              <w:pStyle w:val="Normal"/>
              <w:rPr>
                <w:rFonts w:ascii="Arial" w:hAnsi="Arial" w:cs="Arial"/>
                <w:u w:val="single"/>
              </w:rPr>
            </w:pPr>
            <w:r>
              <w:rPr>
                <w:rFonts w:cs="Arial" w:ascii="Arial" w:hAnsi="Arial"/>
                <w:u w:val="single"/>
              </w:rPr>
            </w:r>
          </w:p>
          <w:p>
            <w:pPr>
              <w:pStyle w:val="Normal"/>
              <w:tabs>
                <w:tab w:val="clear" w:pos="720"/>
                <w:tab w:val="left" w:pos="360" w:leader="none"/>
              </w:tabs>
              <w:rPr/>
            </w:pPr>
            <w:r>
              <w:rPr>
                <w:rFonts w:cs="Arial" w:ascii="Arial" w:hAnsi="Arial"/>
              </w:rPr>
              <w:tab/>
            </w:r>
            <w:r>
              <w:rPr>
                <w:rFonts w:cs="Arial" w:ascii="Arial" w:hAnsi="Arial"/>
                <w:u w:val="single"/>
              </w:rPr>
              <w:t>5.1 (Operation of RTO West-Controlled Transmission)</w:t>
            </w:r>
          </w:p>
          <w:p>
            <w:pPr>
              <w:pStyle w:val="Normal"/>
              <w:numPr>
                <w:ilvl w:val="0"/>
                <w:numId w:val="16"/>
              </w:numPr>
              <w:ind w:hanging="360" w:start="720" w:end="0"/>
              <w:rPr>
                <w:rFonts w:ascii="Arial" w:hAnsi="Arial" w:cs="Arial"/>
                <w:sz w:val="22"/>
              </w:rPr>
            </w:pPr>
            <w:r>
              <w:rPr>
                <w:rFonts w:cs="Arial" w:ascii="Arial" w:hAnsi="Arial"/>
                <w:sz w:val="22"/>
              </w:rPr>
              <w:t>The payments of fines and penalties raise concerns of the authority of Federal agencies to make such payments.  (Section 5.1 and other sections)</w:t>
            </w:r>
          </w:p>
          <w:p>
            <w:pPr>
              <w:pStyle w:val="Normal"/>
              <w:rPr>
                <w:rFonts w:ascii="Arial" w:hAnsi="Arial" w:cs="Arial"/>
                <w:sz w:val="22"/>
              </w:rPr>
            </w:pPr>
            <w:r>
              <w:rPr>
                <w:rFonts w:cs="Arial" w:ascii="Arial" w:hAnsi="Arial"/>
                <w:sz w:val="22"/>
              </w:rPr>
            </w:r>
          </w:p>
          <w:p>
            <w:pPr>
              <w:pStyle w:val="Normal"/>
              <w:numPr>
                <w:ilvl w:val="0"/>
                <w:numId w:val="43"/>
              </w:numPr>
              <w:ind w:hanging="360" w:start="720" w:end="0"/>
              <w:rPr>
                <w:rFonts w:ascii="Arial" w:hAnsi="Arial" w:cs="Arial"/>
                <w:sz w:val="22"/>
              </w:rPr>
            </w:pPr>
            <w:r>
              <w:rPr>
                <w:rFonts w:cs="Arial" w:ascii="Arial" w:hAnsi="Arial"/>
                <w:sz w:val="22"/>
              </w:rPr>
              <w:t>This § needs to be revised to reflect RTO West liability for losses it causes on Generating Party’s Electric System, or, the concept of Losses and consequential damages needs to be stricken from this document in its entirety.</w:t>
            </w:r>
          </w:p>
          <w:p>
            <w:pPr>
              <w:pStyle w:val="Normal"/>
              <w:ind w:start="360" w:end="0"/>
              <w:rPr>
                <w:rFonts w:ascii="Arial" w:hAnsi="Arial" w:cs="Arial"/>
                <w:sz w:val="22"/>
              </w:rPr>
            </w:pPr>
            <w:r>
              <w:rPr>
                <w:rFonts w:cs="Arial" w:ascii="Arial" w:hAnsi="Arial"/>
                <w:sz w:val="22"/>
              </w:rPr>
            </w:r>
          </w:p>
          <w:p>
            <w:pPr>
              <w:pStyle w:val="Normal"/>
              <w:numPr>
                <w:ilvl w:val="0"/>
                <w:numId w:val="43"/>
              </w:numPr>
              <w:ind w:hanging="360" w:start="720" w:end="0"/>
              <w:rPr>
                <w:rFonts w:ascii="Arial" w:hAnsi="Arial" w:cs="Arial"/>
                <w:sz w:val="22"/>
              </w:rPr>
            </w:pPr>
            <w:r>
              <w:rPr>
                <w:rFonts w:cs="Arial" w:ascii="Arial" w:hAnsi="Arial"/>
                <w:sz w:val="22"/>
              </w:rPr>
              <w:t xml:space="preserve">See recent Discussion Paper issued by the Liability/Insurance subgroup, wherein the concept of consequential damages is eschewed, and RTO West is viewed to be operating an “electric system.” </w:t>
            </w:r>
          </w:p>
          <w:p>
            <w:pPr>
              <w:pStyle w:val="Normal"/>
              <w:rPr>
                <w:rFonts w:ascii="Arial" w:hAnsi="Arial" w:cs="Arial"/>
                <w:sz w:val="22"/>
              </w:rPr>
            </w:pPr>
            <w:r>
              <w:rPr>
                <w:rFonts w:cs="Arial" w:ascii="Arial" w:hAnsi="Arial"/>
                <w:sz w:val="22"/>
              </w:rPr>
            </w:r>
          </w:p>
          <w:p>
            <w:pPr>
              <w:pStyle w:val="Normal"/>
              <w:numPr>
                <w:ilvl w:val="0"/>
                <w:numId w:val="43"/>
              </w:numPr>
              <w:ind w:hanging="360" w:start="720" w:end="0"/>
              <w:rPr>
                <w:rFonts w:ascii="Arial" w:hAnsi="Arial" w:cs="Arial"/>
                <w:sz w:val="22"/>
              </w:rPr>
            </w:pPr>
            <w:r>
              <w:rPr>
                <w:rFonts w:cs="Arial" w:ascii="Arial" w:hAnsi="Arial"/>
                <w:sz w:val="22"/>
              </w:rPr>
              <w:t>See also §6.1 below, imposing liability on Generating Party for reimbursement of costs and expenses caused by breach, while this §5.1 only imposes liability on RTO West for fines and monetary penalties incurred by Generating Party.  Need symmetry.</w:t>
            </w:r>
          </w:p>
          <w:p>
            <w:pPr>
              <w:pStyle w:val="Normal"/>
              <w:rPr>
                <w:rFonts w:ascii="Arial" w:hAnsi="Arial" w:cs="Arial"/>
                <w:sz w:val="22"/>
              </w:rPr>
            </w:pPr>
            <w:r>
              <w:rPr>
                <w:rFonts w:cs="Arial" w:ascii="Arial" w:hAnsi="Arial"/>
                <w:sz w:val="22"/>
              </w:rPr>
            </w:r>
          </w:p>
          <w:p>
            <w:pPr>
              <w:pStyle w:val="Normal"/>
              <w:numPr>
                <w:ilvl w:val="0"/>
                <w:numId w:val="16"/>
              </w:numPr>
              <w:ind w:hanging="360" w:start="720" w:end="0"/>
              <w:rPr>
                <w:rFonts w:ascii="Arial" w:hAnsi="Arial" w:cs="Arial"/>
                <w:sz w:val="22"/>
              </w:rPr>
            </w:pPr>
            <w:r>
              <w:rPr>
                <w:rFonts w:cs="Arial" w:ascii="Arial" w:hAnsi="Arial"/>
                <w:sz w:val="22"/>
              </w:rPr>
              <w:t>Add symmetrical indemnification and hold harmless language from §6.2.1.2 below.</w:t>
            </w:r>
          </w:p>
          <w:p>
            <w:pPr>
              <w:pStyle w:val="Normal"/>
              <w:rPr>
                <w:rFonts w:ascii="Arial" w:hAnsi="Arial" w:cs="Arial"/>
                <w:sz w:val="22"/>
                <w:u w:val="single"/>
              </w:rPr>
            </w:pPr>
            <w:r>
              <w:rPr>
                <w:rFonts w:cs="Arial" w:ascii="Arial" w:hAnsi="Arial"/>
                <w:sz w:val="22"/>
                <w:u w:val="single"/>
              </w:rPr>
            </w:r>
          </w:p>
          <w:p>
            <w:pPr>
              <w:pStyle w:val="Normal"/>
              <w:ind w:hanging="360" w:start="360" w:end="0"/>
              <w:rPr/>
            </w:pPr>
            <w:r>
              <w:rPr>
                <w:rFonts w:cs="Arial" w:ascii="Arial" w:hAnsi="Arial"/>
              </w:rPr>
              <w:tab/>
            </w:r>
            <w:r>
              <w:rPr>
                <w:rFonts w:cs="Arial" w:ascii="Arial" w:hAnsi="Arial"/>
                <w:u w:val="single"/>
              </w:rPr>
              <w:t>5.2 (Interconnected Plant Scheduling)</w:t>
            </w:r>
          </w:p>
          <w:p>
            <w:pPr>
              <w:pStyle w:val="Normal"/>
              <w:numPr>
                <w:ilvl w:val="0"/>
                <w:numId w:val="40"/>
              </w:numPr>
              <w:ind w:hanging="360" w:start="720" w:end="0"/>
              <w:rPr>
                <w:rFonts w:ascii="Arial" w:hAnsi="Arial" w:cs="Arial"/>
                <w:sz w:val="22"/>
              </w:rPr>
            </w:pPr>
            <w:r>
              <w:rPr>
                <w:rFonts w:cs="Arial" w:ascii="Arial" w:hAnsi="Arial"/>
                <w:sz w:val="22"/>
              </w:rPr>
              <w:t>add “transmission” before “scheduling” in first line</w:t>
            </w:r>
          </w:p>
          <w:p>
            <w:pPr>
              <w:pStyle w:val="Normal"/>
              <w:ind w:start="360" w:end="0"/>
              <w:rPr>
                <w:rFonts w:ascii="Arial" w:hAnsi="Arial" w:cs="Arial"/>
                <w:sz w:val="22"/>
              </w:rPr>
            </w:pPr>
            <w:r>
              <w:rPr>
                <w:rFonts w:cs="Arial" w:ascii="Arial" w:hAnsi="Arial"/>
                <w:sz w:val="22"/>
              </w:rPr>
            </w:r>
          </w:p>
          <w:p>
            <w:pPr>
              <w:pStyle w:val="Normal"/>
              <w:numPr>
                <w:ilvl w:val="0"/>
                <w:numId w:val="40"/>
              </w:numPr>
              <w:ind w:hanging="360" w:start="720" w:end="0"/>
              <w:rPr>
                <w:rFonts w:ascii="Arial" w:hAnsi="Arial" w:cs="Arial"/>
                <w:sz w:val="22"/>
                <w:u w:val="single"/>
              </w:rPr>
            </w:pPr>
            <w:r>
              <w:rPr>
                <w:rFonts w:cs="Arial" w:ascii="Arial" w:hAnsi="Arial"/>
                <w:sz w:val="22"/>
              </w:rPr>
              <w:t xml:space="preserve">There needs to be a clarification that the RTO performs </w:t>
            </w:r>
            <w:r>
              <w:rPr>
                <w:rFonts w:cs="Arial" w:ascii="Arial" w:hAnsi="Arial"/>
                <w:sz w:val="22"/>
                <w:u w:val="single"/>
              </w:rPr>
              <w:t>transmission</w:t>
            </w:r>
            <w:r>
              <w:rPr>
                <w:rFonts w:cs="Arial" w:ascii="Arial" w:hAnsi="Arial"/>
                <w:sz w:val="22"/>
              </w:rPr>
              <w:t xml:space="preserve"> scheduling. </w:t>
            </w:r>
          </w:p>
          <w:p>
            <w:pPr>
              <w:pStyle w:val="Normal"/>
              <w:rPr>
                <w:rFonts w:ascii="Arial" w:hAnsi="Arial" w:cs="Arial"/>
                <w:sz w:val="22"/>
                <w:u w:val="single"/>
              </w:rPr>
            </w:pPr>
            <w:r>
              <w:rPr>
                <w:rFonts w:cs="Arial" w:ascii="Arial" w:hAnsi="Arial"/>
                <w:sz w:val="22"/>
                <w:u w:val="single"/>
              </w:rPr>
            </w:r>
          </w:p>
          <w:p>
            <w:pPr>
              <w:pStyle w:val="Normal"/>
              <w:tabs>
                <w:tab w:val="clear" w:pos="720"/>
                <w:tab w:val="left" w:pos="360" w:leader="none"/>
              </w:tabs>
              <w:rPr/>
            </w:pPr>
            <w:r>
              <w:rPr>
                <w:rFonts w:cs="Arial" w:ascii="Arial" w:hAnsi="Arial"/>
                <w:sz w:val="22"/>
              </w:rPr>
              <w:tab/>
            </w:r>
            <w:r>
              <w:rPr>
                <w:rFonts w:cs="Arial" w:ascii="Arial" w:hAnsi="Arial"/>
                <w:u w:val="single"/>
              </w:rPr>
              <w:t>5.4.1 (Protection of Confidential Information)</w:t>
            </w:r>
          </w:p>
          <w:p>
            <w:pPr>
              <w:pStyle w:val="Normal"/>
              <w:numPr>
                <w:ilvl w:val="0"/>
                <w:numId w:val="14"/>
              </w:numPr>
              <w:ind w:hanging="360" w:start="720" w:end="0"/>
              <w:rPr>
                <w:rFonts w:ascii="Arial" w:hAnsi="Arial" w:cs="Arial"/>
                <w:sz w:val="22"/>
              </w:rPr>
            </w:pPr>
            <w:r>
              <w:rPr>
                <w:rFonts w:cs="Arial" w:ascii="Arial" w:hAnsi="Arial"/>
                <w:sz w:val="22"/>
              </w:rPr>
              <w:t>The references to the “administrative or judicial order” should be made more specific.</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w:t>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sz w:val="22"/>
              </w:rPr>
              <w:t>1 or 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7"/>
              </w:numPr>
              <w:rPr>
                <w:rFonts w:ascii="Arial" w:hAnsi="Arial" w:cs="Arial"/>
                <w:u w:val="single"/>
              </w:rPr>
            </w:pPr>
            <w:r>
              <w:rPr>
                <w:rFonts w:cs="Arial" w:ascii="Arial" w:hAnsi="Arial"/>
                <w:u w:val="single"/>
              </w:rPr>
              <w:t>Capabilities, Operation, Maintenance, and Performance of Interconnected Units</w:t>
            </w:r>
          </w:p>
          <w:p>
            <w:pPr>
              <w:pStyle w:val="Normal"/>
              <w:rPr>
                <w:rFonts w:ascii="Arial" w:hAnsi="Arial" w:cs="Arial"/>
                <w:u w:val="single"/>
              </w:rPr>
            </w:pPr>
            <w:r>
              <w:rPr>
                <w:rFonts w:cs="Arial" w:ascii="Arial" w:hAnsi="Arial"/>
                <w:u w:val="single"/>
              </w:rPr>
            </w:r>
          </w:p>
          <w:p>
            <w:pPr>
              <w:pStyle w:val="Normal"/>
              <w:tabs>
                <w:tab w:val="clear" w:pos="720"/>
                <w:tab w:val="left" w:pos="360" w:leader="none"/>
              </w:tabs>
              <w:ind w:start="360" w:end="0"/>
              <w:rPr>
                <w:rFonts w:ascii="Arial" w:hAnsi="Arial" w:cs="Arial"/>
                <w:u w:val="single"/>
              </w:rPr>
            </w:pPr>
            <w:r>
              <w:rPr>
                <w:rFonts w:cs="Arial" w:ascii="Arial" w:hAnsi="Arial"/>
                <w:u w:val="single"/>
              </w:rPr>
              <w:t>Section 6.1 (Safety and Reliability Requirements)</w:t>
            </w:r>
          </w:p>
          <w:p>
            <w:pPr>
              <w:pStyle w:val="Normal"/>
              <w:numPr>
                <w:ilvl w:val="0"/>
                <w:numId w:val="1"/>
              </w:numPr>
              <w:tabs>
                <w:tab w:val="clear" w:pos="720"/>
              </w:tabs>
              <w:ind w:hanging="360" w:start="720" w:end="0"/>
              <w:rPr>
                <w:rFonts w:ascii="Arial" w:hAnsi="Arial" w:cs="Arial"/>
                <w:sz w:val="22"/>
              </w:rPr>
            </w:pPr>
            <w:r>
              <w:rPr>
                <w:rFonts w:cs="Arial" w:ascii="Arial" w:hAnsi="Arial"/>
                <w:sz w:val="22"/>
              </w:rPr>
              <w:t>Specific performance (e.g., section 6.1) – Federal parties will have legal problem if RTO has specific performance rights against them.</w:t>
            </w:r>
          </w:p>
          <w:p>
            <w:pPr>
              <w:pStyle w:val="Normal"/>
              <w:ind w:start="360" w:end="0"/>
              <w:rPr>
                <w:rFonts w:ascii="Arial" w:hAnsi="Arial" w:cs="Arial"/>
                <w:sz w:val="22"/>
              </w:rPr>
            </w:pPr>
            <w:r>
              <w:rPr>
                <w:rFonts w:cs="Arial" w:ascii="Arial" w:hAnsi="Arial"/>
                <w:sz w:val="22"/>
              </w:rPr>
            </w:r>
          </w:p>
          <w:p>
            <w:pPr>
              <w:pStyle w:val="Normal"/>
              <w:numPr>
                <w:ilvl w:val="0"/>
                <w:numId w:val="1"/>
              </w:numPr>
              <w:tabs>
                <w:tab w:val="clear" w:pos="720"/>
              </w:tabs>
              <w:ind w:hanging="360" w:start="720" w:end="0"/>
              <w:rPr>
                <w:rFonts w:ascii="Arial" w:hAnsi="Arial" w:cs="Arial"/>
                <w:sz w:val="22"/>
              </w:rPr>
            </w:pPr>
            <w:r>
              <w:rPr>
                <w:rFonts w:cs="Arial" w:ascii="Arial" w:hAnsi="Arial"/>
                <w:sz w:val="22"/>
              </w:rPr>
              <w:t>Specific performance does not apply to the Federal agencies.  (Section 6.1 and other sections)</w:t>
            </w:r>
          </w:p>
          <w:p>
            <w:pPr>
              <w:pStyle w:val="Normal"/>
              <w:ind w:start="360" w:end="0"/>
              <w:rPr>
                <w:rFonts w:ascii="Arial" w:hAnsi="Arial" w:cs="Arial"/>
                <w:sz w:val="22"/>
              </w:rPr>
            </w:pPr>
            <w:r>
              <w:rPr>
                <w:rFonts w:cs="Arial" w:ascii="Arial" w:hAnsi="Arial"/>
                <w:sz w:val="22"/>
              </w:rPr>
            </w:r>
          </w:p>
          <w:p>
            <w:pPr>
              <w:pStyle w:val="Normal"/>
              <w:numPr>
                <w:ilvl w:val="0"/>
                <w:numId w:val="1"/>
              </w:numPr>
              <w:tabs>
                <w:tab w:val="clear" w:pos="720"/>
              </w:tabs>
              <w:ind w:hanging="360" w:start="720" w:end="0"/>
              <w:rPr>
                <w:rFonts w:ascii="Arial" w:hAnsi="Arial" w:cs="Arial"/>
                <w:sz w:val="22"/>
              </w:rPr>
            </w:pPr>
            <w:r>
              <w:rPr>
                <w:rFonts w:cs="Arial" w:ascii="Arial" w:hAnsi="Arial"/>
                <w:sz w:val="22"/>
              </w:rPr>
              <w:t>The term “Interconnecting Party” needs to be defined in Appendix A.</w:t>
            </w:r>
          </w:p>
          <w:p>
            <w:pPr>
              <w:pStyle w:val="Normal"/>
              <w:rPr>
                <w:rFonts w:ascii="Arial" w:hAnsi="Arial" w:cs="Arial"/>
                <w:sz w:val="22"/>
              </w:rPr>
            </w:pPr>
            <w:r>
              <w:rPr>
                <w:rFonts w:cs="Arial" w:ascii="Arial" w:hAnsi="Arial"/>
                <w:sz w:val="22"/>
              </w:rPr>
            </w:r>
          </w:p>
          <w:p>
            <w:pPr>
              <w:pStyle w:val="Normal"/>
              <w:ind w:start="360" w:end="0"/>
              <w:rPr>
                <w:rFonts w:ascii="Arial" w:hAnsi="Arial" w:cs="Arial"/>
                <w:u w:val="single"/>
              </w:rPr>
            </w:pPr>
            <w:r>
              <w:rPr>
                <w:rFonts w:cs="Arial" w:ascii="Arial" w:hAnsi="Arial"/>
                <w:u w:val="single"/>
              </w:rPr>
              <w:t>6.2.1.2 (Clearance/Safety Issues)</w:t>
            </w:r>
          </w:p>
          <w:p>
            <w:pPr>
              <w:pStyle w:val="Normal"/>
              <w:numPr>
                <w:ilvl w:val="0"/>
                <w:numId w:val="55"/>
              </w:numPr>
              <w:tabs>
                <w:tab w:val="clear" w:pos="720"/>
              </w:tabs>
              <w:ind w:hanging="360" w:start="720" w:end="0"/>
              <w:rPr>
                <w:rFonts w:ascii="Arial" w:hAnsi="Arial" w:cs="Arial"/>
                <w:sz w:val="22"/>
                <w:u w:val="single"/>
              </w:rPr>
            </w:pPr>
            <w:r>
              <w:rPr>
                <w:rFonts w:cs="Arial" w:ascii="Arial" w:hAnsi="Arial"/>
                <w:sz w:val="22"/>
              </w:rPr>
              <w:t>need to revisit the obligation to indemnify RTO</w:t>
            </w:r>
          </w:p>
          <w:p>
            <w:pPr>
              <w:pStyle w:val="Normal"/>
              <w:ind w:start="360" w:end="0"/>
              <w:rPr>
                <w:rFonts w:ascii="Arial" w:hAnsi="Arial" w:cs="Arial"/>
                <w:sz w:val="22"/>
                <w:u w:val="single"/>
              </w:rPr>
            </w:pPr>
            <w:r>
              <w:rPr>
                <w:rFonts w:cs="Arial" w:ascii="Arial" w:hAnsi="Arial"/>
                <w:sz w:val="22"/>
                <w:u w:val="single"/>
              </w:rPr>
            </w:r>
          </w:p>
          <w:p>
            <w:pPr>
              <w:pStyle w:val="Normal"/>
              <w:numPr>
                <w:ilvl w:val="0"/>
                <w:numId w:val="55"/>
              </w:numPr>
              <w:tabs>
                <w:tab w:val="clear" w:pos="720"/>
              </w:tabs>
              <w:ind w:hanging="360" w:start="720" w:end="0"/>
              <w:rPr>
                <w:sz w:val="22"/>
              </w:rPr>
            </w:pPr>
            <w:r>
              <w:rPr>
                <w:rFonts w:cs="Arial" w:ascii="Arial" w:hAnsi="Arial"/>
                <w:sz w:val="22"/>
              </w:rPr>
              <w:t xml:space="preserve">Copy the indemnification and hold harmless language contained in this section to §5.1 above. </w:t>
            </w:r>
          </w:p>
          <w:p>
            <w:pPr>
              <w:pStyle w:val="Normal"/>
              <w:rPr>
                <w:rFonts w:ascii="Arial" w:hAnsi="Arial" w:cs="Arial"/>
                <w:sz w:val="22"/>
              </w:rPr>
            </w:pPr>
            <w:r>
              <w:rPr>
                <w:rFonts w:cs="Arial" w:ascii="Arial" w:hAnsi="Arial"/>
                <w:sz w:val="22"/>
              </w:rPr>
            </w:r>
          </w:p>
          <w:p>
            <w:pPr>
              <w:pStyle w:val="Normal"/>
              <w:numPr>
                <w:ilvl w:val="0"/>
                <w:numId w:val="55"/>
              </w:numPr>
              <w:tabs>
                <w:tab w:val="clear" w:pos="720"/>
              </w:tabs>
              <w:ind w:hanging="360" w:start="720" w:end="0"/>
              <w:rPr>
                <w:rFonts w:ascii="Arial" w:hAnsi="Arial" w:cs="Arial"/>
                <w:sz w:val="22"/>
              </w:rPr>
            </w:pPr>
            <w:r>
              <w:rPr>
                <w:rFonts w:cs="Arial" w:ascii="Arial" w:hAnsi="Arial"/>
                <w:sz w:val="22"/>
              </w:rPr>
              <w:t>Do we know how much corporate liability insurance RTO West will be required to purchase?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keepNext w:val="true"/>
              <w:keepLines/>
              <w:ind w:start="360" w:end="0"/>
              <w:rPr>
                <w:rFonts w:ascii="Arial" w:hAnsi="Arial" w:cs="Arial"/>
                <w:u w:val="single"/>
              </w:rPr>
            </w:pPr>
            <w:r>
              <w:rPr>
                <w:rFonts w:cs="Arial" w:ascii="Arial" w:hAnsi="Arial"/>
                <w:u w:val="single"/>
              </w:rPr>
              <w:t>6.2.4 (Remedial Actions Schemes)</w:t>
            </w:r>
          </w:p>
          <w:p>
            <w:pPr>
              <w:pStyle w:val="Normal"/>
              <w:keepNext w:val="true"/>
              <w:keepLines/>
              <w:numPr>
                <w:ilvl w:val="0"/>
                <w:numId w:val="38"/>
              </w:numPr>
              <w:ind w:hanging="360" w:start="720" w:end="0"/>
              <w:rPr>
                <w:sz w:val="22"/>
              </w:rPr>
            </w:pPr>
            <w:r>
              <w:rPr>
                <w:rFonts w:cs="Arial" w:ascii="Arial" w:hAnsi="Arial"/>
                <w:sz w:val="22"/>
              </w:rPr>
              <w:t xml:space="preserve">QF’s and merchant plants that are held captive behind the T/D split need guarantees from TO’s that there will be no changes in dispatch/RAS under RTO West operation, and that historical course of conduct will prevail. </w:t>
            </w:r>
          </w:p>
          <w:p>
            <w:pPr>
              <w:pStyle w:val="Normal"/>
              <w:rPr>
                <w:sz w:val="22"/>
              </w:rPr>
            </w:pPr>
            <w:r>
              <w:rPr>
                <w:sz w:val="22"/>
              </w:rPr>
            </w:r>
          </w:p>
          <w:p>
            <w:pPr>
              <w:pStyle w:val="Normal"/>
              <w:numPr>
                <w:ilvl w:val="0"/>
                <w:numId w:val="30"/>
              </w:numPr>
              <w:ind w:hanging="360" w:start="720" w:end="0"/>
              <w:rPr>
                <w:sz w:val="22"/>
              </w:rPr>
            </w:pPr>
            <w:r>
              <w:rPr>
                <w:rFonts w:cs="Arial" w:ascii="Arial" w:hAnsi="Arial"/>
                <w:sz w:val="22"/>
              </w:rPr>
              <w:t>Suggest dealing with this issue by following the MWISA “Appendix E” approach to pre-existing contracts, putting the TO’s under an affirmative obligation to negotiate in good faith with QF parties to convert contract rights to transmission rights, or, to issue Non-Converted Rights in the event agreement can not be reached.</w:t>
            </w:r>
          </w:p>
          <w:p>
            <w:pPr>
              <w:pStyle w:val="Normal"/>
              <w:rPr>
                <w:rFonts w:ascii="Arial" w:hAnsi="Arial" w:cs="Arial"/>
                <w:sz w:val="22"/>
              </w:rPr>
            </w:pPr>
            <w:r>
              <w:rPr>
                <w:rFonts w:cs="Arial" w:ascii="Arial" w:hAnsi="Arial"/>
                <w:sz w:val="22"/>
              </w:rPr>
            </w:r>
          </w:p>
          <w:p>
            <w:pPr>
              <w:pStyle w:val="Normal"/>
              <w:tabs>
                <w:tab w:val="clear" w:pos="720"/>
                <w:tab w:val="left" w:pos="360" w:leader="none"/>
              </w:tabs>
              <w:rPr/>
            </w:pPr>
            <w:r>
              <w:rPr>
                <w:rFonts w:cs="Arial" w:ascii="Arial" w:hAnsi="Arial"/>
              </w:rPr>
              <w:tab/>
            </w:r>
            <w:r>
              <w:rPr>
                <w:rFonts w:cs="Arial" w:ascii="Arial" w:hAnsi="Arial"/>
                <w:u w:val="single"/>
              </w:rPr>
              <w:t>6.3.1.4 (Excitation System Requirements for Synchronous Generation Facilities)</w:t>
            </w:r>
          </w:p>
          <w:p>
            <w:pPr>
              <w:pStyle w:val="Normal"/>
              <w:numPr>
                <w:ilvl w:val="0"/>
                <w:numId w:val="26"/>
              </w:numPr>
              <w:tabs>
                <w:tab w:val="clear" w:pos="720"/>
                <w:tab w:val="left" w:pos="360" w:leader="none"/>
              </w:tabs>
              <w:ind w:hanging="360" w:start="720" w:end="0"/>
              <w:rPr>
                <w:rFonts w:ascii="Arial" w:hAnsi="Arial" w:cs="Arial"/>
                <w:sz w:val="22"/>
                <w:u w:val="single"/>
              </w:rPr>
            </w:pPr>
            <w:r>
              <w:rPr>
                <w:rFonts w:cs="Arial" w:ascii="Arial" w:hAnsi="Arial"/>
                <w:sz w:val="22"/>
              </w:rPr>
              <w:t>Suggest either defining Power System Stabilizer (PSS) requirements in Appendix A, or, including them as an Exhibit.</w:t>
            </w:r>
          </w:p>
          <w:p>
            <w:pPr>
              <w:pStyle w:val="Normal"/>
              <w:rPr>
                <w:rFonts w:ascii="Arial" w:hAnsi="Arial" w:cs="Arial"/>
                <w:sz w:val="22"/>
                <w:u w:val="single"/>
              </w:rPr>
            </w:pPr>
            <w:r>
              <w:rPr>
                <w:rFonts w:cs="Arial" w:ascii="Arial" w:hAnsi="Arial"/>
                <w:sz w:val="22"/>
                <w:u w:val="single"/>
              </w:rPr>
            </w:r>
          </w:p>
          <w:p>
            <w:pPr>
              <w:pStyle w:val="Normal"/>
              <w:tabs>
                <w:tab w:val="clear" w:pos="720"/>
                <w:tab w:val="left" w:pos="360" w:leader="none"/>
              </w:tabs>
              <w:ind w:hanging="360" w:start="360" w:end="0"/>
              <w:rPr/>
            </w:pPr>
            <w:r>
              <w:rPr>
                <w:rFonts w:cs="Arial" w:ascii="Arial" w:hAnsi="Arial"/>
              </w:rPr>
              <w:tab/>
            </w:r>
            <w:r>
              <w:rPr>
                <w:rFonts w:cs="Arial" w:ascii="Arial" w:hAnsi="Arial"/>
                <w:u w:val="single"/>
              </w:rPr>
              <w:t>6.5.2 (Voltage Regulation, Frequency, and Reactive Power Requirements)</w:t>
            </w:r>
          </w:p>
          <w:p>
            <w:pPr>
              <w:pStyle w:val="Normal"/>
              <w:numPr>
                <w:ilvl w:val="0"/>
                <w:numId w:val="51"/>
              </w:numPr>
              <w:ind w:hanging="360" w:start="720" w:end="0"/>
              <w:rPr>
                <w:rFonts w:ascii="Arial" w:hAnsi="Arial" w:cs="Arial"/>
                <w:sz w:val="22"/>
              </w:rPr>
            </w:pPr>
            <w:r>
              <w:rPr>
                <w:rFonts w:cs="Arial" w:ascii="Arial" w:hAnsi="Arial"/>
                <w:sz w:val="22"/>
              </w:rPr>
              <w:t>Add to the last sentence “but only to the extent permitted by the Interconnected Unit’s existing control and safety shutdown systems.”</w:t>
            </w:r>
          </w:p>
          <w:p>
            <w:pPr>
              <w:pStyle w:val="Normal"/>
              <w:rPr>
                <w:rFonts w:ascii="Arial" w:hAnsi="Arial" w:cs="Arial"/>
                <w:sz w:val="22"/>
              </w:rPr>
            </w:pPr>
            <w:r>
              <w:rPr>
                <w:rFonts w:cs="Arial" w:ascii="Arial" w:hAnsi="Arial"/>
                <w:sz w:val="22"/>
              </w:rPr>
            </w:r>
          </w:p>
          <w:p>
            <w:pPr>
              <w:pStyle w:val="Normal"/>
              <w:tabs>
                <w:tab w:val="clear" w:pos="720"/>
                <w:tab w:val="left" w:pos="360" w:leader="none"/>
              </w:tabs>
              <w:ind w:hanging="360" w:start="360" w:end="0"/>
              <w:rPr/>
            </w:pPr>
            <w:r>
              <w:rPr>
                <w:rFonts w:cs="Arial" w:ascii="Arial" w:hAnsi="Arial"/>
              </w:rPr>
              <w:tab/>
            </w:r>
            <w:r>
              <w:rPr>
                <w:rFonts w:cs="Arial" w:ascii="Arial" w:hAnsi="Arial"/>
                <w:u w:val="single"/>
              </w:rPr>
              <w:t>6.7 (The Generating Party’s Liability for Noncompliance)</w:t>
            </w:r>
          </w:p>
          <w:p>
            <w:pPr>
              <w:pStyle w:val="Normal"/>
              <w:numPr>
                <w:ilvl w:val="0"/>
                <w:numId w:val="24"/>
              </w:numPr>
              <w:ind w:hanging="360" w:start="720" w:end="0"/>
              <w:rPr>
                <w:rFonts w:ascii="Arial" w:hAnsi="Arial" w:cs="Arial"/>
                <w:sz w:val="22"/>
              </w:rPr>
            </w:pPr>
            <w:r>
              <w:rPr>
                <w:rFonts w:cs="Arial" w:ascii="Arial" w:hAnsi="Arial"/>
                <w:sz w:val="22"/>
              </w:rPr>
              <w:t>Application of WSCC Reliability Management System (RMS) to RTO and to generators needs to be addressed.</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6"/>
              </w:rPr>
            </w:pPr>
            <w:r>
              <w:rPr>
                <w:rFonts w:cs="Arial" w:ascii="Arial" w:hAnsi="Arial"/>
                <w:sz w:val="26"/>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sz w:val="22"/>
              </w:rPr>
              <w:t>BPA-TBL</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7.  Ancillary Services</w:t>
            </w:r>
          </w:p>
          <w:p>
            <w:pPr>
              <w:pStyle w:val="Normal"/>
              <w:numPr>
                <w:ilvl w:val="0"/>
                <w:numId w:val="9"/>
              </w:numPr>
              <w:ind w:hanging="360" w:start="720" w:end="0"/>
              <w:rPr>
                <w:rFonts w:ascii="Arial" w:hAnsi="Arial" w:cs="Arial"/>
                <w:sz w:val="22"/>
              </w:rPr>
            </w:pPr>
            <w:r>
              <w:rPr>
                <w:rFonts w:cs="Arial" w:ascii="Arial" w:hAnsi="Arial"/>
                <w:sz w:val="22"/>
              </w:rPr>
              <w:t>There needs to be further review in the area of ancillary services.</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sz w:val="22"/>
                <w:u w:val="single"/>
              </w:rPr>
            </w:pPr>
            <w:r>
              <w:rPr>
                <w:rFonts w:cs="Arial" w:ascii="Arial" w:hAnsi="Arial"/>
                <w:u w:val="single"/>
              </w:rPr>
              <w:t>8.  Transmission System Reliability and Congestion Clearing</w:t>
            </w:r>
          </w:p>
          <w:p>
            <w:pPr>
              <w:pStyle w:val="Normal"/>
              <w:numPr>
                <w:ilvl w:val="0"/>
                <w:numId w:val="6"/>
              </w:numPr>
              <w:tabs>
                <w:tab w:val="clear" w:pos="720"/>
                <w:tab w:val="left" w:pos="1080" w:leader="none"/>
              </w:tabs>
              <w:ind w:hanging="720" w:start="1080" w:end="0"/>
              <w:rPr>
                <w:rFonts w:ascii="Arial" w:hAnsi="Arial" w:cs="Arial"/>
                <w:b/>
                <w:sz w:val="22"/>
              </w:rPr>
            </w:pPr>
            <w:r>
              <w:rPr>
                <w:rFonts w:cs="Arial" w:ascii="Arial" w:hAnsi="Arial"/>
                <w:sz w:val="22"/>
              </w:rPr>
              <w:t>There needs to be further review in the area of emergency generation dispatch.</w:t>
            </w:r>
          </w:p>
          <w:p>
            <w:pPr>
              <w:pStyle w:val="Normal"/>
              <w:rPr>
                <w:rFonts w:ascii="Arial" w:hAnsi="Arial" w:cs="Arial"/>
                <w:b/>
                <w:sz w:val="22"/>
              </w:rPr>
            </w:pPr>
            <w:r>
              <w:rPr>
                <w:rFonts w:cs="Arial" w:ascii="Arial" w:hAnsi="Arial"/>
                <w:b/>
                <w:sz w:val="22"/>
              </w:rPr>
            </w:r>
          </w:p>
          <w:p>
            <w:pPr>
              <w:pStyle w:val="Normal"/>
              <w:numPr>
                <w:ilvl w:val="0"/>
                <w:numId w:val="6"/>
              </w:numPr>
              <w:tabs>
                <w:tab w:val="clear" w:pos="720"/>
                <w:tab w:val="left" w:pos="1080" w:leader="none"/>
              </w:tabs>
              <w:ind w:hanging="720" w:start="1080" w:end="0"/>
              <w:rPr>
                <w:rFonts w:ascii="Arial" w:hAnsi="Arial" w:cs="Arial"/>
                <w:b/>
                <w:sz w:val="22"/>
              </w:rPr>
            </w:pPr>
            <w:r>
              <w:rPr>
                <w:rFonts w:cs="Arial" w:ascii="Arial" w:hAnsi="Arial"/>
                <w:sz w:val="22"/>
              </w:rPr>
              <w:t>Provisions in the current agreement dealing with congestion clearing are based on the approach IndeGO proposed, which was to accept all schedules and then solicit bids to create counter-flows to clear any resulting congestion.  This does not appear to be the likely approach for RTO West, and so probably all of the generation integration agreement’s provisions addressing congestion clearing will need to be revisited, and tailored to reflect the approach RTO West develops.</w:t>
            </w:r>
          </w:p>
          <w:p>
            <w:pPr>
              <w:pStyle w:val="Normal"/>
              <w:rPr>
                <w:rFonts w:ascii="Arial" w:hAnsi="Arial" w:cs="Arial"/>
                <w:b/>
                <w:sz w:val="22"/>
              </w:rPr>
            </w:pPr>
            <w:r>
              <w:rPr>
                <w:rFonts w:cs="Arial" w:ascii="Arial" w:hAnsi="Arial"/>
                <w:b/>
                <w:sz w:val="22"/>
              </w:rPr>
            </w:r>
          </w:p>
          <w:p>
            <w:pPr>
              <w:pStyle w:val="Normal"/>
              <w:tabs>
                <w:tab w:val="clear" w:pos="720"/>
                <w:tab w:val="left" w:pos="360" w:leader="none"/>
              </w:tabs>
              <w:rPr/>
            </w:pPr>
            <w:r>
              <w:rPr>
                <w:rFonts w:cs="Arial" w:ascii="Arial" w:hAnsi="Arial"/>
                <w:b/>
              </w:rPr>
              <w:tab/>
            </w:r>
            <w:r>
              <w:rPr>
                <w:rFonts w:cs="Arial" w:ascii="Arial" w:hAnsi="Arial"/>
                <w:u w:val="single"/>
              </w:rPr>
              <w:t>8.1.1 (Provision of Emergency Generation Redispatch)</w:t>
            </w:r>
          </w:p>
          <w:p>
            <w:pPr>
              <w:pStyle w:val="Normal"/>
              <w:numPr>
                <w:ilvl w:val="0"/>
                <w:numId w:val="23"/>
              </w:numPr>
              <w:tabs>
                <w:tab w:val="clear" w:pos="720"/>
                <w:tab w:val="left" w:pos="360" w:leader="none"/>
              </w:tabs>
              <w:ind w:hanging="360" w:start="720" w:end="0"/>
              <w:rPr>
                <w:rFonts w:ascii="Arial" w:hAnsi="Arial" w:cs="Arial"/>
                <w:sz w:val="22"/>
                <w:u w:val="single"/>
              </w:rPr>
            </w:pPr>
            <w:r>
              <w:rPr>
                <w:rFonts w:cs="Arial" w:ascii="Arial" w:hAnsi="Arial"/>
                <w:sz w:val="22"/>
              </w:rPr>
              <w:t>Add “of like kind and quality and” after “amount of electric energy.”</w:t>
            </w:r>
          </w:p>
          <w:p>
            <w:pPr>
              <w:pStyle w:val="Normal"/>
              <w:rPr>
                <w:rFonts w:ascii="Arial" w:hAnsi="Arial" w:cs="Arial"/>
                <w:b/>
                <w:sz w:val="22"/>
                <w:u w:val="single"/>
              </w:rPr>
            </w:pPr>
            <w:r>
              <w:rPr>
                <w:rFonts w:cs="Arial" w:ascii="Arial" w:hAnsi="Arial"/>
                <w:b/>
                <w:sz w:val="22"/>
                <w:u w:val="single"/>
              </w:rPr>
            </w:r>
          </w:p>
          <w:p>
            <w:pPr>
              <w:pStyle w:val="Normal"/>
              <w:keepNext w:val="true"/>
              <w:keepLines/>
              <w:tabs>
                <w:tab w:val="clear" w:pos="720"/>
                <w:tab w:val="left" w:pos="360" w:leader="none"/>
              </w:tabs>
              <w:rPr>
                <w:rFonts w:ascii="Arial" w:hAnsi="Arial" w:cs="Arial"/>
                <w:sz w:val="22"/>
                <w:u w:val="single"/>
              </w:rPr>
            </w:pPr>
            <w:r>
              <w:rPr>
                <w:rFonts w:cs="Arial" w:ascii="Arial" w:hAnsi="Arial"/>
              </w:rPr>
              <w:tab/>
            </w:r>
            <w:r>
              <w:rPr>
                <w:rFonts w:cs="Arial" w:ascii="Arial" w:hAnsi="Arial"/>
                <w:u w:val="single"/>
              </w:rPr>
              <w:t>8.1.2.1 (Provision of Emergency Generation Redispatch)</w:t>
            </w:r>
          </w:p>
          <w:p>
            <w:pPr>
              <w:pStyle w:val="Normal"/>
              <w:keepNext w:val="true"/>
              <w:keepLines/>
              <w:numPr>
                <w:ilvl w:val="0"/>
                <w:numId w:val="50"/>
              </w:numPr>
              <w:ind w:hanging="360" w:start="720" w:end="0"/>
              <w:rPr>
                <w:sz w:val="22"/>
              </w:rPr>
            </w:pPr>
            <w:r>
              <w:rPr>
                <w:rFonts w:cs="Arial" w:ascii="Arial" w:hAnsi="Arial"/>
                <w:b/>
                <w:i/>
                <w:sz w:val="22"/>
              </w:rPr>
              <w:t xml:space="preserve">Revise to read “If the Generating Party has established no lawful rate for such Generation Redispatch service, the real-time market clearing prices in mills per kiloWatt-hour of Redispatch for the time intervals when redispatched;” </w:t>
            </w:r>
            <w:r>
              <w:rPr>
                <w:rFonts w:cs="Arial" w:ascii="Arial" w:hAnsi="Arial"/>
                <w:sz w:val="22"/>
              </w:rPr>
              <w:t>Assumption here is that inc/dec bids are considered to be included in “lawful rates.”</w:t>
            </w:r>
          </w:p>
          <w:p>
            <w:pPr>
              <w:pStyle w:val="Normal"/>
              <w:tabs>
                <w:tab w:val="clear" w:pos="720"/>
                <w:tab w:val="left" w:pos="360" w:leader="none"/>
              </w:tabs>
              <w:rPr>
                <w:rFonts w:ascii="Arial" w:hAnsi="Arial" w:cs="Arial"/>
                <w:b/>
                <w:sz w:val="22"/>
              </w:rPr>
            </w:pPr>
            <w:r>
              <w:rPr>
                <w:rFonts w:cs="Arial" w:ascii="Arial" w:hAnsi="Arial"/>
                <w:b/>
                <w:sz w:val="22"/>
              </w:rPr>
            </w:r>
          </w:p>
          <w:p>
            <w:pPr>
              <w:pStyle w:val="Normal"/>
              <w:tabs>
                <w:tab w:val="clear" w:pos="720"/>
                <w:tab w:val="left" w:pos="360" w:leader="none"/>
              </w:tabs>
              <w:rPr>
                <w:rFonts w:ascii="Arial" w:hAnsi="Arial" w:cs="Arial"/>
                <w:sz w:val="22"/>
                <w:u w:val="single"/>
              </w:rPr>
            </w:pPr>
            <w:r>
              <w:rPr>
                <w:rFonts w:cs="Arial" w:ascii="Arial" w:hAnsi="Arial"/>
              </w:rPr>
              <w:tab/>
            </w:r>
            <w:r>
              <w:rPr>
                <w:rFonts w:cs="Arial" w:ascii="Arial" w:hAnsi="Arial"/>
                <w:u w:val="single"/>
              </w:rPr>
              <w:t>8.1.2.3 (Provision of Emergency Generation Redispatch)</w:t>
            </w:r>
          </w:p>
          <w:p>
            <w:pPr>
              <w:pStyle w:val="Normal"/>
              <w:numPr>
                <w:ilvl w:val="0"/>
                <w:numId w:val="57"/>
              </w:numPr>
              <w:ind w:hanging="360" w:start="720" w:end="0"/>
              <w:rPr>
                <w:rFonts w:ascii="Arial" w:hAnsi="Arial" w:cs="Arial"/>
                <w:b/>
                <w:i/>
                <w:i/>
                <w:sz w:val="22"/>
              </w:rPr>
            </w:pPr>
            <w:r>
              <w:rPr>
                <w:rFonts w:cs="Arial" w:ascii="Arial" w:hAnsi="Arial"/>
                <w:b/>
                <w:i/>
                <w:sz w:val="22"/>
              </w:rPr>
              <w:t>Delete the price cap provisions. Under physical rights model, RTO West should be paying as-bid inc/dec prices for emergency redispatch. If local market power exists, MMU will recommend remedies.</w:t>
            </w:r>
          </w:p>
          <w:p>
            <w:pPr>
              <w:pStyle w:val="Normal"/>
              <w:tabs>
                <w:tab w:val="clear" w:pos="720"/>
                <w:tab w:val="left" w:pos="360" w:leader="none"/>
              </w:tabs>
              <w:rPr>
                <w:rFonts w:ascii="Arial" w:hAnsi="Arial" w:cs="Arial"/>
                <w:b/>
                <w:i/>
                <w:i/>
                <w:sz w:val="22"/>
              </w:rPr>
            </w:pPr>
            <w:r>
              <w:rPr>
                <w:rFonts w:cs="Arial" w:ascii="Arial" w:hAnsi="Arial"/>
                <w:b/>
                <w:i/>
                <w:sz w:val="22"/>
              </w:rPr>
            </w:r>
          </w:p>
          <w:p>
            <w:pPr>
              <w:pStyle w:val="Normal"/>
              <w:numPr>
                <w:ilvl w:val="0"/>
                <w:numId w:val="5"/>
              </w:numPr>
              <w:tabs>
                <w:tab w:val="clear" w:pos="720"/>
                <w:tab w:val="left" w:pos="360" w:leader="none"/>
              </w:tabs>
              <w:ind w:hanging="360" w:start="720" w:end="0"/>
              <w:rPr>
                <w:rFonts w:ascii="Arial" w:hAnsi="Arial" w:cs="Arial"/>
                <w:b/>
                <w:sz w:val="22"/>
              </w:rPr>
            </w:pPr>
            <w:r>
              <w:rPr>
                <w:rFonts w:cs="Arial" w:ascii="Arial" w:hAnsi="Arial"/>
                <w:sz w:val="22"/>
              </w:rPr>
              <w:t>Revise to read “If the Generating Party has established lawful rates for such Generation Redispatch service, and such rates are not subject to acceptance for filing, confirmation, or approval by FERC, the lawful rate so established, shall be paid for such Generation Redispatch.”</w:t>
            </w:r>
          </w:p>
          <w:p>
            <w:pPr>
              <w:pStyle w:val="Normal"/>
              <w:tabs>
                <w:tab w:val="clear" w:pos="720"/>
                <w:tab w:val="left" w:pos="360" w:leader="none"/>
              </w:tabs>
              <w:rPr>
                <w:rFonts w:ascii="Arial" w:hAnsi="Arial" w:cs="Arial"/>
                <w:b/>
                <w:sz w:val="22"/>
              </w:rPr>
            </w:pPr>
            <w:r>
              <w:rPr>
                <w:rFonts w:cs="Arial" w:ascii="Arial" w:hAnsi="Arial"/>
                <w:b/>
                <w:sz w:val="22"/>
              </w:rPr>
            </w:r>
          </w:p>
          <w:p>
            <w:pPr>
              <w:pStyle w:val="Normal"/>
              <w:tabs>
                <w:tab w:val="clear" w:pos="720"/>
                <w:tab w:val="left" w:pos="360" w:leader="none"/>
              </w:tabs>
              <w:rPr>
                <w:rFonts w:ascii="Arial" w:hAnsi="Arial" w:cs="Arial"/>
                <w:b/>
                <w:sz w:val="22"/>
              </w:rPr>
            </w:pPr>
            <w:r>
              <w:rPr>
                <w:rFonts w:cs="Arial" w:ascii="Arial" w:hAnsi="Arial"/>
                <w:b/>
                <w:sz w:val="22"/>
              </w:rPr>
            </w:r>
          </w:p>
          <w:p>
            <w:pPr>
              <w:pStyle w:val="Normal"/>
              <w:tabs>
                <w:tab w:val="clear" w:pos="720"/>
                <w:tab w:val="left" w:pos="360" w:leader="none"/>
              </w:tabs>
              <w:rPr/>
            </w:pPr>
            <w:r>
              <w:rPr>
                <w:rFonts w:cs="Arial" w:ascii="Arial" w:hAnsi="Arial"/>
                <w:b/>
              </w:rPr>
              <w:tab/>
            </w:r>
            <w:r>
              <w:rPr>
                <w:rFonts w:cs="Arial" w:ascii="Arial" w:hAnsi="Arial"/>
                <w:u w:val="single"/>
              </w:rPr>
              <w:t>8.3.3.2 (Generating Party’s Responsibilities Under Section 8.3)</w:t>
            </w:r>
          </w:p>
          <w:p>
            <w:pPr>
              <w:pStyle w:val="Normal"/>
              <w:numPr>
                <w:ilvl w:val="0"/>
                <w:numId w:val="32"/>
              </w:numPr>
              <w:tabs>
                <w:tab w:val="clear" w:pos="720"/>
                <w:tab w:val="left" w:pos="360" w:leader="none"/>
              </w:tabs>
              <w:ind w:hanging="360" w:start="720" w:end="0"/>
              <w:rPr>
                <w:rFonts w:ascii="Arial" w:hAnsi="Arial" w:cs="Arial"/>
                <w:sz w:val="22"/>
              </w:rPr>
            </w:pPr>
            <w:r>
              <w:rPr>
                <w:rFonts w:cs="Arial" w:ascii="Arial" w:hAnsi="Arial"/>
                <w:sz w:val="22"/>
              </w:rPr>
              <w:t>What are the specific “existing contractual obligations” referenced under the generating party’s responsibilities under the Agreement</w:t>
            </w:r>
            <w:r>
              <w:rPr/>
              <w:t>?</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8"/>
              </w:rPr>
            </w:pPr>
            <w:r>
              <w:rPr>
                <w:rFonts w:cs="Arial" w:ascii="Arial" w:hAnsi="Arial"/>
                <w:sz w:val="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and 3</w:t>
            </w:r>
          </w:p>
          <w:p>
            <w:pPr>
              <w:pStyle w:val="Normal"/>
              <w:rPr>
                <w:rFonts w:ascii="Arial" w:hAnsi="Arial" w:cs="Arial"/>
                <w:sz w:val="22"/>
              </w:rPr>
            </w:pPr>
            <w:r>
              <w:rPr>
                <w:rFonts w:cs="Arial" w:ascii="Arial" w:hAnsi="Arial"/>
                <w:sz w:val="22"/>
              </w:rPr>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8"/>
              </w:rPr>
            </w:pPr>
            <w:r>
              <w:rPr>
                <w:rFonts w:cs="Arial" w:ascii="Arial" w:hAnsi="Arial"/>
                <w:sz w:val="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0"/>
              </w:rPr>
            </w:pPr>
            <w:r>
              <w:rPr>
                <w:rFonts w:cs="Arial" w:ascii="Arial" w:hAnsi="Arial"/>
                <w:sz w:val="30"/>
              </w:rPr>
            </w:r>
          </w:p>
          <w:p>
            <w:pPr>
              <w:pStyle w:val="Normal"/>
              <w:rPr>
                <w:rFonts w:ascii="Arial" w:hAnsi="Arial" w:cs="Arial"/>
                <w:sz w:val="22"/>
              </w:rPr>
            </w:pPr>
            <w:r>
              <w:rPr>
                <w:rFonts w:cs="Arial" w:ascii="Arial" w:hAnsi="Arial"/>
                <w:sz w:val="22"/>
              </w:rPr>
              <w:t>2 (or possibly 1)</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rPr>
                <w:rFonts w:ascii="Arial" w:hAnsi="Arial" w:cs="Arial"/>
              </w:rPr>
            </w:pPr>
            <w:r>
              <w:rPr>
                <w:rFonts w:cs="Arial" w:ascii="Arial" w:hAnsi="Arial"/>
                <w:u w:val="single"/>
              </w:rPr>
              <w:t>9.  RTO West Facilitation of Displacement Energy Bidding Process in Cases of Certain Hydroelectric Must-Run Generation Emergencies</w:t>
            </w:r>
          </w:p>
          <w:p>
            <w:pPr>
              <w:pStyle w:val="Normal"/>
              <w:keepNext w:val="true"/>
              <w:keepLines/>
              <w:rPr>
                <w:rFonts w:ascii="Arial" w:hAnsi="Arial" w:cs="Arial"/>
              </w:rPr>
            </w:pPr>
            <w:r>
              <w:rPr>
                <w:rFonts w:cs="Arial" w:ascii="Arial" w:hAnsi="Arial"/>
              </w:rPr>
            </w:r>
          </w:p>
          <w:p>
            <w:pPr>
              <w:pStyle w:val="Normal"/>
              <w:keepNext w:val="true"/>
              <w:keepLines/>
              <w:numPr>
                <w:ilvl w:val="0"/>
                <w:numId w:val="21"/>
              </w:numPr>
              <w:ind w:hanging="360" w:start="720" w:end="0"/>
              <w:rPr>
                <w:rFonts w:ascii="Arial" w:hAnsi="Arial" w:cs="Arial"/>
                <w:sz w:val="22"/>
              </w:rPr>
            </w:pPr>
            <w:r>
              <w:rPr>
                <w:rFonts w:cs="Arial" w:ascii="Arial" w:hAnsi="Arial"/>
                <w:sz w:val="22"/>
              </w:rPr>
              <w:t>The provisions regarding supersaturation issues and associated bidding mechanisms raise flags for the Federal agencies.</w:t>
            </w:r>
          </w:p>
          <w:p>
            <w:pPr>
              <w:pStyle w:val="Normal"/>
              <w:ind w:start="360" w:end="0"/>
              <w:rPr>
                <w:rFonts w:ascii="Arial" w:hAnsi="Arial" w:cs="Arial"/>
                <w:sz w:val="22"/>
              </w:rPr>
            </w:pPr>
            <w:r>
              <w:rPr>
                <w:rFonts w:cs="Arial" w:ascii="Arial" w:hAnsi="Arial"/>
                <w:sz w:val="22"/>
              </w:rPr>
            </w:r>
          </w:p>
          <w:p>
            <w:pPr>
              <w:pStyle w:val="Normal"/>
              <w:numPr>
                <w:ilvl w:val="0"/>
                <w:numId w:val="18"/>
              </w:numPr>
              <w:ind w:hanging="360" w:start="720" w:end="0"/>
              <w:rPr>
                <w:rFonts w:ascii="Arial" w:hAnsi="Arial" w:cs="Arial"/>
                <w:b/>
                <w:i/>
                <w:i/>
                <w:sz w:val="22"/>
              </w:rPr>
            </w:pPr>
            <w:r>
              <w:rPr>
                <w:rFonts w:cs="Arial" w:ascii="Arial" w:hAnsi="Arial"/>
                <w:b/>
                <w:i/>
                <w:sz w:val="22"/>
              </w:rPr>
              <w:t xml:space="preserve">Either modify this section to include Qualifying Facility “Must-Take Generation,” or, add new section specifically dealing with must-take nature of QF contracts. E.g. add a section 9.1.3 “Qualified Facilities Must-Take Contracts and Minimum Operating Conditions.” Language needs to be developed. </w:t>
            </w:r>
          </w:p>
          <w:p>
            <w:pPr>
              <w:pStyle w:val="Normal"/>
              <w:rPr>
                <w:rFonts w:ascii="Arial" w:hAnsi="Arial" w:cs="Arial"/>
                <w:b/>
                <w:i/>
                <w:i/>
                <w:sz w:val="22"/>
              </w:rPr>
            </w:pPr>
            <w:r>
              <w:rPr>
                <w:rFonts w:cs="Arial" w:ascii="Arial" w:hAnsi="Arial"/>
                <w:b/>
                <w:i/>
                <w:sz w:val="22"/>
              </w:rPr>
            </w:r>
          </w:p>
          <w:p>
            <w:pPr>
              <w:pStyle w:val="Normal"/>
              <w:numPr>
                <w:ilvl w:val="0"/>
                <w:numId w:val="21"/>
              </w:numPr>
              <w:ind w:hanging="360" w:start="720" w:end="0"/>
              <w:rPr>
                <w:rFonts w:ascii="Arial" w:hAnsi="Arial" w:cs="Arial"/>
                <w:sz w:val="22"/>
              </w:rPr>
            </w:pPr>
            <w:r>
              <w:rPr>
                <w:rFonts w:cs="Arial" w:ascii="Arial" w:hAnsi="Arial"/>
                <w:sz w:val="22"/>
              </w:rPr>
              <w:t>There should be no need for voluntary or mandatory bidding with QF’s, because TO’s are obligated to take the power and pay contract price.</w:t>
            </w:r>
          </w:p>
          <w:p>
            <w:pPr>
              <w:pStyle w:val="Normal"/>
              <w:ind w:start="360" w:end="0"/>
              <w:rPr>
                <w:rFonts w:ascii="Arial" w:hAnsi="Arial" w:cs="Arial"/>
                <w:sz w:val="22"/>
              </w:rPr>
            </w:pPr>
            <w:r>
              <w:rPr>
                <w:rFonts w:cs="Arial" w:ascii="Arial" w:hAnsi="Arial"/>
                <w:sz w:val="22"/>
              </w:rPr>
            </w:r>
          </w:p>
          <w:p>
            <w:pPr>
              <w:pStyle w:val="Normal"/>
              <w:numPr>
                <w:ilvl w:val="0"/>
                <w:numId w:val="21"/>
              </w:numPr>
              <w:ind w:hanging="360" w:start="720" w:end="0"/>
              <w:rPr>
                <w:rFonts w:ascii="Arial" w:hAnsi="Arial" w:cs="Arial"/>
                <w:sz w:val="22"/>
              </w:rPr>
            </w:pPr>
            <w:r>
              <w:rPr>
                <w:rFonts w:cs="Arial" w:ascii="Arial" w:hAnsi="Arial"/>
                <w:sz w:val="22"/>
              </w:rPr>
              <w:t>Carl Imparato has expressed disagreement with the approach to managing supersaturation problems embodied in the IndeGO Generation Integration Agreement.  I understand his view to be that this is a matter that should be handled by the marketplace through contracts that are arranged in advance.</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 Group</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IPP/QF</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10.  Special Arrangements and Most Favored Nation Option</w:t>
            </w:r>
          </w:p>
          <w:p>
            <w:pPr>
              <w:pStyle w:val="Normal"/>
              <w:numPr>
                <w:ilvl w:val="0"/>
                <w:numId w:val="8"/>
              </w:numPr>
              <w:tabs>
                <w:tab w:val="clear" w:pos="720"/>
              </w:tabs>
              <w:ind w:hanging="360" w:start="720" w:end="0"/>
              <w:rPr>
                <w:rFonts w:ascii="Arial" w:hAnsi="Arial" w:cs="Arial"/>
                <w:sz w:val="22"/>
              </w:rPr>
            </w:pPr>
            <w:r>
              <w:rPr>
                <w:rFonts w:cs="Arial" w:ascii="Arial" w:hAnsi="Arial"/>
                <w:sz w:val="22"/>
              </w:rPr>
              <w:t>review PNSC agreement for its approach to “special arrangements.”</w:t>
            </w:r>
          </w:p>
          <w:p>
            <w:pPr>
              <w:pStyle w:val="Normal"/>
              <w:ind w:start="360" w:end="0"/>
              <w:rPr>
                <w:rFonts w:ascii="Arial" w:hAnsi="Arial" w:cs="Arial"/>
                <w:sz w:val="22"/>
              </w:rPr>
            </w:pPr>
            <w:r>
              <w:rPr>
                <w:rFonts w:cs="Arial" w:ascii="Arial" w:hAnsi="Arial"/>
                <w:sz w:val="22"/>
              </w:rPr>
            </w:r>
          </w:p>
          <w:p>
            <w:pPr>
              <w:pStyle w:val="Normal"/>
              <w:numPr>
                <w:ilvl w:val="0"/>
                <w:numId w:val="8"/>
              </w:numPr>
              <w:tabs>
                <w:tab w:val="clear" w:pos="720"/>
              </w:tabs>
              <w:ind w:hanging="360" w:start="720" w:end="0"/>
              <w:rPr>
                <w:rFonts w:ascii="Arial" w:hAnsi="Arial" w:cs="Arial"/>
                <w:sz w:val="22"/>
              </w:rPr>
            </w:pPr>
            <w:r>
              <w:rPr>
                <w:rFonts w:cs="Arial" w:ascii="Arial" w:hAnsi="Arial"/>
                <w:sz w:val="22"/>
              </w:rPr>
              <w:t>There needs to be further consideration of the “Special Arrangements and Most Favored Nation Option.”</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0"/>
              </w:numPr>
              <w:rPr>
                <w:rFonts w:ascii="Arial" w:hAnsi="Arial" w:cs="Arial"/>
                <w:u w:val="single"/>
              </w:rPr>
            </w:pPr>
            <w:r>
              <w:rPr>
                <w:rFonts w:cs="Arial" w:ascii="Arial" w:hAnsi="Arial"/>
                <w:u w:val="single"/>
              </w:rPr>
              <w:t>Limitation of Liability and Insurance</w:t>
            </w:r>
          </w:p>
          <w:p>
            <w:pPr>
              <w:pStyle w:val="Normal"/>
              <w:rPr>
                <w:rFonts w:ascii="Arial" w:hAnsi="Arial" w:cs="Arial"/>
                <w:u w:val="single"/>
              </w:rPr>
            </w:pPr>
            <w:r>
              <w:rPr>
                <w:rFonts w:cs="Arial" w:ascii="Arial" w:hAnsi="Arial"/>
                <w:u w:val="single"/>
              </w:rPr>
            </w:r>
          </w:p>
          <w:p>
            <w:pPr>
              <w:pStyle w:val="Normal"/>
              <w:numPr>
                <w:ilvl w:val="2"/>
                <w:numId w:val="10"/>
              </w:numPr>
              <w:tabs>
                <w:tab w:val="clear" w:pos="720"/>
                <w:tab w:val="left" w:pos="360" w:leader="none"/>
              </w:tabs>
              <w:rPr>
                <w:rFonts w:ascii="Arial" w:hAnsi="Arial" w:cs="Arial"/>
                <w:u w:val="single"/>
              </w:rPr>
            </w:pPr>
            <w:r>
              <w:rPr>
                <w:rFonts w:cs="Arial" w:ascii="Arial" w:hAnsi="Arial"/>
                <w:u w:val="single"/>
              </w:rPr>
              <w:t>(No Duties Created to Non-Party)</w:t>
            </w:r>
          </w:p>
          <w:p>
            <w:pPr>
              <w:pStyle w:val="Normal"/>
              <w:numPr>
                <w:ilvl w:val="0"/>
                <w:numId w:val="52"/>
              </w:numPr>
              <w:ind w:hanging="360" w:start="720" w:end="0"/>
              <w:rPr>
                <w:rFonts w:ascii="Arial" w:hAnsi="Arial" w:cs="Arial"/>
                <w:sz w:val="22"/>
              </w:rPr>
            </w:pPr>
            <w:r>
              <w:rPr>
                <w:rFonts w:cs="Arial" w:ascii="Arial" w:hAnsi="Arial"/>
                <w:sz w:val="22"/>
              </w:rPr>
              <w:t>Depending how the Federal agencies decide which of the Federal agencies should sign the Agreement, it may be the case that only one or two agencies will be signatories which would raise a question as to the provision “No Duties Created to Non-Party.”</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0"/>
              </w:numPr>
              <w:rPr>
                <w:rFonts w:ascii="Arial" w:hAnsi="Arial" w:cs="Arial"/>
                <w:u w:val="single"/>
              </w:rPr>
            </w:pPr>
            <w:r>
              <w:rPr>
                <w:rFonts w:cs="Arial" w:ascii="Arial" w:hAnsi="Arial"/>
                <w:u w:val="single"/>
              </w:rPr>
              <w:t>Assignments and Conveyances</w:t>
            </w:r>
          </w:p>
          <w:p>
            <w:pPr>
              <w:pStyle w:val="Normal"/>
              <w:tabs>
                <w:tab w:val="clear" w:pos="720"/>
                <w:tab w:val="left" w:pos="360" w:leader="none"/>
              </w:tabs>
              <w:rPr>
                <w:rFonts w:ascii="Arial" w:hAnsi="Arial" w:cs="Arial"/>
                <w:u w:val="single"/>
              </w:rPr>
            </w:pPr>
            <w:r>
              <w:rPr>
                <w:rFonts w:cs="Arial" w:ascii="Arial" w:hAnsi="Arial"/>
                <w:u w:val="single"/>
              </w:rPr>
            </w:r>
          </w:p>
          <w:p>
            <w:pPr>
              <w:pStyle w:val="Normal"/>
              <w:tabs>
                <w:tab w:val="clear" w:pos="720"/>
                <w:tab w:val="left" w:pos="360" w:leader="none"/>
              </w:tabs>
              <w:ind w:start="450" w:end="0"/>
              <w:rPr>
                <w:rFonts w:ascii="Arial" w:hAnsi="Arial" w:cs="Arial"/>
                <w:u w:val="single"/>
              </w:rPr>
            </w:pPr>
            <w:r>
              <w:rPr>
                <w:rFonts w:cs="Arial" w:ascii="Arial" w:hAnsi="Arial"/>
                <w:u w:val="single"/>
              </w:rPr>
              <w:t>12.2 (Assignment of the Generating Party’s Rights and Obligations)</w:t>
            </w:r>
          </w:p>
          <w:p>
            <w:pPr>
              <w:pStyle w:val="Normal"/>
              <w:numPr>
                <w:ilvl w:val="0"/>
                <w:numId w:val="42"/>
              </w:numPr>
              <w:tabs>
                <w:tab w:val="clear" w:pos="720"/>
                <w:tab w:val="left" w:pos="360" w:leader="none"/>
              </w:tabs>
              <w:ind w:hanging="360" w:start="720" w:end="0"/>
              <w:rPr>
                <w:rFonts w:ascii="Arial" w:hAnsi="Arial" w:cs="Arial"/>
                <w:sz w:val="22"/>
              </w:rPr>
            </w:pPr>
            <w:r>
              <w:rPr>
                <w:rFonts w:cs="Arial" w:ascii="Arial" w:hAnsi="Arial"/>
                <w:sz w:val="22"/>
              </w:rPr>
              <w:t>There are Federal laws that address assignment actions that may need to be added to the Agreement.</w:t>
            </w:r>
          </w:p>
          <w:p>
            <w:pPr>
              <w:pStyle w:val="Normal"/>
              <w:tabs>
                <w:tab w:val="clear" w:pos="720"/>
                <w:tab w:val="left" w:pos="360" w:leader="none"/>
              </w:tabs>
              <w:rPr>
                <w:rFonts w:ascii="Arial" w:hAnsi="Arial" w:cs="Arial"/>
                <w:sz w:val="22"/>
              </w:rPr>
            </w:pPr>
            <w:r>
              <w:rPr>
                <w:rFonts w:cs="Arial" w:ascii="Arial" w:hAnsi="Arial"/>
                <w:sz w:val="22"/>
              </w:rPr>
            </w:r>
          </w:p>
          <w:p>
            <w:pPr>
              <w:pStyle w:val="Normal"/>
              <w:tabs>
                <w:tab w:val="clear" w:pos="720"/>
                <w:tab w:val="left" w:pos="360" w:leader="none"/>
              </w:tabs>
              <w:rPr/>
            </w:pPr>
            <w:r>
              <w:rPr>
                <w:rFonts w:cs="Arial" w:ascii="Arial" w:hAnsi="Arial"/>
              </w:rPr>
              <w:tab/>
            </w:r>
            <w:r>
              <w:rPr>
                <w:rFonts w:cs="Arial" w:ascii="Arial" w:hAnsi="Arial"/>
                <w:u w:val="single"/>
              </w:rPr>
              <w:t>12.3 (Transfer of Rights Affecting Interconnected Units)</w:t>
            </w:r>
          </w:p>
          <w:p>
            <w:pPr>
              <w:pStyle w:val="Normal"/>
              <w:numPr>
                <w:ilvl w:val="0"/>
                <w:numId w:val="34"/>
              </w:numPr>
              <w:tabs>
                <w:tab w:val="clear" w:pos="720"/>
                <w:tab w:val="left" w:pos="360" w:leader="none"/>
              </w:tabs>
              <w:ind w:hanging="360" w:start="720" w:end="0"/>
              <w:rPr>
                <w:rFonts w:ascii="Arial" w:hAnsi="Arial" w:cs="Arial"/>
                <w:sz w:val="22"/>
                <w:u w:val="single"/>
              </w:rPr>
            </w:pPr>
            <w:r>
              <w:rPr>
                <w:rFonts w:cs="Arial" w:ascii="Arial" w:hAnsi="Arial"/>
                <w:sz w:val="22"/>
              </w:rPr>
              <w:t xml:space="preserve">Condemnation authority with regard to Federal agencies is limited and may need to be addressed in the Agreement </w:t>
            </w:r>
            <w:r>
              <w:rPr>
                <w:rFonts w:cs="Arial" w:ascii="Arial" w:hAnsi="Arial"/>
                <w:sz w:val="20"/>
              </w:rPr>
              <w:t>(</w:t>
            </w:r>
            <w:r>
              <w:rPr>
                <w:rFonts w:cs="Arial" w:ascii="Arial" w:hAnsi="Arial"/>
                <w:b/>
                <w:i/>
                <w:sz w:val="20"/>
              </w:rPr>
              <w:t>Note – this may not be the correct section reference</w:t>
            </w:r>
            <w:r>
              <w:rPr>
                <w:rFonts w:cs="Arial" w:ascii="Arial" w:hAnsi="Arial"/>
                <w:sz w:val="20"/>
              </w:rPr>
              <w:t>)</w:t>
            </w:r>
          </w:p>
          <w:p>
            <w:pPr>
              <w:pStyle w:val="Normal"/>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13.  No Guarantee of Uninterrupted Transmission Service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14.  Billing and Payment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15.  Uncontrollable Force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16.  Dispute Resolution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17.  Notices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18.  Amendments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19.  Construction of Agreement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20.  Integration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21.  Preservation of Obligations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37"/>
              </w:numPr>
              <w:rPr>
                <w:rFonts w:ascii="Arial" w:hAnsi="Arial" w:cs="Arial"/>
                <w:u w:val="single"/>
              </w:rPr>
            </w:pPr>
            <w:r>
              <w:rPr>
                <w:rFonts w:cs="Arial" w:ascii="Arial" w:hAnsi="Arial"/>
                <w:u w:val="single"/>
              </w:rPr>
              <w:t>Existing Agreements Preserved</w:t>
            </w:r>
          </w:p>
          <w:p>
            <w:pPr>
              <w:pStyle w:val="Normal"/>
              <w:numPr>
                <w:ilvl w:val="0"/>
                <w:numId w:val="27"/>
              </w:numPr>
              <w:ind w:hanging="360" w:start="720" w:end="0"/>
              <w:rPr>
                <w:rFonts w:ascii="Arial" w:hAnsi="Arial" w:cs="Arial"/>
                <w:sz w:val="22"/>
              </w:rPr>
            </w:pPr>
            <w:r>
              <w:rPr>
                <w:rFonts w:cs="Arial" w:ascii="Arial" w:hAnsi="Arial"/>
                <w:sz w:val="22"/>
              </w:rPr>
              <w:t>Replace “requirements of” with “rights or obligations of any party under.”</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IPP/QF Group</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rPr>
                <w:rFonts w:ascii="Arial" w:hAnsi="Arial" w:cs="Arial"/>
                <w:u w:val="single"/>
              </w:rPr>
            </w:pPr>
            <w:r>
              <w:rPr>
                <w:rFonts w:cs="Arial" w:ascii="Arial" w:hAnsi="Arial"/>
                <w:u w:val="single"/>
              </w:rPr>
              <w:t>23.  Governing Law</w:t>
            </w:r>
          </w:p>
          <w:p>
            <w:pPr>
              <w:pStyle w:val="Normal"/>
              <w:keepNext w:val="true"/>
              <w:keepLines/>
              <w:numPr>
                <w:ilvl w:val="0"/>
                <w:numId w:val="29"/>
              </w:numPr>
              <w:tabs>
                <w:tab w:val="clear" w:pos="720"/>
              </w:tabs>
              <w:ind w:hanging="360" w:start="720" w:end="0"/>
              <w:rPr>
                <w:rFonts w:ascii="Arial" w:hAnsi="Arial" w:cs="Arial"/>
                <w:sz w:val="22"/>
              </w:rPr>
            </w:pPr>
            <w:r>
              <w:rPr>
                <w:rFonts w:cs="Arial" w:ascii="Arial" w:hAnsi="Arial"/>
                <w:sz w:val="22"/>
              </w:rPr>
              <w:t>review PNSC agreement for possible better language.</w:t>
            </w:r>
          </w:p>
          <w:p>
            <w:pPr>
              <w:pStyle w:val="Normal"/>
              <w:keepNext w:val="true"/>
              <w:keepLines/>
              <w:ind w:start="360" w:end="0"/>
              <w:rPr>
                <w:rFonts w:ascii="Arial" w:hAnsi="Arial" w:cs="Arial"/>
                <w:sz w:val="22"/>
              </w:rPr>
            </w:pPr>
            <w:r>
              <w:rPr>
                <w:rFonts w:cs="Arial" w:ascii="Arial" w:hAnsi="Arial"/>
                <w:sz w:val="22"/>
              </w:rPr>
            </w:r>
          </w:p>
          <w:p>
            <w:pPr>
              <w:pStyle w:val="Normal"/>
              <w:numPr>
                <w:ilvl w:val="0"/>
                <w:numId w:val="29"/>
              </w:numPr>
              <w:tabs>
                <w:tab w:val="clear" w:pos="720"/>
              </w:tabs>
              <w:ind w:hanging="360" w:start="720" w:end="0"/>
              <w:rPr>
                <w:rFonts w:ascii="Arial" w:hAnsi="Arial" w:cs="Arial"/>
                <w:sz w:val="22"/>
              </w:rPr>
            </w:pPr>
            <w:r>
              <w:rPr>
                <w:rFonts w:cs="Arial" w:ascii="Arial" w:hAnsi="Arial"/>
                <w:sz w:val="22"/>
              </w:rPr>
              <w:t>The “Governing Law” provision needs to be clarified, probably with the language that was used in the Pacific Northwest Security Coordination Agreement.</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6"/>
              </w:rPr>
            </w:pPr>
            <w:r>
              <w:rPr>
                <w:rFonts w:cs="Arial" w:ascii="Arial" w:hAnsi="Arial"/>
                <w:sz w:val="26"/>
              </w:rPr>
            </w:r>
          </w:p>
          <w:p>
            <w:pPr>
              <w:pStyle w:val="Normal"/>
              <w:rPr>
                <w:rFonts w:ascii="Arial" w:hAnsi="Arial" w:cs="Arial"/>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24.  Severability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25.  Singular and Plural; Use of “Or”</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26.  Headings for Convenience Only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27.  Relationship of the Parties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28.  No Third Party Beneficiaries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29.  No Dedication of Facilities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30.  Non-Waiver</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31.  Exhibits Incorporated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32.  Further Actions and Documents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33.  Counterparts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double" w:sz="4" w:space="0" w:color="000000"/>
              <w:end w:val="single" w:sz="4" w:space="0" w:color="000000"/>
            </w:tcBorders>
          </w:tcPr>
          <w:p>
            <w:pPr>
              <w:pStyle w:val="Normal"/>
              <w:rPr>
                <w:rFonts w:ascii="Arial" w:hAnsi="Arial" w:cs="Arial"/>
              </w:rPr>
            </w:pPr>
            <w:r>
              <w:rPr>
                <w:rFonts w:cs="Arial" w:ascii="Arial" w:hAnsi="Arial"/>
              </w:rPr>
              <w:t>34.  Governing Agreement</w:t>
            </w:r>
          </w:p>
        </w:tc>
        <w:tc>
          <w:tcPr>
            <w:tcW w:w="216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double" w:sz="4" w:space="0" w:color="000000"/>
              <w:end w:val="doub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sectPr>
      <w:headerReference w:type="default" r:id="rId2"/>
      <w:footerReference w:type="default" r:id="rId3"/>
      <w:type w:val="nextPage"/>
      <w:pgSz w:orient="landscape" w:w="15840" w:h="12240"/>
      <w:pgMar w:left="1440" w:right="1440" w:gutter="0" w:header="720" w:top="1080" w:footer="15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060" w:leader="none"/>
        <w:tab w:val="center" w:pos="4320" w:leader="none"/>
        <w:tab w:val="right" w:pos="8640" w:leader="none"/>
      </w:tabs>
      <w:ind w:hanging="2700" w:start="2700" w:end="0"/>
      <w:rPr>
        <w:rFonts w:ascii="Arial" w:hAnsi="Arial" w:cs="Arial"/>
        <w:sz w:val="22"/>
        <w:u w:val="single"/>
      </w:rPr>
    </w:pPr>
    <w:r>
      <w:rPr>
        <w:rFonts w:cs="Arial" w:ascii="Arial" w:hAnsi="Arial"/>
        <w:sz w:val="22"/>
        <w:u w:val="single"/>
      </w:rPr>
    </w:r>
  </w:p>
  <w:p>
    <w:pPr>
      <w:pStyle w:val="Footer"/>
      <w:tabs>
        <w:tab w:val="left" w:pos="3060" w:leader="none"/>
        <w:tab w:val="center" w:pos="4320" w:leader="none"/>
        <w:tab w:val="right" w:pos="8640" w:leader="none"/>
      </w:tabs>
      <w:ind w:hanging="2700" w:start="2700" w:end="0"/>
      <w:jc w:val="end"/>
      <w:rPr>
        <w:rFonts w:ascii="Arial" w:hAnsi="Arial" w:cs="Arial"/>
        <w:sz w:val="22"/>
        <w:u w:val="single"/>
      </w:rPr>
    </w:pPr>
    <w:r>
      <w:rPr>
        <w:rStyle w:val="PageNumbe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17</w:t>
    </w:r>
    <w:r>
      <w:rPr>
        <w:rStyle w:val="PageNumber"/>
        <w:sz w:val="22"/>
        <w:rFonts w:cs="Arial" w:ascii="Arial" w:hAnsi="Arial"/>
      </w:rPr>
      <w:fldChar w:fldCharType="end"/>
    </w:r>
  </w:p>
  <w:p>
    <w:pPr>
      <w:pStyle w:val="Footer"/>
      <w:tabs>
        <w:tab w:val="left" w:pos="3060" w:leader="none"/>
        <w:tab w:val="center" w:pos="4320" w:leader="none"/>
        <w:tab w:val="right" w:pos="8640" w:leader="none"/>
      </w:tabs>
      <w:ind w:hanging="2700" w:start="2700" w:end="0"/>
      <w:rPr/>
    </w:pPr>
    <w:r>
      <w:rPr>
        <w:rFonts w:cs="Arial" w:ascii="Arial" w:hAnsi="Arial"/>
        <w:sz w:val="20"/>
        <w:u w:val="single"/>
      </w:rPr>
      <w:t>Explanation of Categories</w:t>
    </w:r>
    <w:r>
      <w:rPr>
        <w:rFonts w:cs="Arial" w:ascii="Arial" w:hAnsi="Arial"/>
        <w:sz w:val="20"/>
      </w:rPr>
      <w:t>:</w:t>
      <w:tab/>
      <w:t>1 = comment proposes clarification or other minor change</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 xml:space="preserve">   </w:t>
      <w:tab/>
      <w:t>(not expected to require significant discussion)</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2 =</w:t>
      <w:tab/>
      <w:t>comment proposes substantive changes or is not specific</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ab/>
      <w:t>with respect to what changes are needed; will require discussion</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3 =</w:t>
      <w:tab/>
      <w:t>comment raises issues that the subgroup may not be able to</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ab/>
      <w:t xml:space="preserve">resolve through internal discussions because resolution may require </w:t>
    </w:r>
  </w:p>
  <w:p>
    <w:pPr>
      <w:pStyle w:val="Footer"/>
      <w:tabs>
        <w:tab w:val="left" w:pos="3060" w:leader="none"/>
        <w:tab w:val="center" w:pos="4320" w:leader="none"/>
        <w:tab w:val="right" w:pos="8640" w:leader="none"/>
      </w:tabs>
      <w:ind w:hanging="2700" w:start="2700" w:end="0"/>
      <w:rPr>
        <w:rFonts w:ascii="Arial" w:hAnsi="Arial" w:cs="Arial"/>
        <w:sz w:val="22"/>
      </w:rPr>
    </w:pPr>
    <w:r>
      <w:rPr>
        <w:rFonts w:cs="Arial" w:ascii="Arial" w:hAnsi="Arial"/>
        <w:sz w:val="20"/>
      </w:rPr>
      <w:tab/>
      <w:tab/>
      <w:t>policy guidance or input from other work groups</w:t>
    </w:r>
  </w:p>
  <w:p>
    <w:pPr>
      <w:pStyle w:val="Footer"/>
      <w:rPr>
        <w:rFonts w:ascii="Arial" w:hAnsi="Arial" w:cs="Arial"/>
        <w:sz w:val="22"/>
      </w:rPr>
    </w:pPr>
    <w:r>
      <w:rPr>
        <w:rFonts w:cs="Arial" w:ascii="Arial" w:hAnsi="Arial"/>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t>GIA Comments 7/7/2000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Symbol" w:hAnsi="Symbol" w:cs="Symbol" w:hint="default"/>
      </w:r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abstractNum w:abstractNumId="7">
    <w:lvl w:ilvl="0">
      <w:start w:val="1"/>
      <w:numFmt w:val="bullet"/>
      <w:lvlText w:val=""/>
      <w:lvlJc w:val="start"/>
      <w:pPr>
        <w:tabs>
          <w:tab w:val="num" w:pos="720"/>
        </w:tabs>
        <w:ind w:start="720" w:hanging="720"/>
      </w:pPr>
      <w:rPr>
        <w:rFonts w:ascii="Symbol" w:hAnsi="Symbol" w:cs="Symbol" w:hint="default"/>
      </w:rPr>
    </w:lvl>
  </w:abstractNum>
  <w:abstractNum w:abstractNumId="8">
    <w:lvl w:ilvl="0">
      <w:start w:val="1"/>
      <w:numFmt w:val="bullet"/>
      <w:lvlText w:val=""/>
      <w:lvlJc w:val="start"/>
      <w:pPr>
        <w:tabs>
          <w:tab w:val="num" w:pos="720"/>
        </w:tabs>
        <w:ind w:start="720" w:hanging="720"/>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1"/>
      <w:numFmt w:val="decimal"/>
      <w:lvlText w:val="%1."/>
      <w:lvlJc w:val="start"/>
      <w:pPr>
        <w:tabs>
          <w:tab w:val="num" w:pos="450"/>
        </w:tabs>
        <w:ind w:start="450" w:hanging="450"/>
      </w:pPr>
      <w:rPr/>
    </w:lvl>
    <w:lvl w:ilvl="1">
      <w:start w:val="3"/>
      <w:isLgl/>
      <w:numFmt w:val="decimal"/>
      <w:lvlText w:val="%1.%2"/>
      <w:lvlJc w:val="start"/>
      <w:pPr>
        <w:tabs>
          <w:tab w:val="num" w:pos="945"/>
        </w:tabs>
        <w:ind w:start="945" w:hanging="720"/>
      </w:pPr>
      <w:rPr/>
    </w:lvl>
    <w:lvl w:ilvl="2">
      <w:start w:val="2"/>
      <w:isLgl/>
      <w:numFmt w:val="decimal"/>
      <w:lvlText w:val="%1.%2.%3"/>
      <w:lvlJc w:val="start"/>
      <w:pPr>
        <w:tabs>
          <w:tab w:val="num" w:pos="1170"/>
        </w:tabs>
        <w:ind w:start="1170" w:hanging="720"/>
      </w:pPr>
      <w:rPr/>
    </w:lvl>
    <w:lvl w:ilvl="3">
      <w:start w:val="1"/>
      <w:isLgl/>
      <w:numFmt w:val="decimal"/>
      <w:lvlText w:val="%1.%2.%3.%4"/>
      <w:lvlJc w:val="start"/>
      <w:pPr>
        <w:tabs>
          <w:tab w:val="num" w:pos="1755"/>
        </w:tabs>
        <w:ind w:start="1755" w:hanging="1080"/>
      </w:pPr>
      <w:rPr/>
    </w:lvl>
    <w:lvl w:ilvl="4">
      <w:start w:val="1"/>
      <w:isLgl/>
      <w:numFmt w:val="decimal"/>
      <w:lvlText w:val="%1.%2.%3.%4.%5"/>
      <w:lvlJc w:val="start"/>
      <w:pPr>
        <w:tabs>
          <w:tab w:val="num" w:pos="1980"/>
        </w:tabs>
        <w:ind w:start="1980" w:hanging="1080"/>
      </w:pPr>
      <w:rPr/>
    </w:lvl>
    <w:lvl w:ilvl="5">
      <w:start w:val="1"/>
      <w:isLgl/>
      <w:numFmt w:val="decimal"/>
      <w:lvlText w:val="%1.%2.%3.%4.%5.%6"/>
      <w:lvlJc w:val="start"/>
      <w:pPr>
        <w:tabs>
          <w:tab w:val="num" w:pos="2565"/>
        </w:tabs>
        <w:ind w:start="2565" w:hanging="1440"/>
      </w:pPr>
      <w:rPr/>
    </w:lvl>
    <w:lvl w:ilvl="6">
      <w:start w:val="1"/>
      <w:isLgl/>
      <w:numFmt w:val="decimal"/>
      <w:lvlText w:val="%1.%2.%3.%4.%5.%6.%7"/>
      <w:lvlJc w:val="start"/>
      <w:pPr>
        <w:tabs>
          <w:tab w:val="num" w:pos="2790"/>
        </w:tabs>
        <w:ind w:start="2790" w:hanging="1440"/>
      </w:pPr>
      <w:rPr/>
    </w:lvl>
    <w:lvl w:ilvl="7">
      <w:start w:val="1"/>
      <w:isLgl/>
      <w:numFmt w:val="decimal"/>
      <w:lvlText w:val="%1.%2.%3.%4.%5.%6.%7.%8"/>
      <w:lvlJc w:val="start"/>
      <w:pPr>
        <w:tabs>
          <w:tab w:val="num" w:pos="3375"/>
        </w:tabs>
        <w:ind w:start="3375" w:hanging="1800"/>
      </w:pPr>
      <w:rPr/>
    </w:lvl>
    <w:lvl w:ilvl="8">
      <w:start w:val="1"/>
      <w:isLgl/>
      <w:numFmt w:val="decimal"/>
      <w:lvlText w:val="%1.%2.%3.%4.%5.%6.%7.%8.%9"/>
      <w:lvlJc w:val="start"/>
      <w:pPr>
        <w:tabs>
          <w:tab w:val="num" w:pos="3600"/>
        </w:tabs>
        <w:ind w:start="3600" w:hanging="1800"/>
      </w:pPr>
      <w:rPr/>
    </w:lvl>
  </w:abstractNum>
  <w:abstractNum w:abstractNumId="11">
    <w:lvl w:ilvl="0">
      <w:start w:val="2"/>
      <w:numFmt w:val="decimal"/>
      <w:lvlText w:val="%1."/>
      <w:lvlJc w:val="start"/>
      <w:pPr>
        <w:tabs>
          <w:tab w:val="num" w:pos="360"/>
        </w:tabs>
        <w:ind w:start="360" w:hanging="360"/>
      </w:pPr>
      <w:rPr/>
    </w:lvl>
    <w:lvl w:ilvl="1">
      <w:start w:val="2"/>
      <w:isLgl/>
      <w:numFmt w:val="decimal"/>
      <w:lvlText w:val="%1.%2"/>
      <w:lvlJc w:val="start"/>
      <w:pPr>
        <w:tabs>
          <w:tab w:val="num" w:pos="750"/>
        </w:tabs>
        <w:ind w:start="750" w:hanging="39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2160"/>
        </w:tabs>
        <w:ind w:start="2160" w:hanging="1080"/>
      </w:pPr>
      <w:rPr/>
    </w:lvl>
    <w:lvl w:ilvl="4">
      <w:start w:val="1"/>
      <w:isLgl/>
      <w:numFmt w:val="decimal"/>
      <w:lvlText w:val="%1.%2.%3.%4.%5"/>
      <w:lvlJc w:val="start"/>
      <w:pPr>
        <w:tabs>
          <w:tab w:val="num" w:pos="2520"/>
        </w:tabs>
        <w:ind w:start="2520" w:hanging="1080"/>
      </w:pPr>
      <w:rPr/>
    </w:lvl>
    <w:lvl w:ilvl="5">
      <w:start w:val="1"/>
      <w:isLgl/>
      <w:numFmt w:val="decimal"/>
      <w:lvlText w:val="%1.%2.%3.%4.%5.%6"/>
      <w:lvlJc w:val="start"/>
      <w:pPr>
        <w:tabs>
          <w:tab w:val="num" w:pos="3240"/>
        </w:tabs>
        <w:ind w:start="3240" w:hanging="1440"/>
      </w:pPr>
      <w:rPr/>
    </w:lvl>
    <w:lvl w:ilvl="6">
      <w:start w:val="1"/>
      <w:isLgl/>
      <w:numFmt w:val="decimal"/>
      <w:lvlText w:val="%1.%2.%3.%4.%5.%6.%7"/>
      <w:lvlJc w:val="start"/>
      <w:pPr>
        <w:tabs>
          <w:tab w:val="num" w:pos="3600"/>
        </w:tabs>
        <w:ind w:start="3600" w:hanging="1440"/>
      </w:pPr>
      <w:rPr/>
    </w:lvl>
    <w:lvl w:ilvl="7">
      <w:start w:val="1"/>
      <w:isLgl/>
      <w:numFmt w:val="decimal"/>
      <w:lvlText w:val="%1.%2.%3.%4.%5.%6.%7.%8"/>
      <w:lvlJc w:val="start"/>
      <w:pPr>
        <w:tabs>
          <w:tab w:val="num" w:pos="4320"/>
        </w:tabs>
        <w:ind w:start="4320" w:hanging="1800"/>
      </w:pPr>
      <w:rPr/>
    </w:lvl>
    <w:lvl w:ilvl="8">
      <w:start w:val="1"/>
      <w:isLgl/>
      <w:numFmt w:val="decimal"/>
      <w:lvlText w:val="%1.%2.%3.%4.%5.%6.%7.%8.%9"/>
      <w:lvlJc w:val="start"/>
      <w:pPr>
        <w:tabs>
          <w:tab w:val="num" w:pos="4680"/>
        </w:tabs>
        <w:ind w:start="4680" w:hanging="1800"/>
      </w:pPr>
      <w:rPr/>
    </w:lvl>
  </w:abstractNum>
  <w:abstractNum w:abstractNumId="12">
    <w:lvl w:ilvl="0">
      <w:start w:val="1"/>
      <w:numFmt w:val="bullet"/>
      <w:lvlText w:val=""/>
      <w:lvlJc w:val="start"/>
      <w:pPr>
        <w:tabs>
          <w:tab w:val="num" w:pos="720"/>
        </w:tabs>
        <w:ind w:start="720" w:hanging="720"/>
      </w:pPr>
      <w:rPr>
        <w:rFonts w:ascii="Symbol" w:hAnsi="Symbol" w:cs="Symbol" w:hint="default"/>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720"/>
        </w:tabs>
        <w:ind w:start="720" w:hanging="720"/>
      </w:pPr>
      <w:rPr>
        <w:rFonts w:ascii="Symbol" w:hAnsi="Symbol" w:cs="Symbol" w:hint="default"/>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720"/>
        </w:tabs>
        <w:ind w:start="720" w:hanging="720"/>
      </w:pPr>
      <w:rPr>
        <w:rFonts w:ascii="Symbol" w:hAnsi="Symbol" w:cs="Symbol" w:hint="default"/>
      </w:rPr>
    </w:lvl>
  </w:abstractNum>
  <w:abstractNum w:abstractNumId="17">
    <w:lvl w:ilvl="0">
      <w:start w:val="6"/>
      <w:numFmt w:val="decimal"/>
      <w:lvlText w:val="%1."/>
      <w:lvlJc w:val="start"/>
      <w:pPr>
        <w:tabs>
          <w:tab w:val="num" w:pos="360"/>
        </w:tabs>
        <w:ind w:start="360" w:hanging="360"/>
      </w:pPr>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bullet"/>
      <w:lvlText w:val=""/>
      <w:lvlJc w:val="start"/>
      <w:pPr>
        <w:tabs>
          <w:tab w:val="num" w:pos="720"/>
        </w:tabs>
        <w:ind w:start="720" w:hanging="720"/>
      </w:pPr>
      <w:rPr>
        <w:rFonts w:ascii="Symbol" w:hAnsi="Symbol" w:cs="Symbol" w:hint="default"/>
      </w:rPr>
    </w:lvl>
  </w:abstractNum>
  <w:abstractNum w:abstractNumId="21">
    <w:lvl w:ilvl="0">
      <w:start w:val="1"/>
      <w:numFmt w:val="bullet"/>
      <w:lvlText w:val=""/>
      <w:lvlJc w:val="start"/>
      <w:pPr>
        <w:tabs>
          <w:tab w:val="num" w:pos="720"/>
        </w:tabs>
        <w:ind w:start="720" w:hanging="720"/>
      </w:pPr>
      <w:rPr>
        <w:rFonts w:ascii="Symbol" w:hAnsi="Symbol" w:cs="Symbol" w:hint="default"/>
      </w:rPr>
    </w:lvl>
  </w:abstractNum>
  <w:abstractNum w:abstractNumId="22">
    <w:lvl w:ilvl="0">
      <w:start w:val="1"/>
      <w:numFmt w:val="bullet"/>
      <w:lvlText w:val=""/>
      <w:lvlJc w:val="start"/>
      <w:pPr>
        <w:tabs>
          <w:tab w:val="num" w:pos="720"/>
        </w:tabs>
        <w:ind w:start="720" w:hanging="720"/>
      </w:pPr>
      <w:rPr>
        <w:rFonts w:ascii="Symbol" w:hAnsi="Symbol" w:cs="Symbol" w:hint="default"/>
      </w:rPr>
    </w:lvl>
  </w:abstractNum>
  <w:abstractNum w:abstractNumId="23">
    <w:lvl w:ilvl="0">
      <w:start w:val="1"/>
      <w:numFmt w:val="bullet"/>
      <w:lvlText w:val=""/>
      <w:lvlJc w:val="start"/>
      <w:pPr>
        <w:tabs>
          <w:tab w:val="num" w:pos="720"/>
        </w:tabs>
        <w:ind w:start="720" w:hanging="720"/>
      </w:pPr>
      <w:rPr>
        <w:rFonts w:ascii="Symbol" w:hAnsi="Symbol" w:cs="Symbol" w:hint="default"/>
      </w:rPr>
    </w:lvl>
  </w:abstractNum>
  <w:abstractNum w:abstractNumId="24">
    <w:lvl w:ilvl="0">
      <w:start w:val="1"/>
      <w:numFmt w:val="bullet"/>
      <w:lvlText w:val=""/>
      <w:lvlJc w:val="start"/>
      <w:pPr>
        <w:tabs>
          <w:tab w:val="num" w:pos="720"/>
        </w:tabs>
        <w:ind w:start="720" w:hanging="720"/>
      </w:pPr>
      <w:rPr>
        <w:rFonts w:ascii="Symbol" w:hAnsi="Symbol" w:cs="Symbol" w:hint="default"/>
      </w:rPr>
    </w:lvl>
  </w:abstractNum>
  <w:abstractNum w:abstractNumId="25">
    <w:lvl w:ilvl="0">
      <w:start w:val="1"/>
      <w:numFmt w:val="bullet"/>
      <w:lvlText w:val=""/>
      <w:lvlJc w:val="start"/>
      <w:pPr>
        <w:tabs>
          <w:tab w:val="num" w:pos="720"/>
        </w:tabs>
        <w:ind w:start="720" w:hanging="720"/>
      </w:pPr>
      <w:rPr>
        <w:rFonts w:ascii="Symbol" w:hAnsi="Symbol" w:cs="Symbol" w:hint="default"/>
      </w:rPr>
    </w:lvl>
  </w:abstractNum>
  <w:abstractNum w:abstractNumId="26">
    <w:lvl w:ilvl="0">
      <w:start w:val="1"/>
      <w:numFmt w:val="bullet"/>
      <w:lvlText w:val=""/>
      <w:lvlJc w:val="start"/>
      <w:pPr>
        <w:tabs>
          <w:tab w:val="num" w:pos="720"/>
        </w:tabs>
        <w:ind w:start="720" w:hanging="720"/>
      </w:pPr>
      <w:rPr>
        <w:rFonts w:ascii="Symbol" w:hAnsi="Symbol" w:cs="Symbol" w:hint="default"/>
      </w:rPr>
    </w:lvl>
  </w:abstractNum>
  <w:abstractNum w:abstractNumId="27">
    <w:lvl w:ilvl="0">
      <w:start w:val="1"/>
      <w:numFmt w:val="bullet"/>
      <w:lvlText w:val=""/>
      <w:lvlJc w:val="start"/>
      <w:pPr>
        <w:tabs>
          <w:tab w:val="num" w:pos="720"/>
        </w:tabs>
        <w:ind w:start="720" w:hanging="720"/>
      </w:pPr>
      <w:rPr>
        <w:rFonts w:ascii="Symbol" w:hAnsi="Symbol" w:cs="Symbol" w:hint="default"/>
      </w:rPr>
    </w:lvl>
  </w:abstractNum>
  <w:abstractNum w:abstractNumId="28">
    <w:lvl w:ilvl="0">
      <w:start w:val="1"/>
      <w:numFmt w:val="bullet"/>
      <w:lvlText w:val=""/>
      <w:lvlJc w:val="start"/>
      <w:pPr>
        <w:tabs>
          <w:tab w:val="num" w:pos="720"/>
        </w:tabs>
        <w:ind w:start="720" w:hanging="720"/>
      </w:pPr>
      <w:rPr>
        <w:rFonts w:ascii="Symbol" w:hAnsi="Symbol" w:cs="Symbol" w:hint="default"/>
      </w:rPr>
    </w:lvl>
  </w:abstractNum>
  <w:abstractNum w:abstractNumId="29">
    <w:lvl w:ilvl="0">
      <w:start w:val="1"/>
      <w:numFmt w:val="bullet"/>
      <w:lvlText w:val=""/>
      <w:lvlJc w:val="start"/>
      <w:pPr>
        <w:tabs>
          <w:tab w:val="num" w:pos="720"/>
        </w:tabs>
        <w:ind w:start="720" w:hanging="720"/>
      </w:pPr>
      <w:rPr>
        <w:rFonts w:ascii="Symbol" w:hAnsi="Symbol" w:cs="Symbol" w:hint="default"/>
      </w:rPr>
    </w:lvl>
  </w:abstractNum>
  <w:abstractNum w:abstractNumId="30">
    <w:lvl w:ilvl="0">
      <w:start w:val="1"/>
      <w:numFmt w:val="bullet"/>
      <w:lvlText w:val=""/>
      <w:lvlJc w:val="start"/>
      <w:pPr>
        <w:tabs>
          <w:tab w:val="num" w:pos="720"/>
        </w:tabs>
        <w:ind w:start="720" w:hanging="720"/>
      </w:pPr>
      <w:rPr>
        <w:rFonts w:ascii="Symbol" w:hAnsi="Symbol" w:cs="Symbol" w:hint="default"/>
      </w:rPr>
    </w:lvl>
  </w:abstractNum>
  <w:abstractNum w:abstractNumId="31">
    <w:lvl w:ilvl="0">
      <w:start w:val="1"/>
      <w:numFmt w:val="bullet"/>
      <w:lvlText w:val=""/>
      <w:lvlJc w:val="start"/>
      <w:pPr>
        <w:tabs>
          <w:tab w:val="num" w:pos="720"/>
        </w:tabs>
        <w:ind w:start="720" w:hanging="720"/>
      </w:pPr>
      <w:rPr>
        <w:rFonts w:ascii="Symbol" w:hAnsi="Symbol" w:cs="Symbol" w:hint="default"/>
      </w:rPr>
    </w:lvl>
  </w:abstractNum>
  <w:abstractNum w:abstractNumId="32">
    <w:lvl w:ilvl="0">
      <w:start w:val="1"/>
      <w:numFmt w:val="bullet"/>
      <w:lvlText w:val=""/>
      <w:lvlJc w:val="start"/>
      <w:pPr>
        <w:tabs>
          <w:tab w:val="num" w:pos="720"/>
        </w:tabs>
        <w:ind w:start="720" w:hanging="720"/>
      </w:pPr>
      <w:rPr>
        <w:rFonts w:ascii="Symbol" w:hAnsi="Symbol" w:cs="Symbol" w:hint="default"/>
      </w:rPr>
    </w:lvl>
  </w:abstractNum>
  <w:abstractNum w:abstractNumId="33">
    <w:lvl w:ilvl="0">
      <w:start w:val="1"/>
      <w:numFmt w:val="bullet"/>
      <w:lvlText w:val=""/>
      <w:lvlJc w:val="start"/>
      <w:pPr>
        <w:tabs>
          <w:tab w:val="num" w:pos="720"/>
        </w:tabs>
        <w:ind w:start="720" w:hanging="720"/>
      </w:pPr>
      <w:rPr>
        <w:rFonts w:ascii="Symbol" w:hAnsi="Symbol" w:cs="Symbol" w:hint="default"/>
      </w:rPr>
    </w:lvl>
  </w:abstractNum>
  <w:abstractNum w:abstractNumId="34">
    <w:lvl w:ilvl="0">
      <w:start w:val="1"/>
      <w:numFmt w:val="bullet"/>
      <w:lvlText w:val=""/>
      <w:lvlJc w:val="start"/>
      <w:pPr>
        <w:tabs>
          <w:tab w:val="num" w:pos="720"/>
        </w:tabs>
        <w:ind w:start="720" w:hanging="720"/>
      </w:pPr>
      <w:rPr>
        <w:rFonts w:ascii="Symbol" w:hAnsi="Symbol" w:cs="Symbol" w:hint="default"/>
      </w:rPr>
    </w:lvl>
  </w:abstractNum>
  <w:abstractNum w:abstractNumId="35">
    <w:lvl w:ilvl="0">
      <w:start w:val="1"/>
      <w:numFmt w:val="bullet"/>
      <w:lvlText w:val=""/>
      <w:lvlJc w:val="start"/>
      <w:pPr>
        <w:tabs>
          <w:tab w:val="num" w:pos="720"/>
        </w:tabs>
        <w:ind w:start="720" w:hanging="720"/>
      </w:pPr>
      <w:rPr>
        <w:rFonts w:ascii="Symbol" w:hAnsi="Symbol" w:cs="Symbol" w:hint="default"/>
      </w:rPr>
    </w:lvl>
  </w:abstractNum>
  <w:abstractNum w:abstractNumId="36">
    <w:lvl w:ilvl="0">
      <w:start w:val="1"/>
      <w:numFmt w:val="bullet"/>
      <w:lvlText w:val=""/>
      <w:lvlJc w:val="start"/>
      <w:pPr>
        <w:tabs>
          <w:tab w:val="num" w:pos="720"/>
        </w:tabs>
        <w:ind w:start="720" w:hanging="720"/>
      </w:pPr>
      <w:rPr>
        <w:rFonts w:ascii="Symbol" w:hAnsi="Symbol" w:cs="Symbol" w:hint="default"/>
      </w:rPr>
    </w:lvl>
  </w:abstractNum>
  <w:abstractNum w:abstractNumId="37">
    <w:lvl w:ilvl="0">
      <w:start w:val="22"/>
      <w:numFmt w:val="decimal"/>
      <w:lvlText w:val="%1."/>
      <w:lvlJc w:val="start"/>
      <w:pPr>
        <w:tabs>
          <w:tab w:val="num" w:pos="450"/>
        </w:tabs>
        <w:ind w:start="450" w:hanging="450"/>
      </w:pPr>
      <w:rPr/>
    </w:lvl>
  </w:abstractNum>
  <w:abstractNum w:abstractNumId="38">
    <w:lvl w:ilvl="0">
      <w:start w:val="1"/>
      <w:numFmt w:val="bullet"/>
      <w:lvlText w:val=""/>
      <w:lvlJc w:val="start"/>
      <w:pPr>
        <w:tabs>
          <w:tab w:val="num" w:pos="720"/>
        </w:tabs>
        <w:ind w:start="720" w:hanging="720"/>
      </w:pPr>
      <w:rPr>
        <w:rFonts w:ascii="Symbol" w:hAnsi="Symbol" w:cs="Symbol" w:hint="default"/>
      </w:rPr>
    </w:lvl>
  </w:abstractNum>
  <w:abstractNum w:abstractNumId="39">
    <w:lvl w:ilvl="0">
      <w:start w:val="1"/>
      <w:numFmt w:val="bullet"/>
      <w:lvlText w:val=""/>
      <w:lvlJc w:val="start"/>
      <w:pPr>
        <w:tabs>
          <w:tab w:val="num" w:pos="720"/>
        </w:tabs>
        <w:ind w:start="720" w:hanging="720"/>
      </w:pPr>
      <w:rPr>
        <w:rFonts w:ascii="Symbol" w:hAnsi="Symbol" w:cs="Symbol" w:hint="default"/>
      </w:rPr>
    </w:lvl>
  </w:abstractNum>
  <w:abstractNum w:abstractNumId="40">
    <w:lvl w:ilvl="0">
      <w:start w:val="1"/>
      <w:numFmt w:val="bullet"/>
      <w:lvlText w:val=""/>
      <w:lvlJc w:val="start"/>
      <w:pPr>
        <w:tabs>
          <w:tab w:val="num" w:pos="720"/>
        </w:tabs>
        <w:ind w:start="720" w:hanging="72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color w:val="000000"/>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720"/>
        </w:tabs>
        <w:ind w:start="72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o"/>
      <w:lvlJc w:val="start"/>
      <w:pPr>
        <w:tabs>
          <w:tab w:val="num" w:pos="2160"/>
        </w:tabs>
        <w:ind w:start="2160" w:hanging="360"/>
      </w:pPr>
      <w:rPr>
        <w:rFonts w:ascii="Courier New" w:hAnsi="Courier New" w:cs="Courier New"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o"/>
      <w:lvlJc w:val="start"/>
      <w:pPr>
        <w:tabs>
          <w:tab w:val="num" w:pos="4320"/>
        </w:tabs>
        <w:ind w:start="4320" w:hanging="360"/>
      </w:pPr>
      <w:rPr>
        <w:rFonts w:ascii="Courier New" w:hAnsi="Courier New" w:cs="Courier New" w:hint="default"/>
      </w:rPr>
    </w:lvl>
    <w:lvl w:ilvl="8">
      <w:start w:val="1"/>
      <w:numFmt w:val="bullet"/>
      <w:lvlText w:val=""/>
      <w:lvlJc w:val="start"/>
      <w:pPr>
        <w:tabs>
          <w:tab w:val="num" w:pos="5040"/>
        </w:tabs>
        <w:ind w:start="5040" w:hanging="360"/>
      </w:pPr>
      <w:rPr>
        <w:rFonts w:ascii="Wingdings" w:hAnsi="Wingdings" w:cs="Wingdings" w:hint="default"/>
      </w:rPr>
    </w:lvl>
  </w:abstractNum>
  <w:abstractNum w:abstractNumId="42">
    <w:lvl w:ilvl="0">
      <w:start w:val="1"/>
      <w:numFmt w:val="bullet"/>
      <w:lvlText w:val=""/>
      <w:lvlJc w:val="start"/>
      <w:pPr>
        <w:tabs>
          <w:tab w:val="num" w:pos="720"/>
        </w:tabs>
        <w:ind w:start="720" w:hanging="720"/>
      </w:pPr>
      <w:rPr>
        <w:rFonts w:ascii="Symbol" w:hAnsi="Symbol" w:cs="Symbol" w:hint="default"/>
      </w:rPr>
    </w:lvl>
  </w:abstractNum>
  <w:abstractNum w:abstractNumId="43">
    <w:lvl w:ilvl="0">
      <w:start w:val="1"/>
      <w:numFmt w:val="bullet"/>
      <w:lvlText w:val=""/>
      <w:lvlJc w:val="start"/>
      <w:pPr>
        <w:tabs>
          <w:tab w:val="num" w:pos="720"/>
        </w:tabs>
        <w:ind w:start="720" w:hanging="720"/>
      </w:pPr>
      <w:rPr>
        <w:rFonts w:ascii="Symbol" w:hAnsi="Symbol" w:cs="Symbol" w:hint="default"/>
      </w:rPr>
    </w:lvl>
  </w:abstractNum>
  <w:abstractNum w:abstractNumId="44">
    <w:lvl w:ilvl="0">
      <w:start w:val="1"/>
      <w:numFmt w:val="bullet"/>
      <w:lvlText w:val=""/>
      <w:lvlJc w:val="start"/>
      <w:pPr>
        <w:tabs>
          <w:tab w:val="num" w:pos="720"/>
        </w:tabs>
        <w:ind w:start="720" w:hanging="720"/>
      </w:pPr>
      <w:rPr>
        <w:rFonts w:ascii="Symbol" w:hAnsi="Symbol" w:cs="Symbol" w:hint="default"/>
      </w:rPr>
    </w:lvl>
  </w:abstractNum>
  <w:abstractNum w:abstractNumId="45">
    <w:lvl w:ilvl="0">
      <w:start w:val="1"/>
      <w:numFmt w:val="bullet"/>
      <w:lvlText w:val=""/>
      <w:lvlJc w:val="start"/>
      <w:pPr>
        <w:tabs>
          <w:tab w:val="num" w:pos="720"/>
        </w:tabs>
        <w:ind w:start="720" w:hanging="720"/>
      </w:pPr>
      <w:rPr>
        <w:rFonts w:ascii="Symbol" w:hAnsi="Symbol" w:cs="Symbol" w:hint="default"/>
      </w:rPr>
    </w:lvl>
  </w:abstractNum>
  <w:abstractNum w:abstractNumId="46">
    <w:lvl w:ilvl="0">
      <w:start w:val="1"/>
      <w:numFmt w:val="bullet"/>
      <w:lvlText w:val=""/>
      <w:lvlJc w:val="start"/>
      <w:pPr>
        <w:tabs>
          <w:tab w:val="num" w:pos="720"/>
        </w:tabs>
        <w:ind w:start="720" w:hanging="720"/>
      </w:pPr>
      <w:rPr>
        <w:rFonts w:ascii="Symbol" w:hAnsi="Symbol" w:cs="Symbol" w:hint="default"/>
      </w:rPr>
    </w:lvl>
  </w:abstractNum>
  <w:abstractNum w:abstractNumId="47">
    <w:lvl w:ilvl="0">
      <w:start w:val="1"/>
      <w:numFmt w:val="bullet"/>
      <w:lvlText w:val=""/>
      <w:lvlJc w:val="start"/>
      <w:pPr>
        <w:tabs>
          <w:tab w:val="num" w:pos="720"/>
        </w:tabs>
        <w:ind w:start="720" w:hanging="720"/>
      </w:pPr>
      <w:rPr>
        <w:rFonts w:ascii="Symbol" w:hAnsi="Symbol" w:cs="Symbol" w:hint="default"/>
      </w:rPr>
    </w:lvl>
  </w:abstractNum>
  <w:abstractNum w:abstractNumId="48">
    <w:lvl w:ilvl="0">
      <w:start w:val="1"/>
      <w:numFmt w:val="bullet"/>
      <w:lvlText w:val=""/>
      <w:lvlJc w:val="start"/>
      <w:pPr>
        <w:tabs>
          <w:tab w:val="num" w:pos="720"/>
        </w:tabs>
        <w:ind w:start="720" w:hanging="720"/>
      </w:pPr>
      <w:rPr>
        <w:rFonts w:ascii="Symbol" w:hAnsi="Symbol" w:cs="Symbol" w:hint="default"/>
      </w:rPr>
    </w:lvl>
  </w:abstractNum>
  <w:abstractNum w:abstractNumId="49">
    <w:lvl w:ilvl="0">
      <w:start w:val="1"/>
      <w:numFmt w:val="bullet"/>
      <w:lvlText w:val=""/>
      <w:lvlJc w:val="start"/>
      <w:pPr>
        <w:tabs>
          <w:tab w:val="num" w:pos="720"/>
        </w:tabs>
        <w:ind w:start="720" w:hanging="720"/>
      </w:pPr>
      <w:rPr>
        <w:rFonts w:ascii="Symbol" w:hAnsi="Symbol" w:cs="Symbol" w:hint="default"/>
      </w:rPr>
    </w:lvl>
  </w:abstractNum>
  <w:abstractNum w:abstractNumId="50">
    <w:lvl w:ilvl="0">
      <w:start w:val="1"/>
      <w:numFmt w:val="bullet"/>
      <w:lvlText w:val=""/>
      <w:lvlJc w:val="start"/>
      <w:pPr>
        <w:tabs>
          <w:tab w:val="num" w:pos="720"/>
        </w:tabs>
        <w:ind w:start="720" w:hanging="720"/>
      </w:pPr>
      <w:rPr>
        <w:rFonts w:ascii="Symbol" w:hAnsi="Symbol" w:cs="Symbol" w:hint="default"/>
      </w:rPr>
    </w:lvl>
  </w:abstractNum>
  <w:abstractNum w:abstractNumId="51">
    <w:lvl w:ilvl="0">
      <w:start w:val="1"/>
      <w:numFmt w:val="bullet"/>
      <w:lvlText w:val=""/>
      <w:lvlJc w:val="start"/>
      <w:pPr>
        <w:tabs>
          <w:tab w:val="num" w:pos="720"/>
        </w:tabs>
        <w:ind w:start="720" w:hanging="720"/>
      </w:pPr>
      <w:rPr>
        <w:rFonts w:ascii="Symbol" w:hAnsi="Symbol" w:cs="Symbol" w:hint="default"/>
      </w:rPr>
    </w:lvl>
  </w:abstractNum>
  <w:abstractNum w:abstractNumId="52">
    <w:lvl w:ilvl="0">
      <w:start w:val="1"/>
      <w:numFmt w:val="bullet"/>
      <w:lvlText w:val=""/>
      <w:lvlJc w:val="start"/>
      <w:pPr>
        <w:tabs>
          <w:tab w:val="num" w:pos="720"/>
        </w:tabs>
        <w:ind w:start="720" w:hanging="72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720"/>
        </w:tabs>
        <w:ind w:start="720" w:hanging="720"/>
      </w:pPr>
      <w:rPr>
        <w:rFonts w:ascii="Symbol" w:hAnsi="Symbol" w:cs="Symbol" w:hint="default"/>
      </w:rPr>
    </w:lvl>
  </w:abstractNum>
  <w:abstractNum w:abstractNumId="55">
    <w:lvl w:ilvl="0">
      <w:start w:val="1"/>
      <w:numFmt w:val="bullet"/>
      <w:lvlText w:val=""/>
      <w:lvlJc w:val="start"/>
      <w:pPr>
        <w:tabs>
          <w:tab w:val="num" w:pos="720"/>
        </w:tabs>
        <w:ind w:start="720" w:hanging="720"/>
      </w:pPr>
      <w:rPr>
        <w:rFonts w:ascii="Symbol" w:hAnsi="Symbol" w:cs="Symbol" w:hint="default"/>
      </w:rPr>
    </w:lvl>
  </w:abstractNum>
  <w:abstractNum w:abstractNumId="56">
    <w:lvl w:ilvl="0">
      <w:start w:val="1"/>
      <w:numFmt w:val="bullet"/>
      <w:lvlText w:val=""/>
      <w:lvlJc w:val="start"/>
      <w:pPr>
        <w:tabs>
          <w:tab w:val="num" w:pos="720"/>
        </w:tabs>
        <w:ind w:start="720" w:hanging="720"/>
      </w:pPr>
      <w:rPr>
        <w:rFonts w:ascii="Symbol" w:hAnsi="Symbol" w:cs="Symbol" w:hint="default"/>
      </w:rPr>
    </w:lvl>
  </w:abstractNum>
  <w:abstractNum w:abstractNumId="57">
    <w:lvl w:ilvl="0">
      <w:start w:val="1"/>
      <w:numFmt w:val="bullet"/>
      <w:lvlText w:val=""/>
      <w:lvlJc w:val="start"/>
      <w:pPr>
        <w:tabs>
          <w:tab w:val="num" w:pos="720"/>
        </w:tabs>
        <w:ind w:start="720" w:hanging="720"/>
      </w:pPr>
      <w:rPr>
        <w:rFonts w:ascii="Symbol" w:hAnsi="Symbol" w:cs="Symbol" w:hint="default"/>
      </w:rPr>
    </w:lvl>
  </w:abstractNum>
  <w:abstractNum w:abstractNumId="5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00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color w:val="00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color w:val="00000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verflowPunct w:val="false"/>
      <w:autoSpaceDE w:val="false"/>
      <w:jc w:val="both"/>
      <w:textAlignment w:val="baseline"/>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2000-07-05T20:06:00Z</dcterms:created>
  <dc:creator>Sarah Dennison-Leonard</dc:creator>
  <dc:description/>
  <dc:language>en-CA</dc:language>
  <cp:lastModifiedBy>Sarah Dennison-Leonard</cp:lastModifiedBy>
  <cp:lastPrinted>2000-07-07T17:27:00Z</cp:lastPrinted>
  <dcterms:modified xsi:type="dcterms:W3CDTF">2000-07-07T23:09:00Z</dcterms:modified>
  <cp:revision>191</cp:revision>
  <dc:subject/>
  <dc:title/>
</cp:coreProperties>
</file>