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t>MEMORANDUM</w:t>
      </w:r>
    </w:p>
    <w:p>
      <w:pPr>
        <w:pStyle w:val="Normal"/>
        <w:rPr>
          <w:sz w:val="24"/>
        </w:rPr>
      </w:pPr>
      <w:r>
        <w:rPr>
          <w:sz w:val="24"/>
        </w:rPr>
      </w:r>
    </w:p>
    <w:p>
      <w:pPr>
        <w:pStyle w:val="Normal"/>
        <w:rPr/>
      </w:pPr>
      <w:r>
        <w:rPr/>
        <w:t>To:</w:t>
        <w:tab/>
        <w:tab/>
        <w:t>Ken Lay</w:t>
      </w:r>
    </w:p>
    <w:p>
      <w:pPr>
        <w:pStyle w:val="Normal"/>
        <w:rPr/>
      </w:pPr>
      <w:r>
        <w:rPr/>
      </w:r>
    </w:p>
    <w:p>
      <w:pPr>
        <w:pStyle w:val="Normal"/>
        <w:rPr/>
      </w:pPr>
      <w:r>
        <w:rPr/>
        <w:t>Cc:</w:t>
        <w:tab/>
        <w:tab/>
        <w:t>Steve Kean, Mike Terraso, Rick Shapiro, Joe Hillings</w:t>
      </w:r>
    </w:p>
    <w:p>
      <w:pPr>
        <w:pStyle w:val="Normal"/>
        <w:rPr/>
      </w:pPr>
      <w:r>
        <w:rPr/>
      </w:r>
    </w:p>
    <w:p>
      <w:pPr>
        <w:pStyle w:val="Normal"/>
        <w:rPr/>
      </w:pPr>
      <w:r>
        <w:rPr/>
        <w:t>From:</w:t>
        <w:tab/>
        <w:tab/>
        <w:t>Jeff Keeler</w:t>
      </w:r>
    </w:p>
    <w:p>
      <w:pPr>
        <w:pStyle w:val="Normal"/>
        <w:rPr/>
      </w:pPr>
      <w:r>
        <w:rPr/>
        <w:tab/>
        <w:tab/>
        <w:t>Director, Environmental Strategies</w:t>
      </w:r>
    </w:p>
    <w:p>
      <w:pPr>
        <w:pStyle w:val="Normal"/>
        <w:rPr/>
      </w:pPr>
      <w:r>
        <w:rPr/>
      </w:r>
    </w:p>
    <w:p>
      <w:pPr>
        <w:pStyle w:val="Normal"/>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t>Subject:</w:t>
        <w:tab/>
        <w:t>Background Information on Air Quality Issues for GHP Meetings</w:t>
      </w:r>
    </w:p>
    <w:p>
      <w:pPr>
        <w:pStyle w:val="Normal"/>
        <w:pBdr>
          <w:bottom w:val="single" w:sz="12" w:space="1" w:color="000000"/>
        </w:pBdr>
        <w:rPr/>
      </w:pPr>
      <w:r>
        <w:rPr/>
      </w:r>
    </w:p>
    <w:p>
      <w:pPr>
        <w:pStyle w:val="Normal"/>
        <w:rPr/>
      </w:pPr>
      <w:r>
        <w:rPr/>
      </w:r>
    </w:p>
    <w:p>
      <w:pPr>
        <w:pStyle w:val="Normal"/>
        <w:rPr/>
      </w:pPr>
      <w:r>
        <w:rPr/>
        <w:t>I thought it might be helpful to summarize some of Enron’s recent activities and positions on Air Quality issues that may come up as part of the Greater Houston Partnership meetings with policy-makers on Wednesday, May 17.</w:t>
      </w:r>
    </w:p>
    <w:p>
      <w:pPr>
        <w:pStyle w:val="Normal"/>
        <w:rPr/>
      </w:pPr>
      <w:r>
        <w:rPr/>
      </w:r>
    </w:p>
    <w:p>
      <w:pPr>
        <w:pStyle w:val="Normal"/>
        <w:numPr>
          <w:ilvl w:val="0"/>
          <w:numId w:val="6"/>
        </w:numPr>
        <w:rPr>
          <w:b/>
        </w:rPr>
      </w:pPr>
      <w:r>
        <w:rPr>
          <w:b/>
        </w:rPr>
        <w:t>Clean Air Act/Houston Non-Attainment:</w:t>
      </w:r>
    </w:p>
    <w:p>
      <w:pPr>
        <w:pStyle w:val="Normal"/>
        <w:rPr>
          <w:b/>
        </w:rPr>
      </w:pPr>
      <w:r>
        <w:rPr>
          <w:b/>
        </w:rPr>
      </w:r>
    </w:p>
    <w:p>
      <w:pPr>
        <w:pStyle w:val="Normal"/>
        <w:rPr/>
      </w:pPr>
      <w:r>
        <w:rPr/>
        <w:t xml:space="preserve">Clean air issues impact Enron in a number of ways – having compliance effects on operations while offering opportunities to many of our businesses.   Under Mike Terraso’s Environment, Health and Safety organization, we have worked with all the business units to craft broad principles that support Enron’s  “Clean Air Strategy.”   In terms of clean air regulation and legislation (including activities to bring Houston into ozone attainment), Enron supports:  </w:t>
      </w:r>
    </w:p>
    <w:p>
      <w:pPr>
        <w:pStyle w:val="Normal"/>
        <w:rPr>
          <w:b/>
        </w:rPr>
      </w:pPr>
      <w:r>
        <w:rPr>
          <w:b/>
        </w:rPr>
      </w:r>
    </w:p>
    <w:p>
      <w:pPr>
        <w:pStyle w:val="Heading2"/>
        <w:numPr>
          <w:ilvl w:val="0"/>
          <w:numId w:val="3"/>
        </w:numPr>
        <w:rPr>
          <w:rFonts w:ascii="Georgia" w:hAnsi="Georgia" w:cs="Georgia"/>
          <w:sz w:val="24"/>
        </w:rPr>
      </w:pPr>
      <w:r>
        <w:rPr>
          <w:rFonts w:cs="Georgia" w:ascii="Georgia" w:hAnsi="Georgia"/>
          <w:sz w:val="24"/>
        </w:rPr>
        <w:t>Policies that promote competition and market-based solutions</w:t>
      </w:r>
    </w:p>
    <w:p>
      <w:pPr>
        <w:pStyle w:val="Normal"/>
        <w:numPr>
          <w:ilvl w:val="0"/>
          <w:numId w:val="5"/>
        </w:numPr>
        <w:tabs>
          <w:tab w:val="left" w:pos="720" w:leader="none"/>
        </w:tabs>
        <w:ind w:hanging="360" w:start="720" w:end="0"/>
        <w:rPr/>
      </w:pPr>
      <w:r>
        <w:rPr/>
        <w:t>Open and liquid trading markets (particularly for emissions allowances)</w:t>
      </w:r>
    </w:p>
    <w:p>
      <w:pPr>
        <w:pStyle w:val="Heading2"/>
        <w:numPr>
          <w:ilvl w:val="0"/>
          <w:numId w:val="4"/>
        </w:numPr>
        <w:tabs>
          <w:tab w:val="left" w:pos="720" w:leader="none"/>
        </w:tabs>
        <w:ind w:hanging="360" w:start="720" w:end="0"/>
        <w:rPr>
          <w:rFonts w:ascii="Georgia" w:hAnsi="Georgia" w:cs="Georgia"/>
          <w:sz w:val="24"/>
        </w:rPr>
      </w:pPr>
      <w:r>
        <w:rPr>
          <w:rFonts w:cs="Georgia" w:ascii="Georgia" w:hAnsi="Georgia"/>
          <w:sz w:val="24"/>
        </w:rPr>
        <w:t>“</w:t>
      </w:r>
      <w:r>
        <w:rPr>
          <w:rFonts w:cs="Georgia" w:ascii="Georgia" w:hAnsi="Georgia"/>
          <w:sz w:val="24"/>
        </w:rPr>
        <w:t>Optionality”</w:t>
      </w:r>
    </w:p>
    <w:p>
      <w:pPr>
        <w:pStyle w:val="Heading2"/>
        <w:numPr>
          <w:ilvl w:val="0"/>
          <w:numId w:val="4"/>
        </w:numPr>
        <w:rPr>
          <w:rFonts w:ascii="Georgia" w:hAnsi="Georgia" w:cs="Georgia"/>
          <w:sz w:val="24"/>
        </w:rPr>
      </w:pPr>
      <w:r>
        <w:rPr>
          <w:rFonts w:cs="Georgia" w:ascii="Georgia" w:hAnsi="Georgia"/>
          <w:sz w:val="24"/>
        </w:rPr>
        <w:t xml:space="preserve">Certainty of regulations (i.e., national or regional standards rather than state-by-state or localized) - allows risk management in long term </w:t>
      </w:r>
    </w:p>
    <w:p>
      <w:pPr>
        <w:pStyle w:val="Heading2"/>
        <w:numPr>
          <w:ilvl w:val="0"/>
          <w:numId w:val="4"/>
        </w:numPr>
        <w:rPr>
          <w:rFonts w:ascii="Georgia" w:hAnsi="Georgia" w:cs="Georgia"/>
          <w:sz w:val="24"/>
        </w:rPr>
      </w:pPr>
      <w:r>
        <w:rPr>
          <w:rFonts w:cs="Georgia" w:ascii="Georgia" w:hAnsi="Georgia"/>
          <w:sz w:val="24"/>
        </w:rPr>
        <w:t>Policies that promote clean energy and energy efficiency</w:t>
      </w:r>
    </w:p>
    <w:p>
      <w:pPr>
        <w:pStyle w:val="Heading2"/>
        <w:numPr>
          <w:ilvl w:val="0"/>
          <w:numId w:val="4"/>
        </w:numPr>
        <w:rPr>
          <w:rFonts w:ascii="Georgia" w:hAnsi="Georgia" w:cs="Georgia"/>
          <w:sz w:val="24"/>
        </w:rPr>
      </w:pPr>
      <w:r>
        <w:rPr>
          <w:rFonts w:cs="Georgia" w:ascii="Georgia" w:hAnsi="Georgia"/>
          <w:sz w:val="24"/>
        </w:rPr>
        <w:t>Flexibility for compliance and permitting  (particularly for good actors)</w:t>
      </w:r>
    </w:p>
    <w:p>
      <w:pPr>
        <w:pStyle w:val="Heading2"/>
        <w:numPr>
          <w:ilvl w:val="0"/>
          <w:numId w:val="4"/>
        </w:numPr>
        <w:rPr>
          <w:rFonts w:ascii="Georgia" w:hAnsi="Georgia" w:cs="Georgia"/>
          <w:sz w:val="24"/>
        </w:rPr>
      </w:pPr>
      <w:r>
        <w:rPr>
          <w:rFonts w:cs="Georgia" w:ascii="Georgia" w:hAnsi="Georgia"/>
          <w:sz w:val="24"/>
        </w:rPr>
        <w:t>Consistency in new environmental compliance laws (Renewable portfolio standards, environmental disclosure/labeling)</w:t>
      </w:r>
    </w:p>
    <w:p>
      <w:pPr>
        <w:pStyle w:val="Normal"/>
        <w:rPr>
          <w:rFonts w:ascii="Georgia" w:hAnsi="Georgia" w:cs="Georgia"/>
          <w:sz w:val="24"/>
        </w:rPr>
      </w:pPr>
      <w:r>
        <w:rPr>
          <w:rFonts w:cs="Georgia"/>
          <w:sz w:val="24"/>
        </w:rPr>
      </w:r>
    </w:p>
    <w:p>
      <w:pPr>
        <w:pStyle w:val="Normal"/>
        <w:rPr/>
      </w:pPr>
      <w:r>
        <w:rPr/>
        <w:t>I have attached as background a more lengthy presentation on Enron’s Clean Air Act strategy that outlines many of the business unit needs (p. 11-18) and specific strategies we will pursue towards fulfillment of these principles.</w:t>
      </w:r>
    </w:p>
    <w:p>
      <w:pPr>
        <w:pStyle w:val="Normal"/>
        <w:rPr/>
      </w:pPr>
      <w:r>
        <w:rPr/>
      </w:r>
    </w:p>
    <w:p>
      <w:pPr>
        <w:pStyle w:val="Normal"/>
        <w:numPr>
          <w:ilvl w:val="0"/>
          <w:numId w:val="6"/>
        </w:numPr>
        <w:rPr>
          <w:b/>
        </w:rPr>
      </w:pPr>
      <w:r>
        <w:rPr>
          <w:b/>
        </w:rPr>
        <w:t>Climate Change:</w:t>
      </w:r>
    </w:p>
    <w:p>
      <w:pPr>
        <w:pStyle w:val="Normal"/>
        <w:rPr>
          <w:b/>
        </w:rPr>
      </w:pPr>
      <w:r>
        <w:rPr>
          <w:b/>
        </w:rPr>
      </w:r>
    </w:p>
    <w:p>
      <w:pPr>
        <w:pStyle w:val="Normal"/>
        <w:rPr/>
      </w:pPr>
      <w:r>
        <w:rPr/>
        <w:t>As an FYI – I received a letter produced by Rep. Henry Waxman (D-CA) that lists Enron as a member of the Pew Center that is “willing to engage in a dialogue” on climate change.   Because the purpose of Waxman’s letter is to ask colleagues to oppose amendments to the EPA appropriations bill by Rep. Joe Knollenberg (R-MI) which would prohibit the use of EPA funds for any climate change activities related to the Kyoto treaty, some have read this letter to mean that Enron has taken a specific position against the Knollenberg amendments.</w:t>
      </w:r>
    </w:p>
    <w:p>
      <w:pPr>
        <w:pStyle w:val="Normal"/>
        <w:rPr/>
      </w:pPr>
      <w:r>
        <w:rPr/>
      </w:r>
    </w:p>
    <w:p>
      <w:pPr>
        <w:pStyle w:val="Normal"/>
        <w:rPr/>
      </w:pPr>
      <w:r>
        <w:rPr/>
        <w:t xml:space="preserve">In particular, I was told that Randy Randall of Exxon/Mobil may approach you during the GHP meetings to discuss this issue.   </w:t>
      </w:r>
    </w:p>
    <w:p>
      <w:pPr>
        <w:pStyle w:val="Normal"/>
        <w:rPr/>
      </w:pPr>
      <w:r>
        <w:rPr/>
      </w:r>
    </w:p>
    <w:p>
      <w:pPr>
        <w:pStyle w:val="Normal"/>
        <w:rPr/>
      </w:pPr>
      <w:r>
        <w:rPr/>
        <w:t xml:space="preserve">Enron has taken </w:t>
      </w:r>
      <w:r>
        <w:rPr>
          <w:b/>
          <w:u w:val="single"/>
        </w:rPr>
        <w:t>no position</w:t>
      </w:r>
      <w:r>
        <w:rPr/>
        <w:t xml:space="preserve"> whatsoever on the Knollenberg amendment, and we have not participated in any advocacy efforts for or against such amendments.   Pew Center and the Business Council for Sustainable Energy have voiced concerns with the Knollenberg amendments, but I hope they have not characterized Enron as having an official position on the issue.   The Waxman letter (attached) does not seem to state that Enron has a specific position on the Knollenberg amendments.</w:t>
      </w:r>
    </w:p>
    <w:p>
      <w:pPr>
        <w:pStyle w:val="Normal"/>
        <w:rPr/>
      </w:pPr>
      <w:r>
        <w:rPr/>
      </w:r>
    </w:p>
    <w:p>
      <w:pPr>
        <w:pStyle w:val="Normal"/>
        <w:numPr>
          <w:ilvl w:val="0"/>
          <w:numId w:val="6"/>
        </w:numPr>
        <w:rPr>
          <w:b/>
        </w:rPr>
      </w:pPr>
      <w:r>
        <w:rPr>
          <w:b/>
        </w:rPr>
        <w:t>MTBE</w:t>
      </w:r>
    </w:p>
    <w:p>
      <w:pPr>
        <w:pStyle w:val="Normal"/>
        <w:rPr>
          <w:b/>
        </w:rPr>
      </w:pPr>
      <w:r>
        <w:rPr>
          <w:b/>
        </w:rPr>
      </w:r>
    </w:p>
    <w:p>
      <w:pPr>
        <w:pStyle w:val="Normal"/>
        <w:rPr/>
      </w:pPr>
      <w:r>
        <w:rPr/>
        <w:t>Legislation and regulation targeted at phasing out or banning MTBE from reformulated gasoline (RFG) has received much attention lately, and is one of the foremost air quality issue on the minds of many policy-makers you will be meeting (Bob Perciasepe/EPA and Rep. Gene Green in particular).  Politically, there is a perception that something needs to be done immediately about MTBE water contamination, and environmental groups, states, refiners, and especially ethanol interests are increasing the pressure on Congress and EPA to act.</w:t>
      </w:r>
    </w:p>
    <w:p>
      <w:pPr>
        <w:pStyle w:val="Normal"/>
        <w:rPr/>
      </w:pPr>
      <w:r>
        <w:rPr/>
      </w:r>
    </w:p>
    <w:p>
      <w:pPr>
        <w:pStyle w:val="Normal"/>
        <w:rPr/>
      </w:pPr>
      <w:r>
        <w:rPr/>
        <w:t>There is no easy solution, due to several conflicting dynamics:</w:t>
      </w:r>
    </w:p>
    <w:p>
      <w:pPr>
        <w:pStyle w:val="Normal"/>
        <w:rPr/>
      </w:pPr>
      <w:r>
        <w:rPr/>
      </w:r>
    </w:p>
    <w:p>
      <w:pPr>
        <w:pStyle w:val="Normal"/>
        <w:numPr>
          <w:ilvl w:val="0"/>
          <w:numId w:val="2"/>
        </w:numPr>
        <w:rPr/>
      </w:pPr>
      <w:r>
        <w:rPr/>
        <w:t>Refiners and states would like Congress to lift the Clean Air Act mandate that RFG contain 2% oxygenate, so they can have flexibility to meet air standards without using MTBE or Ethanol.    MTBE and Ethanol oppose this.</w:t>
      </w:r>
    </w:p>
    <w:p>
      <w:pPr>
        <w:pStyle w:val="Normal"/>
        <w:numPr>
          <w:ilvl w:val="0"/>
          <w:numId w:val="2"/>
        </w:numPr>
        <w:rPr/>
      </w:pPr>
      <w:r>
        <w:rPr/>
        <w:t>Ethanol wants the 2% oxygenate standard to remain in place, but wants a ban on MTBE so they can capture a greater market share (in addition to their large tax subsidy).   MTBE and Refiners oppose this.</w:t>
      </w:r>
    </w:p>
    <w:p>
      <w:pPr>
        <w:pStyle w:val="Normal"/>
        <w:numPr>
          <w:ilvl w:val="0"/>
          <w:numId w:val="2"/>
        </w:numPr>
        <w:rPr/>
      </w:pPr>
      <w:r>
        <w:rPr/>
        <w:t>MTBE producers, in general, want the status quo.   If the 2% oxygenate mandate is lifted or MTBE is banned, they want conditions in place to ensure that alternatives to MTBE achieve the same air quality benefits.  They also would like to see some “incentives” for the industry to make the transition away from MTBE and toward other fuel additives.   Ethanol and Refiners oppose this.</w:t>
      </w:r>
    </w:p>
    <w:p>
      <w:pPr>
        <w:pStyle w:val="Normal"/>
        <w:numPr>
          <w:ilvl w:val="0"/>
          <w:numId w:val="2"/>
        </w:numPr>
        <w:rPr/>
      </w:pPr>
      <w:r>
        <w:rPr/>
        <w:t>Environmentalists want to maintain air quality while limiting water contamination; they also want refiners/marketers to be held liable for cleanup to leaking tanks.   Industry groups agree with different parts of this, but there is no consensus as to how it would be achieved.</w:t>
      </w:r>
    </w:p>
    <w:p>
      <w:pPr>
        <w:pStyle w:val="Normal"/>
        <w:rPr/>
      </w:pPr>
      <w:r>
        <w:rPr/>
      </w:r>
    </w:p>
    <w:p>
      <w:pPr>
        <w:pStyle w:val="Normal"/>
        <w:rPr/>
      </w:pPr>
      <w:r>
        <w:rPr>
          <w:b/>
        </w:rPr>
        <w:t>Enron’s position</w:t>
      </w:r>
      <w:r>
        <w:rPr/>
        <w:t xml:space="preserve"> – we have participated in efforts with other MTBE producers, but have tried to focus strictly on “incentives” or “exit strategies” (particularly given our write-down of the MTBE asset).  We are hopeful that Congress or the EPA (and environmentalists, refiners, ethanol, states) will support some type of incentives for MTBE producers to exit the market or convert to production of other additives (iso-octanes or alkalytes) in exchange for a phase-down or ban of MTBE.   One of the primary rationales is that we entered the MTBE business directly due to the federal 2% oxygenate mandate – reversing that mandate or banning MTBE requires the federal government to take responsibility and assist producers in transitioning out of the market.</w:t>
      </w:r>
    </w:p>
    <w:p>
      <w:pPr>
        <w:pStyle w:val="Normal"/>
        <w:rPr/>
      </w:pPr>
      <w:r>
        <w:rPr/>
      </w:r>
    </w:p>
    <w:p>
      <w:pPr>
        <w:pStyle w:val="Normal"/>
        <w:rPr/>
      </w:pPr>
      <w:r>
        <w:rPr/>
        <w:t>While stranded costs or protection from lawsuit liability are among the possible options, tax or R&amp;D incentives for MTBE plant conversion have emerged as more politically-palatable options.  We are working to reach out to all the various stakeholders in the MTBE debate to get support for some form of proposal that has value to our MTBE asset.</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 w:name="Monotype Sort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4455" cy="173355"/>
              <wp:effectExtent l="0" t="0" r="0" b="0"/>
              <wp:wrapSquare wrapText="bothSides"/>
              <wp:docPr id="1" name="Frame1"/>
              <a:graphic xmlns:a="http://schemas.openxmlformats.org/drawingml/2006/main">
                <a:graphicData uri="http://schemas.microsoft.com/office/word/2010/wordprocessingShape">
                  <wps:wsp>
                    <wps:cNvSpPr txBox="1"/>
                    <wps:spPr>
                      <a:xfrm>
                        <a:off x="0" y="0"/>
                        <a:ext cx="84455" cy="1733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5pt;height:13.65pt;mso-wrap-distance-left:0pt;mso-wrap-distance-right:0pt;mso-wrap-distance-top:0pt;mso-wrap-distance-bottom:0pt;margin-top:0.05pt;mso-position-vertical-relative:text;margin-left:230.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eorgia" w:hAnsi="Georgia" w:eastAsia="Times New Roman" w:cs="Georgi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numPr>
        <w:ilvl w:val="1"/>
        <w:numId w:val="1"/>
      </w:numPr>
      <w:ind w:hanging="270" w:start="270" w:end="0"/>
      <w:outlineLvl w:val="1"/>
    </w:pPr>
    <w:rPr>
      <w:rFonts w:ascii="Arial" w:hAnsi="Arial" w:cs="Arial"/>
      <w:sz w:val="28"/>
      <w:lang w:eastAsia="en-U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St2z0">
    <w:name w:val="WW8NumSt2z0"/>
    <w:qFormat/>
    <w:rPr>
      <w:rFonts w:ascii="Monotype Sorts" w:hAnsi="Monotype Sorts" w:cs="Monotype Sorts"/>
      <w:sz w:val="1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Memo</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2000-05-16T17:14:00Z</dcterms:created>
  <dc:creator>Jeffrey Keeler</dc:creator>
  <dc:description/>
  <dc:language>en-CA</dc:language>
  <cp:lastModifiedBy>Jeffrey Keeler</cp:lastModifiedBy>
  <dcterms:modified xsi:type="dcterms:W3CDTF">2000-05-16T18:44:00Z</dcterms:modified>
  <cp:revision>3</cp:revision>
  <dc:subject/>
  <dc:title>MEMORANDUM</dc:title>
</cp:coreProperties>
</file>