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Style w:val="Strong"/>
          <w:b/>
          <w:bCs/>
          <w:sz w:val="20"/>
          <w:lang w:val="en-CA" w:eastAsia="en-CA"/>
        </w:rPr>
      </w:pPr>
      <w:r>
        <w:rPr>
          <w:b/>
          <w:bCs/>
          <w:sz w:val="20"/>
          <w:lang w:val="en-CA" w:eastAsia="en-CA"/>
        </w:rPr>
        <w:drawing>
          <wp:anchor behindDoc="0" distT="0" distB="0" distL="114935" distR="114935" simplePos="0" locked="0" layoutInCell="1" allowOverlap="1" relativeHeight="10">
            <wp:simplePos x="0" y="0"/>
            <wp:positionH relativeFrom="column">
              <wp:posOffset>-1028700</wp:posOffset>
            </wp:positionH>
            <wp:positionV relativeFrom="paragraph">
              <wp:posOffset>-343535</wp:posOffset>
            </wp:positionV>
            <wp:extent cx="1485900" cy="55308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4" r="-6" b="-14"/>
                    <a:stretch>
                      <a:fillRect/>
                    </a:stretch>
                  </pic:blipFill>
                  <pic:spPr bwMode="auto">
                    <a:xfrm>
                      <a:off x="0" y="0"/>
                      <a:ext cx="1485900" cy="553085"/>
                    </a:xfrm>
                    <a:prstGeom prst="rect">
                      <a:avLst/>
                    </a:prstGeom>
                    <a:noFill/>
                  </pic:spPr>
                </pic:pic>
              </a:graphicData>
            </a:graphic>
          </wp:anchor>
        </w:drawing>
      </w:r>
    </w:p>
    <w:p>
      <w:pPr>
        <w:pStyle w:val="Normal"/>
        <w:rPr>
          <w:rStyle w:val="Strong"/>
        </w:rPr>
      </w:pPr>
      <w:r>
        <w:rPr/>
      </w:r>
    </w:p>
    <w:p>
      <w:pPr>
        <w:pStyle w:val="Heading1"/>
        <w:ind w:hanging="0" w:start="0"/>
        <w:jc w:val="both"/>
        <w:rPr/>
      </w:pPr>
      <w:r>
        <w:rPr>
          <w:rStyle w:val="Strong"/>
          <w:u w:val="single"/>
        </w:rPr>
        <w:t>MEMO</w:t>
      </w:r>
    </w:p>
    <w:p>
      <w:pPr>
        <w:pStyle w:val="Normal"/>
        <w:jc w:val="both"/>
        <w:rPr>
          <w:rStyle w:val="Strong"/>
          <w:u w:val="single"/>
        </w:rPr>
      </w:pPr>
      <w:r>
        <w:rPr/>
      </w:r>
    </w:p>
    <w:p>
      <w:pPr>
        <w:pStyle w:val="Header"/>
        <w:tabs>
          <w:tab w:val="clear" w:pos="4320"/>
          <w:tab w:val="clear" w:pos="8640"/>
        </w:tabs>
        <w:jc w:val="both"/>
        <w:rPr/>
      </w:pPr>
      <w:r>
        <w:rPr/>
        <w:t>TO:</w:t>
        <w:tab/>
        <w:tab/>
        <w:t>Email Recipients</w:t>
      </w:r>
    </w:p>
    <w:p>
      <w:pPr>
        <w:pStyle w:val="Normal"/>
        <w:jc w:val="both"/>
        <w:rPr/>
      </w:pPr>
      <w:r>
        <w:rPr/>
      </w:r>
    </w:p>
    <w:p>
      <w:pPr>
        <w:pStyle w:val="Normal"/>
        <w:jc w:val="both"/>
        <w:rPr/>
      </w:pPr>
      <w:r>
        <w:rPr/>
        <w:t>FROM:</w:t>
        <w:tab/>
        <w:t>Lisa Jacobson, Environmental Strategies</w:t>
      </w:r>
    </w:p>
    <w:p>
      <w:pPr>
        <w:pStyle w:val="Normal"/>
        <w:jc w:val="both"/>
        <w:rPr/>
      </w:pPr>
      <w:r>
        <w:rPr/>
      </w:r>
    </w:p>
    <w:p>
      <w:pPr>
        <w:pStyle w:val="Normal"/>
        <w:jc w:val="both"/>
        <w:rPr/>
      </w:pPr>
      <w:r>
        <w:rPr/>
        <w:t>DATE:</w:t>
        <w:tab/>
        <w:tab/>
        <w:t>October 29, 2001</w:t>
      </w:r>
    </w:p>
    <w:p>
      <w:pPr>
        <w:pStyle w:val="Normal"/>
        <w:jc w:val="both"/>
        <w:rPr/>
      </w:pPr>
      <w:r>
        <w:rPr/>
      </w:r>
    </w:p>
    <w:p>
      <w:pPr>
        <w:pStyle w:val="Normal"/>
        <w:jc w:val="both"/>
        <w:rPr/>
      </w:pPr>
      <w:r>
        <w:rPr/>
        <w:t>RE:</w:t>
        <w:tab/>
        <w:tab/>
        <w:t>Greenhouse Gas Emissions Market Overview and Pricing Issues</w:t>
      </w:r>
    </w:p>
    <w:p>
      <w:pPr>
        <w:pStyle w:val="Normal"/>
        <w:jc w:val="both"/>
        <w:rPr/>
      </w:pPr>
      <w:r>
        <w:rPr/>
        <w:tab/>
      </w:r>
    </w:p>
    <w:p>
      <w:pPr>
        <w:pStyle w:val="Heading1"/>
        <w:ind w:hanging="0" w:start="0"/>
        <w:jc w:val="both"/>
        <w:rPr>
          <w:rStyle w:val="Strong"/>
          <w:b/>
          <w:bCs/>
          <w:lang w:val="en-CA" w:eastAsia="en-CA"/>
        </w:rPr>
      </w:pPr>
      <w:r>
        <w:rPr>
          <w:b/>
          <w:bCs/>
          <w:lang w:val="en-CA" w:eastAsia="en-CA"/>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129540</wp:posOffset>
                </wp:positionV>
                <wp:extent cx="5943600" cy="0"/>
                <wp:effectExtent l="0" t="14605" r="0" b="14605"/>
                <wp:wrapNone/>
                <wp:docPr id="2" name=""/>
                <a:graphic xmlns:a="http://schemas.openxmlformats.org/drawingml/2006/main">
                  <a:graphicData uri="http://schemas.microsoft.com/office/word/2010/wordprocessingShape">
                    <wps:wsp>
                      <wps:cNvSpPr/>
                      <wps:spPr>
                        <a:xfrm>
                          <a:off x="0" y="0"/>
                          <a:ext cx="594360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10.2pt" to="467.95pt,10.2pt" stroked="t" o:allowincell="f" style="position:absolute">
                <v:stroke color="black" weight="28440" joinstyle="miter" endcap="flat"/>
                <v:fill o:detectmouseclick="t" on="false"/>
                <w10:wrap type="none"/>
              </v:line>
            </w:pict>
          </mc:Fallback>
        </mc:AlternateContent>
      </w:r>
    </w:p>
    <w:p>
      <w:pPr>
        <w:pStyle w:val="Normal"/>
        <w:jc w:val="both"/>
        <w:rPr>
          <w:rStyle w:val="Strong"/>
        </w:rPr>
      </w:pPr>
      <w:r>
        <w:rPr/>
      </w:r>
    </w:p>
    <w:p>
      <w:pPr>
        <w:pStyle w:val="Heading1"/>
        <w:ind w:hanging="0" w:start="0"/>
        <w:rPr/>
      </w:pPr>
      <w:r>
        <w:rPr>
          <w:rStyle w:val="Strong"/>
          <w:b w:val="false"/>
          <w:bCs w:val="false"/>
        </w:rPr>
        <w:t xml:space="preserve">This memo provides information on the potential international greenhouse gas emissions trading market.  It also discusses factors that impact current prices for greenhouse gas emissions transactions and identifies future market influences.  </w:t>
      </w:r>
    </w:p>
    <w:p>
      <w:pPr>
        <w:pStyle w:val="Header"/>
        <w:tabs>
          <w:tab w:val="clear" w:pos="4320"/>
          <w:tab w:val="clear" w:pos="8640"/>
        </w:tabs>
        <w:rPr>
          <w:rStyle w:val="Strong"/>
          <w:b w:val="false"/>
          <w:bCs w:val="false"/>
        </w:rPr>
      </w:pPr>
      <w:r>
        <w:rPr/>
      </w:r>
    </w:p>
    <w:p>
      <w:pPr>
        <w:pStyle w:val="Heading1"/>
        <w:ind w:hanging="0" w:start="0"/>
        <w:rPr/>
      </w:pPr>
      <w:r>
        <w:rPr/>
        <w:t>The first section of this memo describes the potential greenhouse gas market and trends in greenhouse gas reduction “credit” pricing.  The second section outlines several objectives of current greenhouse gas emission reduction credit buyers and describes how a buyer’s motivation impacts the perceived quality and price of reduction credits.  The third section provides information on macroeconomic and microeconomic greenhouse gas emissions market models.</w:t>
      </w:r>
    </w:p>
    <w:p>
      <w:pPr>
        <w:pStyle w:val="Heading2"/>
        <w:ind w:hanging="0" w:start="0"/>
        <w:rPr/>
      </w:pPr>
      <w:r>
        <w:rPr/>
      </w:r>
    </w:p>
    <w:p>
      <w:pPr>
        <w:pStyle w:val="Normal"/>
        <w:rPr/>
      </w:pPr>
      <w:r>
        <w:rPr/>
        <w:t>Please feel free to contact me with questions, comments, or suggestions for further analysis.</w:t>
      </w:r>
    </w:p>
    <w:p>
      <w:pPr>
        <w:pStyle w:val="Normal"/>
        <w:rPr/>
      </w:pPr>
      <w:r>
        <w:rPr/>
      </w:r>
    </w:p>
    <w:p>
      <w:pPr>
        <w:pStyle w:val="Heading2"/>
        <w:ind w:hanging="0" w:start="0"/>
        <w:jc w:val="both"/>
        <w:rPr/>
      </w:pPr>
      <w:r>
        <w:rPr/>
        <w:t>Global Climate Change and Greenhouse Gas Emissions Trading</w:t>
      </w:r>
    </w:p>
    <w:p>
      <w:pPr>
        <w:pStyle w:val="Normal"/>
        <w:jc w:val="both"/>
        <w:rPr/>
      </w:pPr>
      <w:r>
        <w:rPr/>
      </w:r>
    </w:p>
    <w:p>
      <w:pPr>
        <w:pStyle w:val="Normal"/>
        <w:rPr>
          <w:szCs w:val="20"/>
        </w:rPr>
      </w:pPr>
      <w:r>
        <w:rPr>
          <w:szCs w:val="20"/>
        </w:rPr>
        <w:t xml:space="preserve">Greenhouse gas emissions contribute to climate change, which is a prominent issue on the global environmental agenda.  The international community and several national governments are looking to establish greenhouse gas emissions trading programs to encourage cost-effective emissions reductions.  Until regulatory frameworks for greenhouse gas emissions trading emerge, price discovery will be a challenge.  </w:t>
      </w:r>
    </w:p>
    <w:p>
      <w:pPr>
        <w:pStyle w:val="Normal"/>
        <w:rPr>
          <w:b/>
          <w:bCs/>
          <w:szCs w:val="20"/>
        </w:rPr>
      </w:pPr>
      <w:r>
        <w:rPr>
          <w:b/>
          <w:bCs/>
          <w:szCs w:val="20"/>
        </w:rPr>
      </w:r>
    </w:p>
    <w:p>
      <w:pPr>
        <w:pStyle w:val="Normal"/>
        <w:rPr>
          <w:b/>
          <w:bCs/>
        </w:rPr>
      </w:pPr>
      <w:r>
        <w:rPr>
          <w:b/>
          <w:bCs/>
        </w:rPr>
        <w:t>Greenhouse Gas Emissions “Credits”</w:t>
      </w:r>
    </w:p>
    <w:p>
      <w:pPr>
        <w:pStyle w:val="Normal"/>
        <w:rPr>
          <w:b/>
          <w:bCs/>
        </w:rPr>
      </w:pPr>
      <w:r>
        <w:rPr>
          <w:b/>
          <w:bCs/>
        </w:rPr>
      </w:r>
    </w:p>
    <w:p>
      <w:pPr>
        <w:pStyle w:val="Normal"/>
        <w:rPr/>
      </w:pPr>
      <w:r>
        <w:rPr/>
        <w:t>A greenhouse gas emission “credit,” either in the form of an emission permit or reduction credit, is not a well-defined commodity.   Greenhouse gas emissions are recognized under several different regulatory programs and voluntary initiatives, each with distinct and evolving rules and evaluation criteria.  While the goal of many of the programs is the development of a fully fungible commodity, it is unlikely in the near term.  What exists now is a patchwork of different programs with different definitions of what constitutes a greenhouse gas emission credit.</w:t>
      </w:r>
    </w:p>
    <w:p>
      <w:pPr>
        <w:pStyle w:val="Normal"/>
        <w:rPr/>
      </w:pPr>
      <w:r>
        <w:rPr/>
        <w:t xml:space="preserve">  </w:t>
      </w:r>
    </w:p>
    <w:p>
      <w:pPr>
        <w:pStyle w:val="Heading2"/>
        <w:ind w:hanging="0" w:start="0"/>
        <w:rPr/>
      </w:pPr>
      <w:r>
        <w:rPr/>
        <w:t>Size of the Greenhouse Gas Market</w:t>
      </w:r>
    </w:p>
    <w:p>
      <w:pPr>
        <w:pStyle w:val="Normal"/>
        <w:rPr/>
      </w:pPr>
      <w:r>
        <w:rPr/>
      </w:r>
    </w:p>
    <w:p>
      <w:pPr>
        <w:pStyle w:val="BodyText"/>
        <w:jc w:val="start"/>
        <w:rPr>
          <w:sz w:val="24"/>
        </w:rPr>
      </w:pPr>
      <w:r>
        <w:rPr>
          <w:sz w:val="24"/>
        </w:rPr>
        <w:t xml:space="preserve">The global greenhouse gas emissions market has the potential to be relatively large, estimated at several hundred billion dollars annually.  There are various reasons why the market won’t reach this size in the near future. </w:t>
      </w:r>
    </w:p>
    <w:p>
      <w:pPr>
        <w:pStyle w:val="BodyText"/>
        <w:jc w:val="start"/>
        <w:rPr/>
      </w:pPr>
      <w:r>
        <w:rPr>
          <w:sz w:val="24"/>
        </w:rPr>
        <w:t xml:space="preserve">The market could be large and liquid </w:t>
      </w:r>
      <w:r>
        <w:rPr>
          <w:sz w:val="24"/>
          <w:u w:val="single"/>
        </w:rPr>
        <w:t>if</w:t>
      </w:r>
      <w:r>
        <w:rPr>
          <w:sz w:val="24"/>
        </w:rPr>
        <w:t xml:space="preserve"> governments resist restricting trades and using rules such that trading between jurisdictions is impeded.  The current “market” is estimated to be a few hundred million dollars annually, but much of that represents projects that are funded by governments. The future market will depend on many factors that are not predictable with accuracy.  Estimates range from $20 billion to roughly $500 billion annually.</w:t>
      </w:r>
    </w:p>
    <w:p>
      <w:pPr>
        <w:pStyle w:val="BodyText"/>
        <w:jc w:val="start"/>
        <w:rPr>
          <w:b/>
          <w:bCs/>
          <w:sz w:val="24"/>
        </w:rPr>
      </w:pPr>
      <w:r>
        <w:rPr>
          <w:b/>
          <w:bCs/>
          <w:sz w:val="24"/>
        </w:rPr>
        <w:t>Greenhouse Gas Emissions Prices</w:t>
      </w:r>
    </w:p>
    <w:p>
      <w:pPr>
        <w:pStyle w:val="BodyText"/>
        <w:jc w:val="start"/>
        <w:rPr>
          <w:sz w:val="24"/>
        </w:rPr>
      </w:pPr>
      <w:r>
        <w:rPr>
          <w:sz w:val="24"/>
        </w:rPr>
        <w:t xml:space="preserve">The data on prices flow from a variety of circumstances that change every week, thus they are essentially incomparable.  However, the data that comes from today’s market reflect different types of reductions, of varying quality, and under varying regulatory circumstances.  </w:t>
      </w:r>
    </w:p>
    <w:p>
      <w:pPr>
        <w:pStyle w:val="BodyText"/>
        <w:jc w:val="start"/>
        <w:rPr>
          <w:sz w:val="24"/>
        </w:rPr>
      </w:pPr>
      <w:r>
        <w:rPr>
          <w:sz w:val="24"/>
        </w:rPr>
        <w:t xml:space="preserve">Generally, in today’s market, high quality reductions usually command somewhere in the $3.00 to $4.00 range.  Today’s prices for questionable greenhouse gas reductions ($.50-$1.50) may be somewhat close to the minimum for the future due to the heavy discounting for risk and uncertainty.  </w:t>
      </w:r>
    </w:p>
    <w:p>
      <w:pPr>
        <w:pStyle w:val="BodyText"/>
        <w:jc w:val="start"/>
        <w:rPr/>
      </w:pPr>
      <w:r>
        <w:rPr>
          <w:sz w:val="24"/>
        </w:rPr>
        <w:t xml:space="preserve">The difference in price that derives from high quality reductions verses low quality reductions is fundamental to a keen understanding of the market for greenhouse gas reductions and credits.  </w:t>
      </w:r>
      <w:r>
        <w:rPr>
          <w:color w:val="000000"/>
          <w:sz w:val="24"/>
        </w:rPr>
        <w:t xml:space="preserve">Quality is generally defined as the ease with which a reduction can be quantified and verified.  Quality is also a product of subjective criteria based on the motivation of the buyer.  For example, for speculative buyers, whether the reduction could be applied in multiple markets may impact price.  </w:t>
      </w:r>
      <w:r>
        <w:rPr>
          <w:i/>
          <w:iCs/>
          <w:color w:val="000000"/>
          <w:sz w:val="24"/>
        </w:rPr>
        <w:t>Please see the section below for more information.</w:t>
      </w:r>
    </w:p>
    <w:p>
      <w:pPr>
        <w:pStyle w:val="BodyText"/>
        <w:jc w:val="start"/>
        <w:rPr/>
      </w:pPr>
      <w:r>
        <w:rPr>
          <w:sz w:val="24"/>
        </w:rPr>
        <w:t xml:space="preserve">While the market for trading greenhouse gas emissions is in its very early stages and current prices do not tell us very much about what a full-fledged market could look like, various academic studies have attempted to estimate prices for greenhouse gas emissions reductions, as expressed in carbon dioxide emission reduction equivalents.  Like any economic modeling process, the models should be scrutinized for their assumptions, what factors they account for and what factors they are unable to include in the model.  As carbon is integrally and completely embedded in today’s capital stock and is a cornerstone of the economy, a complete analysis of cause and effect throughout the economy (domestic and global) is much too complex to undertake. Nevertheless, some interesting analyses merit consideration.  </w:t>
      </w:r>
      <w:r>
        <w:rPr>
          <w:i/>
          <w:iCs/>
          <w:sz w:val="24"/>
        </w:rPr>
        <w:t>Please see the sections on modeling below.</w:t>
      </w:r>
    </w:p>
    <w:p>
      <w:pPr>
        <w:pStyle w:val="BodyText"/>
        <w:jc w:val="start"/>
        <w:rPr>
          <w:b/>
          <w:bCs/>
          <w:sz w:val="24"/>
        </w:rPr>
      </w:pPr>
      <w:r>
        <w:rPr>
          <w:b/>
          <w:bCs/>
          <w:sz w:val="24"/>
        </w:rPr>
        <w:t>Factors that Impact the Price of Project-Based Greenhouse Gas Reductions</w:t>
      </w:r>
    </w:p>
    <w:p>
      <w:pPr>
        <w:pStyle w:val="Normal"/>
        <w:rPr/>
      </w:pPr>
      <w:r>
        <w:rPr/>
        <w:t>In the current environment, buyers of greenhouse gas emissions reductions generally seek to fulfill one or more of the following:  1) speculative investments/returns, 2) compliance hedging, or 3) public relations benefits (marketing and/or goodwill).  Project based credits command higher prices based on the perceived ties to the buyer’s specific objectives.</w:t>
      </w:r>
    </w:p>
    <w:p>
      <w:pPr>
        <w:pStyle w:val="Normal"/>
        <w:rPr/>
      </w:pPr>
      <w:r>
        <w:rPr/>
      </w:r>
    </w:p>
    <w:p>
      <w:pPr>
        <w:pStyle w:val="Normal"/>
        <w:rPr/>
      </w:pPr>
      <w:r>
        <w:rPr/>
        <w:t>The price of a greenhouse gas emission reduction, as expressed in one metric ton of carbon dioxide equivalent (CO2e), is a function of the cost to create the reduction and its quality.  However, given weak market signals and the lack of regulatory certainty on what constitutes a greenhouse gas emission reduction, the motivation of the prospective buyer will play a large role in the attractiveness and the price of a greenhouse gas reduction transaction.  The extent to which multiple objectives can be met through a given transaction will also influence price.</w:t>
      </w:r>
    </w:p>
    <w:p>
      <w:pPr>
        <w:pStyle w:val="Normal"/>
        <w:rPr/>
      </w:pPr>
      <w:r>
        <w:rPr/>
        <w:t xml:space="preserve">   </w:t>
      </w:r>
    </w:p>
    <w:p>
      <w:pPr>
        <w:pStyle w:val="Normal"/>
        <w:rPr/>
      </w:pPr>
      <w:r>
        <w:rPr/>
        <w:t>There are not many solely speculative buyers in market today.   Far more companies are interested in compliance hedging, especially as the rules for a European Union (EU) trading program develop and other countries seek to ratify the Kyoto Protocol.  Public relations seekers are the largest group of buyers now, but they should decline proportionally as greenhouse gas risk management becomes more of a commercial issue.</w:t>
      </w:r>
    </w:p>
    <w:p>
      <w:pPr>
        <w:pStyle w:val="Normal"/>
        <w:rPr/>
      </w:pPr>
      <w:r>
        <w:rPr/>
      </w:r>
    </w:p>
    <w:p>
      <w:pPr>
        <w:pStyle w:val="Normal"/>
        <w:rPr/>
      </w:pPr>
      <w:r>
        <w:rPr>
          <w:i/>
          <w:iCs/>
        </w:rPr>
        <w:t>Speculative buyers</w:t>
      </w:r>
      <w:r>
        <w:rPr/>
        <w:t xml:space="preserve"> invest in greenhouse gas emissions with the expectation of selling the reductions in the future to gain a minimum rate of return.  The time horizon on the re-sale will vary in each case.  Factors that determine speculative transactions are market liquidity and the demand </w:t>
      </w:r>
      <w:r>
        <w:rPr>
          <w:color w:val="000000"/>
        </w:rPr>
        <w:t xml:space="preserve">created by second hand buyers.  Presently, there is little or no market liquidity and few buyers that wish to purchase second hand reductions.  This could change slightly in the next year depending on how the U.K. and EU emissions trading programs evolve.  However, market liquidity could be complicated by the framework laid out under the Kyoto Protocol’s international emissions trading program, which allows domestic governments to define what constitutes a credit under their domestic programs.    </w:t>
      </w:r>
    </w:p>
    <w:p>
      <w:pPr>
        <w:pStyle w:val="Normal"/>
        <w:rPr>
          <w:color w:val="000000"/>
        </w:rPr>
      </w:pPr>
      <w:r>
        <w:rPr>
          <w:color w:val="000000"/>
        </w:rPr>
      </w:r>
    </w:p>
    <w:p>
      <w:pPr>
        <w:pStyle w:val="Normal"/>
        <w:rPr/>
      </w:pPr>
      <w:r>
        <w:rPr>
          <w:i/>
          <w:iCs/>
        </w:rPr>
        <w:t>Compliance hedging</w:t>
      </w:r>
      <w:r>
        <w:rPr/>
        <w:t xml:space="preserve"> is also a strategy of current buyers.  In many cases, these transactions are private and proprietary.  The quality of the reductions will vary.  One scenario would be to buy inexpensive reductions, in expectation that they will qualify under future regulatory programs.  Factors determining price would be the downside risk that the credits will have no value under future regulatory programs.   In forward transactions, the likelihood that the credits will be generated due to associated project risks may also have an impact (country of origin, political risks, etc.). </w:t>
      </w:r>
    </w:p>
    <w:p>
      <w:pPr>
        <w:pStyle w:val="Normal"/>
        <w:rPr/>
      </w:pPr>
      <w:r>
        <w:rPr/>
      </w:r>
    </w:p>
    <w:p>
      <w:pPr>
        <w:pStyle w:val="Normal"/>
        <w:rPr/>
      </w:pPr>
      <w:r>
        <w:rPr>
          <w:i/>
          <w:iCs/>
        </w:rPr>
        <w:t>Public relations benefits</w:t>
      </w:r>
      <w:r>
        <w:rPr/>
        <w:t xml:space="preserve"> are another objective of current buyers.  Attractive features that may influence price are the project’s novelty, category/type, geographic location and any corresponding synergies with commercial or corporate environmental strategies.  Many buyers seek to reap significant public relations benefits from transactions.  In these cases, the uniqueness and optics of the transaction play a role.  For example, second hand purchases may be less newsworthy, and buyers may be averse to buying reductions that derive from controversial activities, like some forms of carbon sequestration activities.  </w:t>
      </w:r>
    </w:p>
    <w:p>
      <w:pPr>
        <w:pStyle w:val="Normal"/>
        <w:rPr/>
      </w:pPr>
      <w:r>
        <w:rPr/>
      </w:r>
    </w:p>
    <w:p>
      <w:pPr>
        <w:pStyle w:val="Normal"/>
        <w:rPr/>
      </w:pPr>
      <w:r>
        <w:rPr/>
        <w:t>An example is a recent forward transaction under the U.K.’s emissions trading program between Dupont and Marubeni.  The deal was done mostly for public relations purposes.  It is unlikely that Marubeni will retire these allowances in the U.K. and unlikely that these will be recognized and accepted in Japan.  However, there could also be a speculative angle to the deal, where the allowances are re-sold for at least part of the initial investment cost.  The deal was priced at £5 per ton (about $7.50) for 10,000 2002 UK allowances.</w:t>
      </w:r>
    </w:p>
    <w:p>
      <w:pPr>
        <w:pStyle w:val="Normal"/>
        <w:rPr/>
      </w:pPr>
      <w:r>
        <w:rPr/>
      </w:r>
    </w:p>
    <w:p>
      <w:pPr>
        <w:pStyle w:val="Heading2"/>
        <w:ind w:hanging="0" w:start="0"/>
        <w:rPr/>
      </w:pPr>
      <w:r>
        <w:rPr/>
        <w:t>Future Greenhouse Gas Market Influences</w:t>
      </w:r>
    </w:p>
    <w:p>
      <w:pPr>
        <w:pStyle w:val="Normal"/>
        <w:rPr>
          <w:b/>
          <w:bCs/>
        </w:rPr>
      </w:pPr>
      <w:r>
        <w:rPr>
          <w:b/>
          <w:bCs/>
        </w:rPr>
      </w:r>
    </w:p>
    <w:p>
      <w:pPr>
        <w:pStyle w:val="Normal"/>
        <w:rPr/>
      </w:pPr>
      <w:r>
        <w:rPr/>
        <w:t xml:space="preserve">Based on current regulatory uncertainty, factors including:  1) Kyoto Protocol ratification, 2) U.S. participation in international emissions trading, and 3) Russia’s compliance strategy are speculated to impact greenhouse gas emissions prices in the next decade and beyond.  Further, prices would be impacted if targets under the Kyoto Protocol are adopted by additional countries (i.e., developing countries in the second budget period, 2013 – 2015).  </w:t>
      </w:r>
    </w:p>
    <w:p>
      <w:pPr>
        <w:pStyle w:val="Normal"/>
        <w:rPr/>
      </w:pPr>
      <w:r>
        <w:rPr/>
      </w:r>
    </w:p>
    <w:p>
      <w:pPr>
        <w:pStyle w:val="Normal"/>
        <w:rPr/>
      </w:pPr>
      <w:r>
        <w:rPr>
          <w:szCs w:val="20"/>
        </w:rPr>
        <w:t xml:space="preserve">If the </w:t>
      </w:r>
      <w:r>
        <w:rPr>
          <w:i/>
          <w:iCs/>
          <w:szCs w:val="20"/>
        </w:rPr>
        <w:t>Kyoto Protocol is ratified</w:t>
      </w:r>
      <w:r>
        <w:rPr>
          <w:szCs w:val="20"/>
        </w:rPr>
        <w:t>, greenhouse gas emissions reductions will likely have a higher price, as demand will increase and frameworks for trading will be established.  Given the EU's political commitment to Kyoto Protocol ratification, the treaty entering into force and the establishment of a multilateral emissions trading program are viewed as more likely than even six months ago.  Having said that, market liquidity is less certain and will depend on the actions of the EU and other national governments, like Japan, Australia, and Canada.</w:t>
      </w:r>
    </w:p>
    <w:p>
      <w:pPr>
        <w:pStyle w:val="Normal"/>
        <w:rPr>
          <w:szCs w:val="20"/>
        </w:rPr>
      </w:pPr>
      <w:r>
        <w:rPr>
          <w:szCs w:val="20"/>
        </w:rPr>
      </w:r>
    </w:p>
    <w:p>
      <w:pPr>
        <w:pStyle w:val="Normal"/>
        <w:spacing w:before="100" w:after="100"/>
        <w:rPr/>
      </w:pPr>
      <w:r>
        <w:rPr>
          <w:i/>
          <w:iCs/>
          <w:szCs w:val="20"/>
        </w:rPr>
        <w:t>U.S. participation in a global emissions trading program</w:t>
      </w:r>
      <w:r>
        <w:rPr>
          <w:szCs w:val="20"/>
        </w:rPr>
        <w:t xml:space="preserve"> through either the Kyoto Protocol’s trading program or via links with bilateral or regional programs will influence prices for greenhouse gas emission reductions.  The U.S. is expected to be a net buyer under a global emissions trading program, either as part of the Kyoto Protocol or an emissions trading program that is linked to the Kyoto mechanisms.  All other elements being equal, without the U.S., the price for reductions is expected to be lower.</w:t>
      </w:r>
    </w:p>
    <w:p>
      <w:pPr>
        <w:pStyle w:val="Normal"/>
        <w:spacing w:before="100" w:after="100"/>
        <w:rPr/>
      </w:pPr>
      <w:r>
        <w:rPr>
          <w:i/>
          <w:iCs/>
          <w:szCs w:val="20"/>
        </w:rPr>
        <w:t>Russian greenhouse gas emissions trading strategies</w:t>
      </w:r>
      <w:r>
        <w:rPr>
          <w:szCs w:val="20"/>
        </w:rPr>
        <w:t xml:space="preserve"> are believed to be an influencing factor on prices under a Kyoto Protocol trading regime.  Under the Kyoto Protocol, Russia has been granted an emissions reduction target based on its 1990 emissions.  Since 1990, Russia has experienced severe economic decline --- locking in emissions allowances that are expected to greatly exceed what is necessary for Russia to meet its target.  Further, some forecasts suggest that due to the increased accounting of carbon sinks for developed nations under the Bonn agreement in July 2001, the Kyoto Protocol’s targets between 2008 and 2012 can be met largely through the transfer of Russian emissions allowances.  </w:t>
      </w:r>
    </w:p>
    <w:p>
      <w:pPr>
        <w:pStyle w:val="Normal"/>
        <w:spacing w:before="100" w:after="100"/>
        <w:rPr>
          <w:szCs w:val="20"/>
        </w:rPr>
      </w:pPr>
      <w:r>
        <w:rPr>
          <w:szCs w:val="20"/>
        </w:rPr>
        <w:t>Depending on Russia’s strategy, it could sell its allowances or bank them in the first budget period of the Kyoto Protocol (2008 – 2012).  Most believe that there will be a direct relationship between the amount of reductions Russia sells in the first budget period and decreasing greenhouse gas emissions prices.  However, Russia's strategy is uncertain.  Russia may wish to cash out early by selling allowances (‘hot air”) or they could bank their emissions to command a higher price in the second budget period.</w:t>
      </w:r>
    </w:p>
    <w:p>
      <w:pPr>
        <w:pStyle w:val="Heading2"/>
        <w:spacing w:before="100" w:after="100"/>
        <w:ind w:hanging="0" w:start="0"/>
        <w:rPr/>
      </w:pPr>
      <w:r>
        <w:rPr/>
        <w:t>Economic Modeling and Analysis</w:t>
      </w:r>
    </w:p>
    <w:p>
      <w:pPr>
        <w:pStyle w:val="Normal"/>
        <w:spacing w:before="100" w:after="100"/>
        <w:rPr/>
      </w:pPr>
      <w:r>
        <w:rPr/>
        <w:t>Most of the models highlighted below were compiled assuming U.S. participation in the Kyoto Protocol.  As stated previously, if the U.S does not participate, greenhouse gas emission credit prices would be considerably lower.</w:t>
      </w:r>
    </w:p>
    <w:p>
      <w:pPr>
        <w:pStyle w:val="Normal"/>
        <w:spacing w:before="100" w:after="100"/>
        <w:rPr>
          <w:i/>
          <w:i/>
          <w:iCs/>
        </w:rPr>
      </w:pPr>
      <w:r>
        <w:rPr>
          <w:i/>
          <w:iCs/>
        </w:rPr>
        <w:t>Macroeconomic Models</w:t>
      </w:r>
    </w:p>
    <w:p>
      <w:pPr>
        <w:pStyle w:val="Normal"/>
        <w:spacing w:before="100" w:after="100"/>
        <w:rPr/>
      </w:pPr>
      <w:r>
        <w:rPr/>
        <w:t xml:space="preserve">ZhongXiang Zhang at the University of Groeningen has estimated the size of the potential market for the Kyoto Mechanisms under various policies. When there are no limits on trading, the prices (marginal abatement costs) will equalize and there should be no distinction between international prices.   In 1998 dollars, the world price is estimated to be $2.70 per ton of CO2e.  If trading in “hot air” is </w:t>
      </w:r>
      <w:r>
        <w:rPr>
          <w:u w:val="single"/>
        </w:rPr>
        <w:t>not</w:t>
      </w:r>
      <w:r>
        <w:rPr/>
        <w:t xml:space="preserve"> allowed the prices increase to $3.40 per ton CO2e.  If limits on trading are imposed (which is unlikely given the Bonn agreement compromise), the demand for traded permits or credits will be suppressed and the price for traded reductions will be even lower. The latter scenario will evidently lead to differentials in the domestic and international prices of CO2e depending on national abatement costs. The scenario in which there are no limits on trading, marginal abatement costs in the U.S. are reduced by an estimated 85% from the case in which no trading is allowed.  </w:t>
      </w:r>
    </w:p>
    <w:p>
      <w:pPr>
        <w:pStyle w:val="Normal"/>
        <w:spacing w:before="100" w:after="100"/>
        <w:rPr/>
      </w:pPr>
      <w:r>
        <w:rPr/>
        <w:t>Studies by economic forecasting firms such as Charles River, WEFA, MIT, EIA estimate costs of CO2e reductions per ton to be $27 to $95 in 2010 based on the costs of reducing carbon emissions from a business as usual scenario to meeting a 7% reduction in greenhouse gases (some estimates allow for trading and some do not).</w:t>
      </w:r>
    </w:p>
    <w:p>
      <w:pPr>
        <w:pStyle w:val="Normal"/>
        <w:spacing w:before="100" w:after="100"/>
        <w:rPr>
          <w:b/>
          <w:bCs/>
          <w:i/>
          <w:i/>
          <w:iCs/>
        </w:rPr>
      </w:pPr>
      <w:r>
        <w:rPr>
          <w:b/>
          <w:bCs/>
          <w:i/>
          <w:iCs/>
        </w:rPr>
        <w:t>Microeconomic Models</w:t>
      </w:r>
    </w:p>
    <w:p>
      <w:pPr>
        <w:pStyle w:val="Normal"/>
        <w:rPr>
          <w:b/>
          <w:bCs/>
          <w:i/>
          <w:i/>
          <w:iCs/>
        </w:rPr>
      </w:pPr>
      <w:r>
        <w:rPr>
          <w:b/>
          <w:bCs/>
          <w:i/>
          <w:iCs/>
        </w:rPr>
      </w:r>
    </w:p>
    <w:p>
      <w:pPr>
        <w:pStyle w:val="BodyText"/>
        <w:jc w:val="start"/>
        <w:rPr>
          <w:sz w:val="24"/>
        </w:rPr>
      </w:pPr>
      <w:r>
        <w:rPr>
          <w:sz w:val="24"/>
        </w:rPr>
        <w:t>Project level analysis done by the World Bank looks at the average cost of reductions from different categories of projects – biomass energy, renewable energy, demand-side management – per ton of CO2e.  The average cost among these different types of projects is $9.40 per ton of CO2e (based on project cost per ton saved), while from a ton-weighted standpoint (some projects yield larger quantities of tons and thus have lowered costs per ton) the portfolio of projects yields an average ton-weighted cost of $3.50 per ton.  Attempting to weight the projects for quality ranking, the average energy supply project would be $7.70 and the average end-use efficiency or renewable project would be $3.50 per ton CO2e.</w:t>
      </w:r>
    </w:p>
    <w:p>
      <w:pPr>
        <w:pStyle w:val="BodyText"/>
        <w:jc w:val="start"/>
        <w:rPr>
          <w:i/>
          <w:i/>
          <w:iCs/>
          <w:sz w:val="24"/>
        </w:rPr>
      </w:pPr>
      <w:r>
        <w:rPr>
          <w:i/>
          <w:iCs/>
          <w:sz w:val="24"/>
        </w:rPr>
        <w:t>World Bank Prototype Carbon Fund (PCF)</w:t>
      </w:r>
    </w:p>
    <w:p>
      <w:pPr>
        <w:pStyle w:val="BodyText"/>
        <w:jc w:val="start"/>
        <w:rPr>
          <w:sz w:val="24"/>
        </w:rPr>
      </w:pPr>
      <w:r>
        <w:rPr>
          <w:sz w:val="24"/>
        </w:rPr>
        <w:t>The early lessons from World Bank’s PCF are mixed.  Thus far, the PCF has received more than 100 so-called Project Idea Notes covering every potential JI and CDM region.  This resulted in a diverse pipeline consisting of over 40 projects with a potential value of about $250 million in emissions reduction purchases – which is beyond the PCF’s capacity to finance.  The Project Idea Notes mainly originate from the Latin American and Caribbean region.  Proposals from this region are for an emissions reduction acquisition of over $120 million. Demand from Africa, Europe and Central Asia and South Asia also exceeds the resource that can be reasonably allocated by the PCF.  From this pipeline, the PCF has identified 15 - 20 potential projects for further investigation and five of these projects, to which about $30 million of the fund will be allocated, have already undergone preparations and are endorsed by the host country government and the PCF Participants Committee.  Renewable energy technologies are well represented in the PCF pipeline.  Among renewables, the PCF is reaching portfolio limits for wind energy and waste management.  The proposals from Latin America and Caribbean have a number of biomass, small hydro and geothermal electricity proposals.</w:t>
      </w:r>
    </w:p>
    <w:p>
      <w:pPr>
        <w:pStyle w:val="BodyText"/>
        <w:jc w:val="start"/>
        <w:rPr>
          <w:i/>
          <w:i/>
          <w:iCs/>
          <w:sz w:val="24"/>
        </w:rPr>
      </w:pPr>
      <w:r>
        <w:rPr>
          <w:i/>
          <w:iCs/>
          <w:sz w:val="24"/>
        </w:rPr>
        <w:t>Purchase agreement in Eastern Europe</w:t>
      </w:r>
    </w:p>
    <w:p>
      <w:pPr>
        <w:pStyle w:val="BodyText"/>
        <w:jc w:val="start"/>
        <w:rPr>
          <w:sz w:val="24"/>
        </w:rPr>
      </w:pPr>
      <w:r>
        <w:rPr>
          <w:sz w:val="24"/>
        </w:rPr>
        <w:t xml:space="preserve">In Latvia an Emissions Reduction Purchase Agreement has been signed between the Government of Latvia and the PCF on the basis of the Solid Waste Management Project in Liepaja. This project will recycle 90% of the landfill waste and will use the methane to generate electricity. This is also expected to reduce the health hazards from open dumpsites and make the rates for collecting garbage for the local population affordable.  It is estimated that the maximum price per ton of CO2e for this project will be $6.00. Generally, investors have indicated that they are willing to pay in the order of $5.00 per ton of CO2e.  Actual costs have been higher than projected by transactions of mere reductions while still being lower than projected by many macro-economic models. </w:t>
      </w:r>
    </w:p>
    <w:p>
      <w:pPr>
        <w:pStyle w:val="Heading2"/>
        <w:ind w:hanging="0" w:start="0"/>
        <w:rPr/>
      </w:pPr>
      <w:r>
        <w:rPr/>
        <w:t xml:space="preserve">Conclusion  </w:t>
      </w:r>
    </w:p>
    <w:p>
      <w:pPr>
        <w:pStyle w:val="Normal"/>
        <w:rPr/>
      </w:pPr>
      <w:r>
        <w:rPr/>
      </w:r>
    </w:p>
    <w:p>
      <w:pPr>
        <w:pStyle w:val="Normal"/>
        <w:rPr/>
      </w:pPr>
      <w:r>
        <w:rPr/>
        <w:t>Given current regulatory uncertainty and the patchwork of greenhouse gas emissions initiatives, a liquid market with a clearly defined commodity is likely several years (or more) away.  However, given the growing interest in compliance hedging, opportunities to package and sell verifiable greenhouse gas emissions reductions could increase in the near future.  Further, with the launch of the U.K. emissions trading program and rule development for the EU trading program expected next year, it is likely that the definition of a verifiable greenhouse gas emission credit will become more clear.</w:t>
      </w:r>
    </w:p>
    <w:p>
      <w:pPr>
        <w:pStyle w:val="Normal"/>
        <w:rPr/>
      </w:pPr>
      <w:r>
        <w:rPr/>
      </w:r>
    </w:p>
    <w:p>
      <w:pPr>
        <w:pStyle w:val="Normal"/>
        <w:rPr/>
      </w:pPr>
      <w:r>
        <w:rPr/>
        <w:t xml:space="preserve">Given the range and varying circumstances under which current greenhouse gas emissions transactions are occurring, Enron business groups should begin to capture internal greenhouse gas reductions, look for opportunities to integrate greenhouse gas emissions into existing risk management products and, Enron assets that could be emissions sources, should assess and manage exposures.  </w:t>
      </w:r>
    </w:p>
    <w:p>
      <w:pPr>
        <w:pStyle w:val="Normal"/>
        <w:rPr/>
      </w:pPr>
      <w:r>
        <w:rPr/>
      </w:r>
    </w:p>
    <w:p>
      <w:pPr>
        <w:pStyle w:val="Normal"/>
        <w:rPr/>
      </w:pPr>
      <w:r>
        <w:rPr/>
        <w:t xml:space="preserve">Environmental Strategies Group will convene a </w:t>
      </w:r>
      <w:r>
        <w:rPr>
          <w:b/>
          <w:bCs/>
          <w:i/>
          <w:iCs/>
        </w:rPr>
        <w:t>commercially oriented greenhouse gas strategy discussion</w:t>
      </w:r>
      <w:r>
        <w:rPr/>
        <w:t xml:space="preserve"> on </w:t>
      </w:r>
      <w:r>
        <w:rPr>
          <w:b/>
          <w:bCs/>
        </w:rPr>
        <w:t>Tuesday morning, November 20 (EB 8C1)</w:t>
      </w:r>
      <w:r>
        <w:rPr/>
        <w:t xml:space="preserve"> to explore these opportunities across business groups.  I hope you and others from your group will be able to participate.</w:t>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2001-10-26T17:29:00Z</dcterms:created>
  <dc:creator>ljacobso</dc:creator>
  <dc:description/>
  <dc:language>en-CA</dc:language>
  <cp:lastModifiedBy>ljacobso</cp:lastModifiedBy>
  <cp:lastPrinted>2001-10-29T16:53:00Z</cp:lastPrinted>
  <dcterms:modified xsi:type="dcterms:W3CDTF">2001-10-29T19:44:00Z</dcterms:modified>
  <cp:revision>81</cp:revision>
  <dc:subject/>
  <dc:title>GHG Pricing Analysis</dc:title>
</cp:coreProperties>
</file>