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tbl>
      <w:tblPr>
        <w:tblW w:w="10080" w:type="dxa"/>
        <w:jc w:val="center"/>
        <w:tblInd w:w="0" w:type="dxa"/>
        <w:tblLayout w:type="fixed"/>
        <w:tblCellMar>
          <w:top w:w="115" w:type="dxa"/>
          <w:start w:w="115" w:type="dxa"/>
          <w:bottom w:w="115" w:type="dxa"/>
          <w:end w:w="115" w:type="dxa"/>
        </w:tblCellMar>
      </w:tblPr>
      <w:tblGrid>
        <w:gridCol w:w="2400"/>
        <w:gridCol w:w="7680"/>
      </w:tblGrid>
      <w:tr>
        <w:trPr/>
        <w:tc>
          <w:tcPr>
            <w:tcW w:w="24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Heading6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drawing>
                <wp:inline distT="0" distB="0" distL="0" distR="0">
                  <wp:extent cx="685800" cy="685800"/>
                  <wp:effectExtent l="0" t="0" r="0" b="0"/>
                  <wp:docPr id="1" name="enronlog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log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3" t="-63" r="-63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76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008000" w:val="clear"/>
          </w:tcPr>
          <w:p>
            <w:pPr>
              <w:pStyle w:val="Heading8"/>
              <w:ind w:hanging="0" w:start="0"/>
              <w:rPr>
                <w:sz w:val="28"/>
              </w:rPr>
            </w:pPr>
            <w:r>
              <w:rPr>
                <w:sz w:val="28"/>
              </w:rPr>
              <w:t>Enron Greenhouse Gas Strategy Meeting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Tuesday, November 20, 2001 - Houston, TX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Location:  Enron Building EB 8C1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Hosted by Environmental Strategies, Enron Corp</w:t>
            </w:r>
          </w:p>
        </w:tc>
      </w:tr>
      <w:tr>
        <w:trPr/>
        <w:tc>
          <w:tcPr>
            <w:tcW w:w="24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8:30 – 8:45 a.m.</w:t>
            </w:r>
          </w:p>
        </w:tc>
        <w:tc>
          <w:tcPr>
            <w:tcW w:w="76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 xml:space="preserve">Introduction and Objectives 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FF0000"/>
              </w:rPr>
            </w:pPr>
            <w:r>
              <w:rPr>
                <w:rFonts w:cs="Arial" w:ascii="Arial" w:hAnsi="Arial"/>
                <w:b w:val="false"/>
                <w:bCs w:val="false"/>
                <w:color w:val="FF0000"/>
              </w:rPr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>Dr. Michael Terraso, Vice President, Environment, Health and Safety and Chief Environment Officer, Enron Corp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400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8:45 – 9:15 a.m.</w:t>
            </w:r>
          </w:p>
        </w:tc>
        <w:tc>
          <w:tcPr>
            <w:tcW w:w="768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9"/>
              <w:ind w:hanging="0" w:start="0"/>
              <w:rPr>
                <w:iCs/>
              </w:rPr>
            </w:pPr>
            <w:r>
              <w:rPr>
                <w:iCs/>
              </w:rPr>
              <w:t>Overview of Greenhouse Gas Regulatory and Market Drivers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color w:val="FF0000"/>
                <w:sz w:val="22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FF0000"/>
                <w:sz w:val="22"/>
              </w:rPr>
              <w:t>International, Europe, Canada, Australia, Japan, U.S.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color w:val="FF0000"/>
                <w:sz w:val="22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FF0000"/>
                <w:sz w:val="22"/>
              </w:rPr>
            </w:r>
          </w:p>
        </w:tc>
      </w:tr>
      <w:tr>
        <w:trPr/>
        <w:tc>
          <w:tcPr>
            <w:tcW w:w="2400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9:15 – 10:45 a.m.</w:t>
            </w:r>
          </w:p>
        </w:tc>
        <w:tc>
          <w:tcPr>
            <w:tcW w:w="7680" w:type="dxa"/>
            <w:tcBorders>
              <w:end w:val="single" w:sz="12" w:space="0" w:color="000000"/>
            </w:tcBorders>
          </w:tcPr>
          <w:p>
            <w:pPr>
              <w:pStyle w:val="BodyTextIndent2"/>
              <w:ind w:start="0" w:end="0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Discussion Sessions</w:t>
            </w:r>
          </w:p>
          <w:p>
            <w:pPr>
              <w:pStyle w:val="BodyTextIndent2"/>
              <w:ind w:start="0" w:end="0"/>
              <w:rPr>
                <w:b/>
                <w:bCs/>
                <w:i/>
                <w:i/>
                <w:iCs/>
                <w:color w:val="FF0000"/>
                <w:sz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</w:rPr>
            </w:r>
          </w:p>
          <w:p>
            <w:pPr>
              <w:pStyle w:val="BodyTextIndent2"/>
              <w:ind w:start="0" w:end="0"/>
              <w:rPr/>
            </w:pPr>
            <w:r>
              <w:rPr>
                <w:b/>
                <w:bCs/>
                <w:i/>
                <w:iCs/>
                <w:sz w:val="22"/>
              </w:rPr>
              <w:t>Format:</w:t>
            </w:r>
            <w:r>
              <w:rPr>
                <w:sz w:val="22"/>
              </w:rPr>
              <w:t xml:space="preserve">  After introduction of topics by moderator, selected commercial group panelists will provide brief, informal comments, followed by a full discussion by all meeting participants.</w:t>
            </w:r>
          </w:p>
          <w:p>
            <w:pPr>
              <w:pStyle w:val="BodyTextIndent2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0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9:15 – 9:45 a.m.</w:t>
            </w:r>
          </w:p>
        </w:tc>
        <w:tc>
          <w:tcPr>
            <w:tcW w:w="7680" w:type="dxa"/>
            <w:tcBorders>
              <w:end w:val="single" w:sz="12" w:space="0" w:color="000000"/>
            </w:tcBorders>
          </w:tcPr>
          <w:p>
            <w:pPr>
              <w:pStyle w:val="BodyTextIndent2"/>
              <w:ind w:start="0" w:end="0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 xml:space="preserve">Enron’s Greenhouse Gas-Related Commercial Activity – </w:t>
            </w:r>
            <w:r>
              <w:rPr>
                <w:b/>
                <w:bCs/>
                <w:i/>
                <w:iCs/>
                <w:color w:val="FF0000"/>
                <w:sz w:val="22"/>
              </w:rPr>
              <w:t>Current Impacts, New Business Opportunities and Market Barriers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Topic:  Wholesale Impacts &amp; Opportunities</w:t>
            </w:r>
          </w:p>
          <w:p>
            <w:pPr>
              <w:pStyle w:val="BodyTextIndent2"/>
              <w:ind w:start="0" w:end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Topic:  Retail Impacts &amp; Opportunities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  <w:szCs w:val="20"/>
              </w:rPr>
            </w:r>
          </w:p>
        </w:tc>
      </w:tr>
      <w:tr>
        <w:trPr/>
        <w:tc>
          <w:tcPr>
            <w:tcW w:w="2400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9:45 – 10:15 a.m.</w:t>
            </w:r>
          </w:p>
        </w:tc>
        <w:tc>
          <w:tcPr>
            <w:tcW w:w="768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/>
            </w:pPr>
            <w:r>
              <w:rPr>
                <w:rFonts w:cs="Arial" w:ascii="Arial" w:hAnsi="Arial"/>
                <w:b/>
                <w:bCs/>
                <w:color w:val="FF0000"/>
                <w:sz w:val="22"/>
              </w:rPr>
              <w:t xml:space="preserve">Enhancing Value for Enron Commercial Groups &amp; Customers – </w:t>
            </w:r>
            <w:r>
              <w:rPr>
                <w:rFonts w:cs="Arial" w:ascii="Arial" w:hAnsi="Arial"/>
                <w:b/>
                <w:bCs/>
                <w:i/>
                <w:iCs/>
                <w:color w:val="FF0000"/>
                <w:sz w:val="22"/>
              </w:rPr>
              <w:t xml:space="preserve">Internal Coordination and Integration 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i/>
                <w:i/>
                <w:iCs/>
                <w:color w:val="FF0000"/>
                <w:sz w:val="22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FF0000"/>
                <w:sz w:val="22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Topic:  Integration of GHG Risk Management Services into Existing Enron Products &amp; Services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</w:r>
          </w:p>
          <w:p>
            <w:pPr>
              <w:pStyle w:val="BodyText3"/>
              <w:rPr/>
            </w:pPr>
            <w:r>
              <w:rPr/>
              <w:t xml:space="preserve">Topic:  Internal Coordination and Communication to Enhance Business Opportunities 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4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10:15 – 10:45 a.m.</w:t>
            </w:r>
          </w:p>
        </w:tc>
        <w:tc>
          <w:tcPr>
            <w:tcW w:w="76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Achieving Corporate-wide Goals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22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2"/>
              </w:rPr>
              <w:t>Strengthening the Foundation – Enron’s Greenhouse Gas Inventory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22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2"/>
              </w:rPr>
            </w:r>
          </w:p>
          <w:p>
            <w:pPr>
              <w:pStyle w:val="BodyText2"/>
              <w:rPr/>
            </w:pPr>
            <w:r>
              <w:rPr/>
              <w:t>Corporate Responsibility and Building Value for Investors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11:00 – 11:30 a.m.</w:t>
            </w:r>
          </w:p>
        </w:tc>
        <w:tc>
          <w:tcPr>
            <w:tcW w:w="76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9"/>
              <w:autoSpaceDE w:val="true"/>
              <w:spacing w:lineRule="auto" w:line="240"/>
              <w:ind w:hanging="0" w:start="0"/>
              <w:rPr>
                <w:szCs w:val="24"/>
              </w:rPr>
            </w:pPr>
            <w:r>
              <w:rPr>
                <w:szCs w:val="24"/>
              </w:rPr>
              <w:t>Outcomes and Recommendations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spacing w:lineRule="atLeast" w:line="240"/>
      <w:outlineLvl w:val="0"/>
    </w:pPr>
    <w:rPr>
      <w:rFonts w:ascii="Arial" w:hAnsi="Arial" w:cs="Arial"/>
      <w:color w:val="00000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tLeast" w:line="240"/>
      <w:outlineLvl w:val="1"/>
    </w:pPr>
    <w:rPr>
      <w:b/>
      <w:bCs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spacing w:lineRule="atLeast" w:line="240"/>
      <w:outlineLvl w:val="2"/>
    </w:pPr>
    <w:rPr>
      <w:i/>
      <w:iCs/>
      <w:color w:val="000000"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4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spacing w:lineRule="atLeast" w:line="240"/>
      <w:outlineLvl w:val="5"/>
    </w:pPr>
    <w:rPr>
      <w:b/>
      <w:bCs/>
      <w:color w:val="FFFFFF"/>
      <w:sz w:val="22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autoSpaceDE w:val="false"/>
      <w:spacing w:lineRule="atLeast" w:line="240"/>
      <w:outlineLvl w:val="7"/>
    </w:pPr>
    <w:rPr>
      <w:rFonts w:ascii="Arial" w:hAnsi="Arial" w:cs="Arial"/>
      <w:b/>
      <w:bCs/>
      <w:color w:val="FFFFFF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autoSpaceDE w:val="false"/>
      <w:spacing w:lineRule="atLeast" w:line="240"/>
      <w:outlineLvl w:val="8"/>
    </w:pPr>
    <w:rPr>
      <w:rFonts w:ascii="Arial" w:hAnsi="Arial" w:cs="Arial"/>
      <w:b/>
      <w:bCs/>
      <w:color w:val="FF0000"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Symbol" w:hAnsi="Symbol" w:cs="Symbol"/>
      <w:color w:val="000000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keepNext w:val="true"/>
      <w:autoSpaceDE w:val="false"/>
      <w:spacing w:lineRule="atLeast" w:line="240"/>
    </w:pPr>
    <w:rPr>
      <w:b/>
      <w:bCs/>
      <w:color w:val="000000"/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paragraph" w:styleId="BodyTextIndent2">
    <w:name w:val="Body Text Indent 2"/>
    <w:basedOn w:val="Normal"/>
    <w:qFormat/>
    <w:pPr>
      <w:autoSpaceDE w:val="false"/>
      <w:spacing w:lineRule="atLeast" w:line="240"/>
      <w:ind w:hanging="0" w:start="720" w:end="0"/>
    </w:pPr>
    <w:rPr>
      <w:rFonts w:ascii="Arial" w:hAnsi="Arial" w:cs="Arial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i/>
      <w:iCs/>
      <w:sz w:val="22"/>
    </w:rPr>
  </w:style>
  <w:style w:type="paragraph" w:styleId="BodyText3">
    <w:name w:val="Body Text 3"/>
    <w:basedOn w:val="Normal"/>
    <w:qFormat/>
    <w:pPr>
      <w:autoSpaceDE w:val="false"/>
      <w:spacing w:lineRule="atLeast" w:line="240"/>
    </w:pPr>
    <w:rPr>
      <w:rFonts w:ascii="Arial" w:hAnsi="Arial" w:cs="Arial"/>
      <w:b/>
      <w:bCs/>
      <w:sz w:val="22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2001-11-01T16:23:00Z</dcterms:created>
  <dc:creator>jkeeler</dc:creator>
  <dc:description/>
  <dc:language>en-CA</dc:language>
  <cp:lastModifiedBy>ljacobso</cp:lastModifiedBy>
  <cp:lastPrinted>2001-10-30T11:15:00Z</cp:lastPrinted>
  <dcterms:modified xsi:type="dcterms:W3CDTF">2001-11-01T16:27:00Z</dcterms:modified>
  <cp:revision>5</cp:revision>
  <dc:subject/>
  <dc:title>Enron Emissions Strategy Meeting</dc:title>
</cp:coreProperties>
</file>