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Univers" w:hAnsi="Univers" w:cs="Univers"/>
          <w:sz w:val="16"/>
        </w:rPr>
      </w:pPr>
      <w:r>
        <w:rPr>
          <w:rFonts w:cs="Univers" w:ascii="Univers" w:hAnsi="Univers"/>
          <w:sz w:val="16"/>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numPr>
          <w:ilvl w:val="0"/>
          <w:numId w:val="0"/>
        </w:numPr>
        <w:tabs>
          <w:tab w:val="clear" w:pos="720"/>
          <w:tab w:val="center" w:pos="4680" w:leader="none"/>
        </w:tabs>
        <w:suppressAutoHyphens w:val="true"/>
        <w:jc w:val="both"/>
        <w:outlineLvl w:val="0"/>
        <w:rPr>
          <w:rFonts w:ascii="Univers" w:hAnsi="Univers" w:cs="Univers"/>
        </w:rPr>
      </w:pPr>
      <w:r>
        <w:rPr>
          <w:rFonts w:cs="Univers" w:ascii="Univers" w:hAnsi="Univers"/>
        </w:rPr>
        <w:tab/>
        <w:t>GE POWER SYSTEMS INC.,</w:t>
      </w:r>
    </w:p>
    <w:p>
      <w:pPr>
        <w:pStyle w:val="Normal"/>
        <w:tabs>
          <w:tab w:val="clear" w:pos="720"/>
          <w:tab w:val="center" w:pos="4680" w:leader="none"/>
        </w:tabs>
        <w:suppressAutoHyphens w:val="true"/>
        <w:jc w:val="both"/>
        <w:rPr>
          <w:rFonts w:ascii="Univers" w:hAnsi="Univers" w:cs="Univers"/>
        </w:rPr>
      </w:pPr>
      <w:r>
        <w:rPr>
          <w:rFonts w:cs="Univers" w:ascii="Univers" w:hAnsi="Univers"/>
        </w:rPr>
      </w:r>
    </w:p>
    <w:p>
      <w:pPr>
        <w:pStyle w:val="Normal"/>
        <w:numPr>
          <w:ilvl w:val="0"/>
          <w:numId w:val="0"/>
        </w:numPr>
        <w:tabs>
          <w:tab w:val="clear" w:pos="720"/>
          <w:tab w:val="center" w:pos="4680" w:leader="none"/>
        </w:tabs>
        <w:suppressAutoHyphens w:val="true"/>
        <w:jc w:val="center"/>
        <w:outlineLvl w:val="0"/>
        <w:rPr>
          <w:rFonts w:ascii="Univers" w:hAnsi="Univers" w:cs="Univers"/>
        </w:rPr>
      </w:pPr>
      <w:r>
        <w:rPr>
          <w:rFonts w:cs="Univers" w:ascii="Univers" w:hAnsi="Univers"/>
        </w:rPr>
        <w:t>GENERAL ELECTRIC INTERNATIONAL OPERATIONS COMPANY INC.</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 and -</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numPr>
          <w:ilvl w:val="0"/>
          <w:numId w:val="0"/>
        </w:numPr>
        <w:tabs>
          <w:tab w:val="clear" w:pos="720"/>
          <w:tab w:val="center" w:pos="4680" w:leader="none"/>
        </w:tabs>
        <w:suppressAutoHyphens w:val="true"/>
        <w:jc w:val="both"/>
        <w:outlineLvl w:val="0"/>
        <w:rPr>
          <w:rFonts w:ascii="Univers" w:hAnsi="Univers" w:cs="Univers"/>
        </w:rPr>
      </w:pPr>
      <w:r>
        <w:rPr>
          <w:rFonts w:cs="Univers" w:ascii="Univers" w:hAnsi="Univers"/>
        </w:rPr>
        <w:tab/>
        <w:t>ENRON ENERGIA INDUSTRIAL de MEXICO S. de R.L. de C.V.</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Dated as of June    ,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numPr>
          <w:ilvl w:val="0"/>
          <w:numId w:val="0"/>
        </w:numPr>
        <w:tabs>
          <w:tab w:val="clear" w:pos="720"/>
          <w:tab w:val="center" w:pos="4680" w:leader="none"/>
        </w:tabs>
        <w:suppressAutoHyphens w:val="true"/>
        <w:jc w:val="center"/>
        <w:outlineLvl w:val="0"/>
        <w:rPr>
          <w:rFonts w:ascii="Univers" w:hAnsi="Univers" w:cs="Univers"/>
        </w:rPr>
      </w:pPr>
      <w:r>
        <w:rPr>
          <w:rFonts w:cs="Univers" w:ascii="Univers" w:hAnsi="Univers"/>
        </w:rPr>
        <w:t>CONSOLIDATION AGREEMENT</w:t>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numPr>
          <w:ilvl w:val="0"/>
          <w:numId w:val="0"/>
        </w:numPr>
        <w:tabs>
          <w:tab w:val="clear" w:pos="720"/>
          <w:tab w:val="center" w:pos="4680" w:leader="none"/>
        </w:tabs>
        <w:suppressAutoHyphens w:val="true"/>
        <w:jc w:val="both"/>
        <w:outlineLvl w:val="0"/>
        <w:rPr>
          <w:rFonts w:ascii="Univers" w:hAnsi="Univers" w:cs="Univers"/>
        </w:rPr>
      </w:pPr>
      <w:r>
        <w:rPr>
          <w:rFonts w:cs="Univers" w:ascii="Univers" w:hAnsi="Univers"/>
        </w:rPr>
        <w:tab/>
      </w:r>
      <w:r>
        <w:rPr>
          <w:rFonts w:cs="Univers" w:ascii="Univers" w:hAnsi="Univers"/>
          <w:u w:val="single"/>
        </w:rPr>
        <w:t>CONTENTS</w:t>
      </w:r>
    </w:p>
    <w:p>
      <w:pPr>
        <w:pStyle w:val="Normal"/>
        <w:tabs>
          <w:tab w:val="clear" w:pos="720"/>
          <w:tab w:val="left" w:pos="-720" w:leader="none"/>
        </w:tabs>
        <w:suppressAutoHyphens w:val="true"/>
        <w:jc w:val="both"/>
        <w:rPr>
          <w:rFonts w:ascii="Univers" w:hAnsi="Univers" w:cs="Univers"/>
        </w:rPr>
      </w:pPr>
      <w:r>
        <w:rPr>
          <w:rFonts w:cs="Univers" w:ascii="Univers" w:hAnsi="Univers"/>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"1-1" \f </w:instrText>
          </w:r>
          <w:r>
            <w:rPr>
              <w:lang w:val="en-CA"/>
            </w:rPr>
            <w:fldChar w:fldCharType="separate"/>
          </w:r>
          <w:r>
            <w:rPr>
              <w:lang w:val="en-CA"/>
            </w:rPr>
            <w:t>1.</w:t>
            <w:tab/>
          </w:r>
          <w:r>
            <w:rPr>
              <w:u w:val="single"/>
              <w:lang w:val="en-CA"/>
            </w:rPr>
            <w:t>AGGREGATE LIMITATIONS</w:t>
          </w:r>
          <w:r>
            <w:rPr>
              <w:lang w:val="en-CA"/>
            </w:rPr>
            <w:tab/>
          </w:r>
          <w:hyperlink w:anchor="__RefHeading___Toc485715246">
            <w:r>
              <w:rPr>
                <w:rStyle w:val="IndexLink"/>
                <w:lang w:val="en-CA"/>
              </w:rPr>
              <w:t>4</w:t>
            </w:r>
          </w:hyperlink>
        </w:p>
        <w:p>
          <w:pPr>
            <w:pStyle w:val="TOC1"/>
            <w:tabs>
              <w:tab w:val="clear" w:pos="720"/>
              <w:tab w:val="left" w:pos="440" w:leader="none"/>
              <w:tab w:val="right" w:pos="9350" w:leader="dot"/>
            </w:tabs>
            <w:rPr>
              <w:lang w:val="en-CA"/>
            </w:rPr>
          </w:pPr>
          <w:r>
            <w:rPr>
              <w:lang w:val="en-CA"/>
            </w:rPr>
            <w:t>2.</w:t>
            <w:tab/>
          </w:r>
          <w:r>
            <w:rPr>
              <w:u w:val="single"/>
              <w:lang w:val="en-CA"/>
            </w:rPr>
            <w:t>BINDING EFFECT OF CONTRACTS</w:t>
          </w:r>
          <w:r>
            <w:rPr>
              <w:lang w:val="en-CA"/>
            </w:rPr>
            <w:tab/>
          </w:r>
          <w:hyperlink w:anchor="__RefHeading___Toc485715247">
            <w:r>
              <w:rPr>
                <w:rStyle w:val="IndexLink"/>
                <w:lang w:val="en-CA"/>
              </w:rPr>
              <w:t>4</w:t>
            </w:r>
          </w:hyperlink>
        </w:p>
        <w:p>
          <w:pPr>
            <w:pStyle w:val="TOC1"/>
            <w:tabs>
              <w:tab w:val="clear" w:pos="720"/>
              <w:tab w:val="left" w:pos="440" w:leader="none"/>
              <w:tab w:val="right" w:pos="9350" w:leader="dot"/>
            </w:tabs>
            <w:rPr>
              <w:lang w:val="en-CA"/>
            </w:rPr>
          </w:pPr>
          <w:r>
            <w:rPr>
              <w:lang w:val="en-CA"/>
            </w:rPr>
            <w:t>3.</w:t>
            <w:tab/>
          </w:r>
          <w:r>
            <w:rPr>
              <w:u w:val="single"/>
              <w:lang w:val="en-CA"/>
            </w:rPr>
            <w:t>DOUBLE RECOVERY</w:t>
          </w:r>
          <w:r>
            <w:rPr>
              <w:lang w:val="en-CA"/>
            </w:rPr>
            <w:tab/>
          </w:r>
          <w:hyperlink w:anchor="__RefHeading___Toc485715248">
            <w:r>
              <w:rPr>
                <w:rStyle w:val="IndexLink"/>
                <w:lang w:val="en-CA"/>
              </w:rPr>
              <w:t>5</w:t>
            </w:r>
          </w:hyperlink>
        </w:p>
        <w:p>
          <w:pPr>
            <w:pStyle w:val="TOC1"/>
            <w:tabs>
              <w:tab w:val="clear" w:pos="720"/>
              <w:tab w:val="left" w:pos="440" w:leader="none"/>
              <w:tab w:val="right" w:pos="9350" w:leader="dot"/>
            </w:tabs>
            <w:rPr>
              <w:lang w:val="en-CA"/>
            </w:rPr>
          </w:pPr>
          <w:r>
            <w:rPr>
              <w:lang w:val="en-CA"/>
            </w:rPr>
            <w:t>4.</w:t>
            <w:tab/>
          </w:r>
          <w:r>
            <w:rPr>
              <w:u w:val="single"/>
              <w:lang w:val="en-CA"/>
            </w:rPr>
            <w:t>GOVERNING LAW; DISPUTE RESOLUTION</w:t>
          </w:r>
          <w:r>
            <w:rPr>
              <w:lang w:val="en-CA"/>
            </w:rPr>
            <w:tab/>
          </w:r>
          <w:hyperlink w:anchor="__RefHeading___Toc485715249">
            <w:r>
              <w:rPr>
                <w:rStyle w:val="IndexLink"/>
                <w:lang w:val="en-CA"/>
              </w:rPr>
              <w:t>5</w:t>
            </w:r>
          </w:hyperlink>
        </w:p>
        <w:p>
          <w:pPr>
            <w:pStyle w:val="TOC1"/>
            <w:tabs>
              <w:tab w:val="clear" w:pos="720"/>
              <w:tab w:val="left" w:pos="440" w:leader="none"/>
              <w:tab w:val="right" w:pos="9350" w:leader="dot"/>
            </w:tabs>
            <w:rPr>
              <w:lang w:val="en-CA"/>
            </w:rPr>
          </w:pPr>
          <w:r>
            <w:rPr>
              <w:lang w:val="en-CA"/>
            </w:rPr>
            <w:t>5.</w:t>
            <w:tab/>
          </w:r>
          <w:r>
            <w:rPr>
              <w:u w:val="single"/>
              <w:lang w:val="en-CA"/>
            </w:rPr>
            <w:t>TERMINATION</w:t>
          </w:r>
          <w:r>
            <w:rPr>
              <w:lang w:val="en-CA"/>
            </w:rPr>
            <w:tab/>
          </w:r>
          <w:hyperlink w:anchor="__RefHeading___Toc485715250">
            <w:r>
              <w:rPr>
                <w:rStyle w:val="IndexLink"/>
                <w:lang w:val="en-CA"/>
              </w:rPr>
              <w:t>6</w:t>
            </w:r>
          </w:hyperlink>
        </w:p>
        <w:p>
          <w:pPr>
            <w:pStyle w:val="TOC1"/>
            <w:tabs>
              <w:tab w:val="clear" w:pos="720"/>
              <w:tab w:val="left" w:pos="440" w:leader="none"/>
              <w:tab w:val="right" w:pos="9350" w:leader="dot"/>
            </w:tabs>
            <w:rPr>
              <w:lang w:val="en-CA"/>
            </w:rPr>
          </w:pPr>
          <w:r>
            <w:rPr>
              <w:lang w:val="en-CA"/>
            </w:rPr>
            <w:t>6.</w:t>
            <w:tab/>
          </w:r>
          <w:r>
            <w:rPr>
              <w:u w:val="single"/>
              <w:lang w:val="en-CA"/>
            </w:rPr>
            <w:t>COMMON NOTICE</w:t>
          </w:r>
          <w:r>
            <w:rPr>
              <w:lang w:val="en-CA"/>
            </w:rPr>
            <w:tab/>
          </w:r>
          <w:hyperlink w:anchor="__RefHeading___Toc485715251">
            <w:r>
              <w:rPr>
                <w:rStyle w:val="IndexLink"/>
                <w:lang w:val="en-CA"/>
              </w:rPr>
              <w:t>6</w:t>
            </w:r>
          </w:hyperlink>
        </w:p>
        <w:p>
          <w:pPr>
            <w:pStyle w:val="TOC1"/>
            <w:tabs>
              <w:tab w:val="clear" w:pos="720"/>
              <w:tab w:val="left" w:pos="440" w:leader="none"/>
              <w:tab w:val="right" w:pos="9350" w:leader="dot"/>
            </w:tabs>
            <w:rPr>
              <w:lang w:val="en-CA"/>
            </w:rPr>
          </w:pPr>
          <w:r>
            <w:rPr>
              <w:lang w:val="en-CA"/>
            </w:rPr>
            <w:t>7.</w:t>
            <w:tab/>
          </w:r>
          <w:r>
            <w:rPr>
              <w:u w:val="single"/>
              <w:lang w:val="en-CA"/>
            </w:rPr>
            <w:t>COORDINATION OF CONTRACT ADMINISTRATION AND DOCUMENT SUBMISSIONS</w:t>
          </w:r>
          <w:r>
            <w:rPr>
              <w:lang w:val="en-CA"/>
            </w:rPr>
            <w:tab/>
          </w:r>
          <w:hyperlink w:anchor="__RefHeading___Toc485715252">
            <w:r>
              <w:rPr>
                <w:rStyle w:val="IndexLink"/>
                <w:lang w:val="en-CA"/>
              </w:rPr>
              <w:t>7</w:t>
            </w:r>
          </w:hyperlink>
        </w:p>
        <w:p>
          <w:pPr>
            <w:pStyle w:val="TOC1"/>
            <w:tabs>
              <w:tab w:val="clear" w:pos="720"/>
              <w:tab w:val="left" w:pos="440" w:leader="none"/>
              <w:tab w:val="right" w:pos="9350" w:leader="dot"/>
            </w:tabs>
            <w:rPr>
              <w:lang w:val="en-CA"/>
            </w:rPr>
          </w:pPr>
          <w:r>
            <w:rPr>
              <w:lang w:val="en-CA"/>
            </w:rPr>
            <w:t>8.</w:t>
            <w:tab/>
          </w:r>
          <w:r>
            <w:rPr>
              <w:u w:val="single"/>
              <w:lang w:val="en-CA"/>
            </w:rPr>
            <w:t>THIRD PARTY BENEFICIARIES</w:t>
          </w:r>
          <w:r>
            <w:rPr>
              <w:lang w:val="en-CA"/>
            </w:rPr>
            <w:tab/>
          </w:r>
          <w:hyperlink w:anchor="__RefHeading___Toc485715253">
            <w:r>
              <w:rPr>
                <w:rStyle w:val="IndexLink"/>
                <w:lang w:val="en-CA"/>
              </w:rPr>
              <w:t>7</w:t>
            </w:r>
          </w:hyperlink>
        </w:p>
        <w:p>
          <w:pPr>
            <w:pStyle w:val="TOC1"/>
            <w:tabs>
              <w:tab w:val="clear" w:pos="720"/>
              <w:tab w:val="left" w:pos="440" w:leader="none"/>
              <w:tab w:val="right" w:pos="9350" w:leader="dot"/>
            </w:tabs>
            <w:rPr>
              <w:lang w:val="en-CA"/>
            </w:rPr>
          </w:pPr>
          <w:r>
            <w:rPr>
              <w:lang w:val="en-CA"/>
            </w:rPr>
            <w:t>9.</w:t>
            <w:tab/>
          </w:r>
          <w:r>
            <w:rPr>
              <w:u w:val="single"/>
              <w:lang w:val="en-CA"/>
            </w:rPr>
            <w:t>SECURITY</w:t>
          </w:r>
          <w:r>
            <w:rPr>
              <w:lang w:val="en-CA"/>
            </w:rPr>
            <w:tab/>
          </w:r>
          <w:hyperlink w:anchor="__RefHeading___Toc485715254">
            <w:r>
              <w:rPr>
                <w:rStyle w:val="IndexLink"/>
                <w:lang w:val="en-CA"/>
              </w:rPr>
              <w:t>7</w:t>
            </w:r>
          </w:hyperlink>
        </w:p>
        <w:p>
          <w:pPr>
            <w:pStyle w:val="TOC1"/>
            <w:tabs>
              <w:tab w:val="clear" w:pos="720"/>
              <w:tab w:val="left" w:pos="660" w:leader="none"/>
              <w:tab w:val="right" w:pos="9350" w:leader="dot"/>
            </w:tabs>
            <w:rPr>
              <w:lang w:val="en-CA"/>
            </w:rPr>
          </w:pPr>
          <w:r>
            <w:rPr>
              <w:lang w:val="en-CA"/>
            </w:rPr>
            <w:t>10.</w:t>
            <w:tab/>
          </w:r>
          <w:r>
            <w:rPr>
              <w:u w:val="single"/>
              <w:lang w:val="en-CA"/>
            </w:rPr>
            <w:t>ASSIGNMENT</w:t>
          </w:r>
          <w:r>
            <w:rPr>
              <w:lang w:val="en-CA"/>
            </w:rPr>
            <w:tab/>
          </w:r>
          <w:hyperlink w:anchor="__RefHeading___Toc485715255">
            <w:r>
              <w:rPr>
                <w:rStyle w:val="IndexLink"/>
                <w:lang w:val="en-CA"/>
              </w:rPr>
              <w:t>7</w:t>
            </w:r>
          </w:hyperlink>
        </w:p>
        <w:p>
          <w:pPr>
            <w:pStyle w:val="TOC1"/>
            <w:tabs>
              <w:tab w:val="clear" w:pos="720"/>
              <w:tab w:val="left" w:pos="660" w:leader="none"/>
              <w:tab w:val="right" w:pos="9350" w:leader="dot"/>
            </w:tabs>
            <w:rPr>
              <w:lang w:val="en-CA"/>
            </w:rPr>
          </w:pPr>
          <w:r>
            <w:rPr>
              <w:lang w:val="en-CA"/>
            </w:rPr>
            <w:t>11.</w:t>
            <w:tab/>
          </w:r>
          <w:r>
            <w:rPr>
              <w:u w:val="single"/>
              <w:lang w:val="en-CA"/>
            </w:rPr>
            <w:t>CONFIDENTIALITY</w:t>
          </w:r>
          <w:r>
            <w:rPr>
              <w:lang w:val="en-CA"/>
            </w:rPr>
            <w:tab/>
          </w:r>
          <w:hyperlink w:anchor="__RefHeading___Toc485715256">
            <w:r>
              <w:rPr>
                <w:rStyle w:val="IndexLink"/>
                <w:lang w:val="en-CA"/>
              </w:rPr>
              <w:t>8</w:t>
            </w:r>
          </w:hyperlink>
        </w:p>
        <w:p>
          <w:pPr>
            <w:pStyle w:val="TOC1"/>
            <w:tabs>
              <w:tab w:val="clear" w:pos="720"/>
              <w:tab w:val="left" w:pos="660" w:leader="none"/>
              <w:tab w:val="right" w:pos="9350" w:leader="dot"/>
            </w:tabs>
            <w:rPr>
              <w:lang w:val="en-CA"/>
            </w:rPr>
          </w:pPr>
          <w:r>
            <w:rPr>
              <w:lang w:val="en-CA"/>
            </w:rPr>
            <w:t>12.</w:t>
            <w:tab/>
            <w:t xml:space="preserve"> </w:t>
          </w:r>
          <w:r>
            <w:rPr>
              <w:u w:val="single"/>
              <w:lang w:val="en-CA"/>
            </w:rPr>
            <w:t>JOINT AND SEVERALLY LIABLE</w:t>
          </w:r>
          <w:r>
            <w:rPr>
              <w:lang w:val="en-CA"/>
            </w:rPr>
            <w:tab/>
          </w:r>
          <w:hyperlink w:anchor="__RefHeading___Toc485715257">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13.</w:t>
          </w:r>
          <w:r>
            <w:rPr>
              <w:lang w:val="en-CA"/>
            </w:rPr>
            <w:tab/>
          </w:r>
          <w:r>
            <w:rPr>
              <w:color w:val="000000"/>
              <w:lang w:val="en-CA"/>
            </w:rPr>
            <w:t xml:space="preserve"> </w:t>
          </w:r>
          <w:r>
            <w:rPr>
              <w:color w:val="000000"/>
              <w:u w:val="single"/>
              <w:lang w:val="en-CA"/>
            </w:rPr>
            <w:t>UNIFIED RESPONSIBILITIES</w:t>
          </w:r>
          <w:r>
            <w:rPr>
              <w:lang w:val="en-CA"/>
            </w:rPr>
            <w:tab/>
          </w:r>
          <w:hyperlink w:anchor="__RefHeading___Toc485715258">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14.</w:t>
          </w:r>
          <w:r>
            <w:rPr>
              <w:lang w:val="en-CA"/>
            </w:rPr>
            <w:tab/>
          </w:r>
          <w:r>
            <w:rPr>
              <w:color w:val="000000"/>
              <w:lang w:val="en-CA"/>
            </w:rPr>
            <w:t xml:space="preserve"> </w:t>
          </w:r>
          <w:r>
            <w:rPr>
              <w:color w:val="000000"/>
              <w:u w:val="single"/>
              <w:lang w:val="en-CA"/>
            </w:rPr>
            <w:t>NO CLAIM</w:t>
          </w:r>
          <w:r>
            <w:rPr>
              <w:lang w:val="en-CA"/>
            </w:rPr>
            <w:tab/>
          </w:r>
          <w:hyperlink w:anchor="__RefHeading___Toc485715259">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15.</w:t>
          </w:r>
          <w:r>
            <w:rPr>
              <w:lang w:val="en-CA"/>
            </w:rPr>
            <w:tab/>
          </w:r>
          <w:r>
            <w:rPr>
              <w:color w:val="000000"/>
              <w:lang w:val="en-CA"/>
            </w:rPr>
            <w:t xml:space="preserve"> </w:t>
          </w:r>
          <w:r>
            <w:rPr>
              <w:color w:val="000000"/>
              <w:u w:val="single"/>
              <w:lang w:val="en-CA"/>
            </w:rPr>
            <w:t>PARENT GUARANTEE</w:t>
          </w:r>
          <w:r>
            <w:rPr>
              <w:lang w:val="en-CA"/>
            </w:rPr>
            <w:tab/>
          </w:r>
          <w:hyperlink w:anchor="__RefHeading___Toc485715260">
            <w:r>
              <w:rPr>
                <w:rStyle w:val="IndexLink"/>
                <w:lang w:val="en-CA"/>
              </w:rPr>
              <w:t>8</w:t>
            </w:r>
          </w:hyperlink>
        </w:p>
        <w:p>
          <w:pPr>
            <w:pStyle w:val="TOC1"/>
            <w:tabs>
              <w:tab w:val="clear" w:pos="720"/>
              <w:tab w:val="left" w:pos="660" w:leader="none"/>
              <w:tab w:val="right" w:pos="9350" w:leader="dot"/>
            </w:tabs>
            <w:rPr>
              <w:lang w:val="en-CA"/>
            </w:rPr>
          </w:pPr>
          <w:r>
            <w:rPr>
              <w:lang w:val="en-CA"/>
            </w:rPr>
            <w:t>16.</w:t>
            <w:tab/>
          </w:r>
          <w:r>
            <w:rPr>
              <w:u w:val="single"/>
              <w:lang w:val="en-CA"/>
            </w:rPr>
            <w:t>CAPITALIZED TERMS</w:t>
          </w:r>
          <w:r>
            <w:rPr>
              <w:lang w:val="en-CA"/>
            </w:rPr>
            <w:tab/>
          </w:r>
          <w:hyperlink w:anchor="__RefHeading___Toc485715261">
            <w:r>
              <w:rPr>
                <w:rStyle w:val="IndexLink"/>
                <w:lang w:val="en-CA"/>
              </w:rPr>
              <w:t>9</w:t>
            </w:r>
          </w:hyperlink>
          <w:r>
            <w:rPr>
              <w:rStyle w:val="IndexLink"/>
              <w:lang w:val="en-CA"/>
            </w:rPr>
            <w:fldChar w:fldCharType="end"/>
          </w:r>
        </w:p>
      </w:sdtContent>
    </w:sdt>
    <w:p>
      <w:pPr>
        <w:pStyle w:val="TOC1"/>
        <w:rPr>
          <w:lang w:val="en-CA"/>
        </w:rPr>
      </w:pPr>
      <w:r>
        <w:rPr>
          <w:lang w:val="en-CA"/>
        </w:rPr>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t>THIS CONSOLIDATION AGREE</w:t>
        <w:softHyphen/>
        <w:t>MENT ("Consolidation Agreement") is made as of the     th day of June,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numPr>
          <w:ilvl w:val="0"/>
          <w:numId w:val="0"/>
        </w:numPr>
        <w:tabs>
          <w:tab w:val="clear" w:pos="720"/>
          <w:tab w:val="left" w:pos="-720" w:leader="none"/>
        </w:tabs>
        <w:suppressAutoHyphens w:val="true"/>
        <w:jc w:val="both"/>
        <w:outlineLvl w:val="0"/>
        <w:rPr>
          <w:rFonts w:ascii="Univers" w:hAnsi="Univers" w:cs="Univers"/>
        </w:rPr>
      </w:pPr>
      <w:r>
        <w:rPr>
          <w:rFonts w:cs="Univers" w:ascii="Univers" w:hAnsi="Univers"/>
        </w:rPr>
        <w:t>BETWEEN:</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International Operations Company Inc., ("GEIOC"), a corporation organized under the laws of the State of Delaware;</w:t>
      </w:r>
    </w:p>
    <w:p>
      <w:pPr>
        <w:pStyle w:val="Normal"/>
        <w:tabs>
          <w:tab w:val="clear" w:pos="720"/>
          <w:tab w:val="left" w:pos="-720" w:leader="none"/>
        </w:tabs>
        <w:suppressAutoHyphens w:val="true"/>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Power Systems Inc, ("GEPS"), a corporation organized under the laws of the State of Delaware; and</w:t>
      </w:r>
    </w:p>
    <w:p>
      <w:pPr>
        <w:pStyle w:val="Paragraph3"/>
        <w:numPr>
          <w:ilvl w:val="0"/>
          <w:numId w:val="0"/>
        </w:numPr>
        <w:ind w:hanging="0" w:start="0"/>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pPr>
      <w:r>
        <w:rPr>
          <w:rFonts w:cs="Univers" w:ascii="Univers" w:hAnsi="Univers"/>
          <w:sz w:val="22"/>
        </w:rPr>
        <w:tab/>
        <w:tab/>
        <w:t>Enron Energia Industrial de Mexico S. de R.L. de C.V. ("COMPANY") a corpo</w:t>
        <w:softHyphen/>
        <w:t>ration orga</w:t>
        <w:softHyphen/>
        <w:t>nized and exist</w:t>
        <w:softHyphen/>
        <w:t xml:space="preserve">ing under the laws of the Mexico, with an office at </w:t>
      </w:r>
      <w:r>
        <w:rPr>
          <w:rFonts w:cs="Univers" w:ascii="Univers" w:hAnsi="Univers"/>
          <w:color w:val="000000"/>
          <w:sz w:val="22"/>
        </w:rPr>
        <w:t>Avenida Lazaro Cardenas 2321, Ste. 601, Colonia Residencial San Agustin Garza Garcia, Nuevo Leon 66260, Monterrey, Mexico</w:t>
      </w:r>
      <w:r>
        <w:rPr>
          <w:rFonts w:cs="Univers" w:ascii="Univers" w:hAnsi="Univers"/>
          <w:sz w:val="22"/>
        </w:rPr>
        <w:t>.</w:t>
      </w:r>
    </w:p>
    <w:p>
      <w:pPr>
        <w:pStyle w:val="Paragraph3"/>
        <w:jc w:val="both"/>
        <w:rPr>
          <w:rFonts w:ascii="Univers" w:hAnsi="Univers" w:cs="Univers"/>
          <w:sz w:val="22"/>
        </w:rPr>
      </w:pPr>
      <w:r>
        <w:rPr>
          <w:rFonts w:cs="Univers" w:ascii="Univers" w:hAnsi="Univers"/>
          <w:sz w:val="22"/>
        </w:rPr>
      </w:r>
    </w:p>
    <w:p>
      <w:pPr>
        <w:pStyle w:val="Paragraph3"/>
        <w:jc w:val="both"/>
        <w:rPr>
          <w:rFonts w:ascii="Univers" w:hAnsi="Univers" w:cs="Univers"/>
        </w:rPr>
      </w:pPr>
      <w:r>
        <w:rPr>
          <w:rFonts w:cs="Univers" w:ascii="Univers" w:hAnsi="Univers"/>
        </w:rPr>
      </w:r>
    </w:p>
    <w:p>
      <w:pPr>
        <w:pStyle w:val="Paragraph3"/>
        <w:jc w:val="both"/>
        <w:rPr>
          <w:rFonts w:ascii="Univers" w:hAnsi="Univers" w:cs="Univers"/>
        </w:rPr>
      </w:pPr>
      <w:r>
        <w:rPr>
          <w:rFonts w:cs="Univers" w:ascii="Univers" w:hAnsi="Univers"/>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jc w:val="both"/>
        <w:rPr>
          <w:rFonts w:ascii="Univers" w:hAnsi="Univers" w:cs="Univers"/>
        </w:rPr>
      </w:pPr>
      <w:r>
        <w:rPr>
          <w:rFonts w:cs="Univers" w:ascii="Univers" w:hAnsi="Univers"/>
        </w:rPr>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WHEREAS, COMPANY, wishes to engage GEPS and GEIOC to 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jc w:val="both"/>
        <w:rPr>
          <w:rFonts w:ascii="Univers" w:hAnsi="Univers" w:cs="Univers"/>
          <w:sz w:val="22"/>
        </w:rPr>
      </w:pPr>
      <w:r>
        <w:rPr>
          <w:rFonts w:cs="Univers" w:ascii="Univers" w:hAnsi="Univers"/>
          <w:sz w:val="22"/>
        </w:rPr>
      </w:r>
      <w:r>
        <w:br w:type="page"/>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The parties wish to make certain provisions for the coordination and administration of the Contracts.</w:t>
      </w:r>
    </w:p>
    <w:p>
      <w:pPr>
        <w:pStyle w:val="Paragraph2"/>
        <w:jc w:val="both"/>
        <w:rPr>
          <w:rFonts w:ascii="Univers" w:hAnsi="Univers" w:cs="Univers"/>
          <w:sz w:val="22"/>
        </w:rPr>
      </w:pPr>
      <w:r>
        <w:rPr>
          <w:rFonts w:cs="Univers" w:ascii="Univers" w:hAnsi="Univers"/>
          <w:sz w:val="22"/>
        </w:rPr>
      </w:r>
    </w:p>
    <w:p>
      <w:pPr>
        <w:pStyle w:val="Paragraph2"/>
        <w:jc w:val="both"/>
        <w:rPr>
          <w:rFonts w:ascii="Univers" w:hAnsi="Univers" w:cs="Univers"/>
        </w:rPr>
      </w:pPr>
      <w:r>
        <w:rPr>
          <w:rFonts w:cs="Univers" w:ascii="Univers" w:hAnsi="Univers"/>
        </w:rPr>
        <w:t>NOW, in consideration of the above, the parties hereto agree as follows:</w:t>
      </w:r>
    </w:p>
    <w:p>
      <w:pPr>
        <w:pStyle w:val="Paragraph2"/>
        <w:jc w:val="both"/>
        <w:rPr>
          <w:rFonts w:ascii="Univers" w:hAnsi="Univers" w:cs="Univers"/>
        </w:rPr>
      </w:pPr>
      <w:r>
        <w:rPr>
          <w:rFonts w:cs="Univers" w:ascii="Univers" w:hAnsi="Univers"/>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0" w:name="__RefHeading___Toc485715246"/>
      <w:bookmarkEnd w:id="0"/>
      <w:r>
        <w:rPr>
          <w:rFonts w:cs="Univers" w:ascii="Univers" w:hAnsi="Univers"/>
          <w:sz w:val="22"/>
        </w:rPr>
        <w:t>1.</w:t>
        <w:tab/>
      </w:r>
      <w:r>
        <w:rPr>
          <w:rFonts w:cs="Univers" w:ascii="Univers" w:hAnsi="Univers"/>
          <w:sz w:val="22"/>
          <w:u w:val="single"/>
        </w:rPr>
        <w:t>AGGREGATE LIMITATIONS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 each of which are set forth only within one of the Contracts, and the maximum aggregate liability for Liquidated Damages 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remedy and other applicable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 w:name="__RefHeading___Toc485715247"/>
      <w:bookmarkEnd w:id="1"/>
      <w:r>
        <w:rPr>
          <w:rFonts w:cs="Univers" w:ascii="Univers" w:hAnsi="Univers"/>
          <w:sz w:val="22"/>
        </w:rPr>
        <w:t>2.</w:t>
        <w:tab/>
      </w:r>
      <w:r>
        <w:rPr>
          <w:rFonts w:cs="Univers" w:ascii="Univers" w:hAnsi="Univers"/>
          <w:sz w:val="22"/>
          <w:u w:val="single"/>
        </w:rPr>
        <w:t>BINDING EFFECT OF CONTRACTS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Normal"/>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2" w:name="__RefHeading___Toc485715248"/>
      <w:bookmarkEnd w:id="2"/>
      <w:r>
        <w:rPr>
          <w:rFonts w:cs="Univers" w:ascii="Univers" w:hAnsi="Univers"/>
          <w:sz w:val="22"/>
        </w:rPr>
        <w:t>3.</w:t>
        <w:tab/>
      </w:r>
      <w:r>
        <w:rPr>
          <w:rFonts w:cs="Univers" w:ascii="Univers" w:hAnsi="Univers"/>
          <w:sz w:val="22"/>
          <w:u w:val="single"/>
        </w:rPr>
        <w:t>DOUBLE RECOVERY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COMPANY shall not 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GEPS and GEIOC shall not 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COMPANY shall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GEPS and GEIOC shall not contend,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3" w:name="__RefHeading___Toc485715249"/>
      <w:bookmarkEnd w:id="3"/>
      <w:r>
        <w:rPr>
          <w:rFonts w:cs="Univers" w:ascii="Univers" w:hAnsi="Univers"/>
          <w:sz w:val="22"/>
        </w:rPr>
        <w:t>4.</w:t>
        <w:tab/>
      </w:r>
      <w:r>
        <w:rPr>
          <w:rFonts w:cs="Univers" w:ascii="Univers" w:hAnsi="Univers"/>
          <w:sz w:val="22"/>
          <w:u w:val="single"/>
        </w:rPr>
        <w:t>GOVERNING LAW; DISPUTE RESOLUTION</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4" w:name="__RefHeading___Toc485715250"/>
      <w:bookmarkEnd w:id="4"/>
      <w:r>
        <w:rPr>
          <w:rFonts w:cs="Univers" w:ascii="Univers" w:hAnsi="Univers"/>
          <w:sz w:val="22"/>
        </w:rPr>
        <w:t>5.</w:t>
        <w:tab/>
      </w:r>
      <w:r>
        <w:rPr>
          <w:rFonts w:cs="Univers" w:ascii="Univers" w:hAnsi="Univers"/>
          <w:sz w:val="22"/>
          <w:u w:val="single"/>
        </w:rPr>
        <w:t>TERMINATION</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 xml:space="preserve">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5 and to not dis</w:t>
        <w:softHyphen/>
        <w:t>pute the validity of any notice of termina</w:t>
        <w:softHyphen/>
        <w:t>tion or inten</w:t>
        <w:softHyphen/>
        <w:t>tion to terminate issued on the basis of and in accor</w:t>
        <w:softHyphen/>
        <w:t>dance with this Clause 5.</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5" w:name="__RefHeading___Toc485715251"/>
      <w:bookmarkEnd w:id="5"/>
      <w:r>
        <w:rPr>
          <w:rFonts w:cs="Univers" w:ascii="Univers" w:hAnsi="Univers"/>
          <w:sz w:val="22"/>
        </w:rPr>
        <w:t>6.</w:t>
        <w:tab/>
      </w:r>
      <w:r>
        <w:rPr>
          <w:rFonts w:cs="Univers" w:ascii="Univers" w:hAnsi="Univers"/>
          <w:sz w:val="22"/>
          <w:u w:val="single"/>
        </w:rPr>
        <w:t>COMMON NOTICE</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GEPS and GEIOC agree that notice given by COMPANY or its subsidiaries, to GEPS or GEIOC in compliance with the provi</w:t>
        <w:softHyphen/>
        <w:t>sions of one of the Contracts shall be deemed to be notice given pursuant to the corresponding provisions of the other Contract.  GEPS and GEIOC agree that neither shall contend, wheth</w:t>
        <w:softHyphen/>
        <w:t>er in legal proceed</w:t>
        <w:softHyphen/>
        <w:t>ings or otherwise, that a notice given in accor</w:t>
        <w:softHyphen/>
        <w:t>dance with the provisions of this Clause 6 is improperly served or has not been given pursuant to the terms of either of the Con</w:t>
        <w:softHyphen/>
        <w:t>tracts.  COMPANY agrees that it shall not contend, wheth</w:t>
        <w:softHyphen/>
        <w:t>er in legal proceed</w:t>
        <w:softHyphen/>
        <w:t>ings or otherwise, that a notice given in accor</w:t>
        <w:softHyphen/>
        <w:t>dance with the provisions of this Clause 6 is improperly served or has not been given pursuant to the terms of either of the Con</w:t>
        <w:softHyphen/>
        <w:t>tracts. Notices given by GEPS to COMPANY or by COMPANY to GEPS shall otherwise be in accor</w:t>
        <w:softHyphen/>
        <w:t xml:space="preserve">dance with Article XXV of the Contracts. </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jc w:val="both"/>
        <w:rPr>
          <w:rFonts w:ascii="Univers" w:hAnsi="Univers" w:cs="Univers"/>
        </w:rPr>
      </w:pPr>
      <w:r>
        <w:rPr>
          <w:rFonts w:cs="Univers" w:ascii="Univers" w:hAnsi="Univers"/>
        </w:rPr>
        <w:tab/>
        <w:tab/>
      </w:r>
      <w:r>
        <w:rPr>
          <w:rFonts w:cs="Univers" w:ascii="Univers" w:hAnsi="Univers"/>
          <w:color w:val="000000"/>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GEPS and GEOIC's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6" w:name="__RefHeading___Toc485715252"/>
      <w:bookmarkEnd w:id="6"/>
      <w:r>
        <w:rPr>
          <w:rFonts w:cs="Univers" w:ascii="Univers" w:hAnsi="Univers"/>
          <w:sz w:val="22"/>
        </w:rPr>
        <w:t>7.</w:t>
        <w:tab/>
      </w:r>
      <w:r>
        <w:rPr>
          <w:rFonts w:cs="Univers" w:ascii="Univers" w:hAnsi="Univers"/>
          <w:sz w:val="22"/>
          <w:u w:val="single"/>
        </w:rPr>
        <w:t>COORDINATION OF CONTRACT ADMINISTRATION AND DOCUMENT SUBMISSIONS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GEPS and GEIOC shall 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COMPANY shall 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GEPS and GEIOC agree to 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7" w:name="__RefHeading___Toc485715253"/>
      <w:bookmarkEnd w:id="7"/>
      <w:r>
        <w:rPr>
          <w:rFonts w:cs="Univers" w:ascii="Univers" w:hAnsi="Univers"/>
          <w:sz w:val="22"/>
        </w:rPr>
        <w:t>8.</w:t>
        <w:tab/>
      </w:r>
      <w:r>
        <w:rPr>
          <w:rFonts w:cs="Univers" w:ascii="Univers" w:hAnsi="Univers"/>
          <w:sz w:val="22"/>
          <w:u w:val="single"/>
        </w:rPr>
        <w:t>THIRD PARTY BENEFICIARIES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provisions of this Consolidation Agree</w:t>
        <w:softHyphen/>
        <w:t>ment are intended for the benefit of COMPANY (and its lenders, if any), GEPS, and GEIOC, and sub</w:t>
        <w:softHyphen/>
        <w:t>ject to the provi</w:t>
        <w:softHyphen/>
        <w:t>sions of Clause 10,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8" w:name="__RefHeading___Toc485715254"/>
      <w:bookmarkEnd w:id="8"/>
      <w:r>
        <w:rPr>
          <w:rFonts w:cs="Univers" w:ascii="Univers" w:hAnsi="Univers"/>
          <w:sz w:val="22"/>
        </w:rPr>
        <w:t>9.</w:t>
        <w:tab/>
      </w:r>
      <w:r>
        <w:rPr>
          <w:rFonts w:cs="Univers" w:ascii="Univers" w:hAnsi="Univers"/>
          <w:sz w:val="22"/>
          <w:u w:val="single"/>
        </w:rPr>
        <w:t>SECURITY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9" w:name="__RefHeading___Toc485715255"/>
      <w:bookmarkEnd w:id="9"/>
      <w:r>
        <w:rPr>
          <w:rFonts w:cs="Univers" w:ascii="Univers" w:hAnsi="Univers"/>
          <w:sz w:val="22"/>
        </w:rPr>
        <w:t>10.</w:t>
        <w:tab/>
      </w:r>
      <w:r>
        <w:rPr>
          <w:rFonts w:cs="Univers" w:ascii="Univers" w:hAnsi="Univers"/>
          <w:sz w:val="22"/>
          <w:u w:val="single"/>
        </w:rPr>
        <w:t>ASSIGNMENT</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COMPANY shall be entitled to assign this Agreement or any right or obligation contained herein in accordance with Article XXII of the Contracts. Additionally, Company shall have the right to assign or pledge this Agreement as collateral for financing in accordance with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GEPS nor GEIOC, shall not, without the prior written consent of COMPANY, assign to any Person any benefit of or obligation under this Consolidation Agree</w:t>
        <w:softHyphen/>
        <w:t>ment except pursuant to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0" w:name="__RefHeading___Toc485715256"/>
      <w:bookmarkEnd w:id="10"/>
      <w:r>
        <w:rPr>
          <w:rFonts w:cs="Univers" w:ascii="Univers" w:hAnsi="Univers"/>
          <w:sz w:val="22"/>
        </w:rPr>
        <w:t>11.</w:t>
        <w:tab/>
      </w:r>
      <w:r>
        <w:rPr>
          <w:rFonts w:cs="Univers" w:ascii="Univers" w:hAnsi="Univers"/>
          <w:sz w:val="22"/>
          <w:u w:val="single"/>
        </w:rPr>
        <w:t>CONFIDENTIALITY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Normal"/>
        <w:numPr>
          <w:ilvl w:val="0"/>
          <w:numId w:val="0"/>
        </w:numPr>
        <w:spacing w:lineRule="atLeast" w:line="240"/>
        <w:jc w:val="both"/>
        <w:outlineLvl w:val="0"/>
        <w:rPr>
          <w:rFonts w:ascii="Univers" w:hAnsi="Univers" w:cs="Univers"/>
          <w:color w:val="000000"/>
        </w:rPr>
      </w:pPr>
      <w:r>
        <w:rPr>
          <w:rFonts w:cs="Univers" w:ascii="Univers" w:hAnsi="Univers"/>
        </w:rPr>
        <w:t>12.</w:t>
        <w:tab/>
        <w:tab/>
      </w:r>
      <w:r>
        <w:rPr>
          <w:rFonts w:cs="Univers" w:ascii="Univers" w:hAnsi="Univers"/>
          <w:u w:val="single"/>
        </w:rPr>
        <w:t>JOINT AND SEVERALLY LIABLE</w:t>
      </w:r>
      <w:r>
        <w:fldChar w:fldCharType="begin"/>
      </w:r>
      <w:r>
        <w:rPr/>
        <w:instrText xml:space="preserve"> TC "12.</w:instrText>
        <w:tab/>
        <w:instrText xml:space="preserve"/>
        <w:tab/>
        <w:instrText xml:space="preserve">JOINT AND SEVERALLY LIABLE" \l 1 </w:instrText>
      </w:r>
      <w:r>
        <w:rPr/>
        <w:fldChar w:fldCharType="separate"/>
      </w:r>
      <w:r>
        <w:rPr/>
      </w:r>
      <w:r>
        <w:rPr/>
        <w:fldChar w:fldCharType="end"/>
      </w:r>
      <w:bookmarkStart w:id="11" w:name="__RefHeading___Toc485715257"/>
      <w:bookmarkEnd w:id="11"/>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r>
    </w:p>
    <w:p>
      <w:pPr>
        <w:pStyle w:val="Normal"/>
        <w:numPr>
          <w:ilvl w:val="0"/>
          <w:numId w:val="0"/>
        </w:numPr>
        <w:spacing w:lineRule="atLeast" w:line="240"/>
        <w:jc w:val="both"/>
        <w:outlineLvl w:val="0"/>
        <w:rPr>
          <w:rFonts w:ascii="Univers" w:hAnsi="Univers" w:cs="Univers"/>
          <w:color w:val="000000"/>
          <w:u w:val="single"/>
        </w:rPr>
      </w:pPr>
      <w:r>
        <w:rPr>
          <w:rFonts w:cs="Univers" w:ascii="Univers" w:hAnsi="Univers"/>
          <w:color w:val="000000"/>
        </w:rPr>
        <w:t>13.</w:t>
        <w:tab/>
        <w:tab/>
      </w:r>
      <w:r>
        <w:rPr>
          <w:rFonts w:cs="Univers" w:ascii="Univers" w:hAnsi="Univers"/>
          <w:color w:val="000000"/>
          <w:u w:val="single"/>
        </w:rPr>
        <w:t>UNIFIED RESPONSIBILITIES</w:t>
      </w:r>
      <w:r>
        <w:fldChar w:fldCharType="begin"/>
      </w:r>
      <w:r>
        <w:rPr/>
        <w:instrText xml:space="preserve"> TC "13.</w:instrText>
        <w:tab/>
        <w:instrText xml:space="preserve"/>
        <w:tab/>
        <w:instrText xml:space="preserve">UNIFIED RESPONSIBILITIES" \l 1 </w:instrText>
      </w:r>
      <w:r>
        <w:rPr/>
        <w:fldChar w:fldCharType="separate"/>
      </w:r>
      <w:r>
        <w:rPr/>
      </w:r>
      <w:r>
        <w:rPr/>
        <w:fldChar w:fldCharType="end"/>
      </w:r>
      <w:bookmarkStart w:id="12" w:name="__RefHeading___Toc485715258"/>
      <w:bookmarkEnd w:id="12"/>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 xml:space="preserve">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lump sum contract. </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rPr>
        <w:t>14.</w:t>
        <w:tab/>
        <w:tab/>
      </w:r>
      <w:r>
        <w:rPr>
          <w:rFonts w:cs="Univers" w:ascii="Univers" w:hAnsi="Univers"/>
          <w:color w:val="000000"/>
          <w:u w:val="single"/>
        </w:rPr>
        <w:t>NO CLAIM</w:t>
      </w:r>
      <w:r>
        <w:fldChar w:fldCharType="begin"/>
      </w:r>
      <w:r>
        <w:rPr/>
        <w:instrText xml:space="preserve"> TC "14.</w:instrText>
        <w:tab/>
        <w:instrText xml:space="preserve"/>
        <w:tab/>
        <w:instrText xml:space="preserve">NO CLAIM" \l 1 </w:instrText>
      </w:r>
      <w:r>
        <w:rPr/>
        <w:fldChar w:fldCharType="separate"/>
      </w:r>
      <w:r>
        <w:rPr/>
      </w:r>
      <w:r>
        <w:rPr/>
        <w:fldChar w:fldCharType="end"/>
      </w:r>
      <w:bookmarkStart w:id="13" w:name="__RefHeading___Toc485715259"/>
      <w:bookmarkEnd w:id="13"/>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rPr>
        <w:t>15.</w:t>
        <w:tab/>
        <w:tab/>
      </w:r>
      <w:r>
        <w:rPr>
          <w:rFonts w:cs="Univers" w:ascii="Univers" w:hAnsi="Univers"/>
          <w:color w:val="000000"/>
          <w:u w:val="single"/>
        </w:rPr>
        <w:t>PARENT GUARANTEE</w:t>
      </w:r>
      <w:r>
        <w:fldChar w:fldCharType="begin"/>
      </w:r>
      <w:r>
        <w:rPr/>
        <w:instrText xml:space="preserve"> TC "15.</w:instrText>
        <w:tab/>
        <w:instrText xml:space="preserve"/>
        <w:tab/>
        <w:instrText xml:space="preserve">PARENT GUARANTEE" \l 1 </w:instrText>
      </w:r>
      <w:r>
        <w:rPr/>
        <w:fldChar w:fldCharType="separate"/>
      </w:r>
      <w:r>
        <w:rPr/>
      </w:r>
      <w:r>
        <w:rPr/>
        <w:fldChar w:fldCharType="end"/>
      </w:r>
      <w:bookmarkStart w:id="14" w:name="__RefHeading___Toc485715260"/>
      <w:bookmarkEnd w:id="14"/>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color w:val="000000"/>
        </w:rPr>
        <w:t xml:space="preserve">COMPANY shall provide a parent guarantee from Enron North America Corp., substantially in the form set forth in Exhibit C-2 of the Contracts, within thirty days after the date of execution of the Contracts.  </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5" w:name="__RefHeading___Toc485715261"/>
      <w:bookmarkEnd w:id="15"/>
      <w:r>
        <w:rPr>
          <w:rFonts w:cs="Univers" w:ascii="Univers" w:hAnsi="Univers"/>
          <w:sz w:val="22"/>
        </w:rPr>
        <w:t>16.</w:t>
        <w:tab/>
      </w:r>
      <w:r>
        <w:rPr>
          <w:rFonts w:cs="Univers" w:ascii="Univers" w:hAnsi="Univers"/>
          <w:sz w:val="22"/>
          <w:u w:val="single"/>
        </w:rPr>
        <w:t>CAPITALIZED TERMS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rFonts w:ascii="Univers" w:hAnsi="Univers" w:cs="Univers"/>
        </w:rPr>
      </w:pPr>
      <w:r>
        <w:rPr>
          <w:rFonts w:cs="Univers" w:ascii="Univers" w:hAnsi="Univers"/>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Univers" w:ascii="Univers" w:hAnsi="Univers"/>
        <w:sz w:val="16"/>
      </w:rPr>
      <w:t>GE Vitro Wrap rev 4, June 15, 2000</w:t>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Univers" w:hAnsi="Univers" w:cs="Univers"/>
        <w:sz w:val="16"/>
      </w:rPr>
    </w:pPr>
    <w:r>
      <w:rPr>
        <w:rFonts w:cs="Univers" w:ascii="Univers" w:hAnsi="Univers"/>
        <w:sz w:val="16"/>
      </w:rPr>
      <w:t>GE Vitro Wrap rev 5, June 20, 2000</w:t>
      <w:tab/>
      <w:tab/>
      <w:tab/>
      <w:tab/>
      <w:tab/>
      <w:tab/>
      <w:tab/>
      <w:tab/>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192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7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bidi="ar-SA" w:eastAsia="zh-C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TOC1">
    <w:name w:val="toc 1"/>
    <w:basedOn w:val="Normal"/>
    <w:next w:val="Normal"/>
    <w:pPr>
      <w:spacing w:before="120" w:after="0"/>
      <w:jc w:val="both"/>
    </w:pPr>
    <w:rPr>
      <w:rFonts w:ascii="Univers" w:hAnsi="Univers" w:cs="Univers"/>
      <w:caps/>
      <w:sz w:val="20"/>
    </w:rPr>
  </w:style>
  <w:style w:type="paragraph" w:styleId="TOC2">
    <w:name w:val="toc 2"/>
    <w:basedOn w:val="Normal"/>
    <w:next w:val="Normal"/>
    <w:pPr>
      <w:ind w:hanging="0" w:start="220" w:end="0"/>
    </w:pPr>
    <w:rPr>
      <w:smallCaps/>
      <w:sz w:val="20"/>
    </w:rPr>
  </w:style>
  <w:style w:type="paragraph" w:styleId="TOC3">
    <w:name w:val="toc 3"/>
    <w:basedOn w:val="Normal"/>
    <w:next w:val="Normal"/>
    <w:pPr>
      <w:ind w:hanging="0" w:start="440" w:end="0"/>
    </w:pPr>
    <w:rPr>
      <w:i/>
      <w:sz w:val="20"/>
    </w:rPr>
  </w:style>
  <w:style w:type="paragraph" w:styleId="TOC4">
    <w:name w:val="toc 4"/>
    <w:basedOn w:val="Normal"/>
    <w:next w:val="Normal"/>
    <w:pPr>
      <w:ind w:hanging="0" w:start="660" w:end="0"/>
    </w:pPr>
    <w:rPr>
      <w:sz w:val="18"/>
    </w:rPr>
  </w:style>
  <w:style w:type="paragraph" w:styleId="TOC5">
    <w:name w:val="toc 5"/>
    <w:basedOn w:val="Normal"/>
    <w:next w:val="Normal"/>
    <w:pPr>
      <w:ind w:hanging="0" w:start="880" w:end="0"/>
    </w:pPr>
    <w:rPr>
      <w:sz w:val="18"/>
    </w:rPr>
  </w:style>
  <w:style w:type="paragraph" w:styleId="TOC6">
    <w:name w:val="toc 6"/>
    <w:basedOn w:val="Normal"/>
    <w:next w:val="Normal"/>
    <w:pPr>
      <w:ind w:hanging="0" w:start="1100" w:end="0"/>
    </w:pPr>
    <w:rPr>
      <w:sz w:val="18"/>
    </w:rPr>
  </w:style>
  <w:style w:type="paragraph" w:styleId="TOC7">
    <w:name w:val="toc 7"/>
    <w:basedOn w:val="Normal"/>
    <w:next w:val="Normal"/>
    <w:pPr>
      <w:ind w:hanging="0" w:start="1320" w:end="0"/>
    </w:pPr>
    <w:rPr>
      <w:sz w:val="18"/>
    </w:rPr>
  </w:style>
  <w:style w:type="paragraph" w:styleId="TOC8">
    <w:name w:val="toc 8"/>
    <w:basedOn w:val="Normal"/>
    <w:next w:val="Normal"/>
    <w:pPr>
      <w:ind w:hanging="0" w:start="1540" w:end="0"/>
    </w:pPr>
    <w:rPr>
      <w:sz w:val="18"/>
    </w:rPr>
  </w:style>
  <w:style w:type="paragraph" w:styleId="TOC9">
    <w:name w:val="toc 9"/>
    <w:basedOn w:val="Normal"/>
    <w:next w:val="Normal"/>
    <w:pPr>
      <w:ind w:hanging="0" w:start="1760" w:end="0"/>
    </w:pPr>
    <w:rPr>
      <w:sz w:val="18"/>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2000-06-19T20:10:00Z</dcterms:created>
  <dc:creator>m v</dc:creator>
  <dc:description/>
  <dc:language>en-CA</dc:language>
  <cp:lastModifiedBy>Enron Technology</cp:lastModifiedBy>
  <cp:lastPrinted>2000-06-19T17:48:00Z</cp:lastPrinted>
  <dcterms:modified xsi:type="dcterms:W3CDTF">2000-06-19T20:30:00Z</dcterms:modified>
  <cp:revision>4</cp:revision>
  <dc:subject/>
  <dc:title/>
</cp:coreProperties>
</file>