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00"/>
        <w:jc w:val="both"/>
        <w:rPr/>
      </w:pPr>
      <w:r>
        <w:rPr>
          <w:rFonts w:cs="Arial" w:ascii="Arial" w:hAnsi="Arial"/>
          <w:sz w:val="22"/>
        </w:rPr>
        <w:t xml:space="preserve">17.2   </w:t>
      </w:r>
      <w:r>
        <w:rPr>
          <w:rFonts w:cs="Arial" w:ascii="Arial" w:hAnsi="Arial"/>
          <w:sz w:val="22"/>
          <w:u w:val="single"/>
        </w:rPr>
        <w:t>Purchaser's Remedies Against Seller</w:t>
      </w:r>
      <w:r>
        <w:rPr>
          <w:rFonts w:cs="Arial" w:ascii="Arial" w:hAnsi="Arial"/>
          <w:sz w:val="22"/>
        </w:rPr>
        <w:t>.  The provisions of Article XXVI hereof notwithstanding, and without limitation of Purchaser's rights under Article X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In the case of Event of Seller Default as set forth in Section 17.1 (c) (1) or (2), and if Section 17.3(b) is applicable, Purchaser shall be entitled to such Liquidated Damages plus other amounts as associated with the termination.</w:t>
      </w:r>
    </w:p>
    <w:p>
      <w:pPr>
        <w:pStyle w:val="Normal"/>
        <w:spacing w:lineRule="auto" w:line="300"/>
        <w:jc w:val="both"/>
        <w:rPr>
          <w:rFonts w:ascii="Arial" w:hAnsi="Arial" w:cs="Arial"/>
          <w:sz w:val="22"/>
        </w:rPr>
      </w:pPr>
      <w:r>
        <w:rPr>
          <w:rFonts w:cs="Arial" w:ascii="Arial" w:hAnsi="Arial"/>
          <w:sz w:val="22"/>
        </w:rPr>
      </w:r>
    </w:p>
    <w:p>
      <w:pPr>
        <w:pStyle w:val="Normal"/>
        <w:spacing w:lineRule="auto" w:line="300"/>
        <w:jc w:val="both"/>
        <w:rPr/>
      </w:pPr>
      <w:r>
        <w:rPr>
          <w:rFonts w:cs="Arial" w:ascii="Arial" w:hAnsi="Arial"/>
          <w:sz w:val="22"/>
        </w:rPr>
        <w:t xml:space="preserve">17.3   </w:t>
      </w:r>
      <w:r>
        <w:rPr>
          <w:rFonts w:cs="Arial" w:ascii="Arial" w:hAnsi="Arial"/>
          <w:sz w:val="22"/>
          <w:u w:val="single"/>
        </w:rPr>
        <w:t>General Obligations</w:t>
      </w:r>
      <w:r>
        <w:rPr>
          <w:rFonts w:cs="Arial" w:ascii="Arial" w:hAnsi="Arial"/>
          <w:sz w:val="22"/>
        </w:rPr>
        <w:t xml:space="preserve">  If Purchaser elects to terminate this Agreement pursuant to Section 17.2 hereof, Seller shall, at Purchaser's request and at Seller's expense, either:</w:t>
      </w:r>
    </w:p>
    <w:p>
      <w:pPr>
        <w:pStyle w:val="Normal"/>
        <w:spacing w:lineRule="auto" w:line="300"/>
        <w:jc w:val="both"/>
        <w:rPr>
          <w:rFonts w:ascii="Arial" w:hAnsi="Arial" w:cs="Arial"/>
          <w:sz w:val="22"/>
        </w:rPr>
      </w:pPr>
      <w:r>
        <w:rPr>
          <w:rFonts w:cs="Arial" w:ascii="Arial" w:hAnsi="Arial"/>
          <w:sz w:val="22"/>
        </w:rPr>
      </w:r>
    </w:p>
    <w:p>
      <w:pPr>
        <w:pStyle w:val="Normal"/>
        <w:spacing w:lineRule="auto" w:line="300"/>
        <w:ind w:hanging="720" w:start="1440" w:end="0"/>
        <w:jc w:val="both"/>
        <w:rPr>
          <w:rFonts w:ascii="Arial" w:hAnsi="Arial" w:cs="Arial"/>
          <w:sz w:val="22"/>
        </w:rPr>
      </w:pPr>
      <w:r>
        <w:rPr>
          <w:rFonts w:cs="Arial" w:ascii="Arial" w:hAnsi="Arial"/>
          <w:sz w:val="22"/>
        </w:rPr>
        <w:t>(a)</w:t>
        <w:tab/>
        <w:t>promptly refund all amounts paid to date and pay Cover Damages plus the Termination Costs described in Sections 17.4.2(i) and 17.4.2 (iv) described below; or</w:t>
      </w:r>
    </w:p>
    <w:p>
      <w:pPr>
        <w:pStyle w:val="Normal"/>
        <w:spacing w:lineRule="auto" w:line="300"/>
        <w:ind w:hanging="720" w:start="1440" w:end="0"/>
        <w:jc w:val="both"/>
        <w:rPr>
          <w:rFonts w:ascii="Arial" w:hAnsi="Arial" w:cs="Arial"/>
          <w:sz w:val="22"/>
        </w:rPr>
      </w:pPr>
      <w:r>
        <w:rPr>
          <w:rFonts w:cs="Arial" w:ascii="Arial" w:hAnsi="Arial"/>
          <w:sz w:val="22"/>
        </w:rPr>
      </w:r>
    </w:p>
    <w:p>
      <w:pPr>
        <w:pStyle w:val="Normal"/>
        <w:spacing w:lineRule="auto" w:line="300"/>
        <w:ind w:hanging="720" w:start="1440" w:end="0"/>
        <w:jc w:val="both"/>
        <w:rPr>
          <w:rFonts w:ascii="Arial" w:hAnsi="Arial" w:cs="Arial"/>
          <w:sz w:val="22"/>
        </w:rPr>
      </w:pPr>
      <w:r>
        <w:rPr>
          <w:rFonts w:cs="Arial" w:ascii="Arial" w:hAnsi="Arial"/>
          <w:sz w:val="22"/>
        </w:rPr>
        <w:t>(b)</w:t>
        <w:tab/>
        <w:t xml:space="preserve">perform the following services relative to the Scope of Work so affected; or </w:t>
      </w:r>
    </w:p>
    <w:p>
      <w:pPr>
        <w:pStyle w:val="Normal"/>
        <w:spacing w:lineRule="auto" w:line="300"/>
        <w:jc w:val="both"/>
        <w:rPr>
          <w:rFonts w:ascii="Arial" w:hAnsi="Arial" w:cs="Arial"/>
          <w:sz w:val="22"/>
        </w:rPr>
      </w:pPr>
      <w:r>
        <w:rPr>
          <w:rFonts w:cs="Arial" w:ascii="Arial" w:hAnsi="Arial"/>
          <w:sz w:val="22"/>
        </w:rPr>
      </w:r>
    </w:p>
    <w:p>
      <w:pPr>
        <w:pStyle w:val="Normal"/>
        <w:tabs>
          <w:tab w:val="clear" w:pos="720"/>
          <w:tab w:val="left" w:pos="-1440" w:leader="none"/>
        </w:tabs>
        <w:spacing w:lineRule="auto" w:line="300"/>
        <w:ind w:start="2160" w:end="0"/>
        <w:jc w:val="both"/>
        <w:rPr>
          <w:rFonts w:ascii="Arial" w:hAnsi="Arial" w:cs="Arial"/>
          <w:sz w:val="22"/>
        </w:rPr>
      </w:pPr>
      <w:r>
        <w:rPr>
          <w:rFonts w:cs="Arial" w:ascii="Arial" w:hAnsi="Arial"/>
          <w:sz w:val="22"/>
        </w:rPr>
        <w:t>(1)</w:t>
        <w:tab/>
        <w:t>assist  Purchaser in preparing an inventory of all Equipment and documentation to which Purchaser has not already taken title;</w:t>
      </w:r>
    </w:p>
    <w:p>
      <w:pPr>
        <w:pStyle w:val="Normal"/>
        <w:spacing w:lineRule="auto" w:line="300"/>
        <w:ind w:start="2160" w:end="0"/>
        <w:jc w:val="both"/>
        <w:rPr>
          <w:rFonts w:ascii="Arial" w:hAnsi="Arial" w:cs="Arial"/>
          <w:sz w:val="22"/>
        </w:rPr>
      </w:pPr>
      <w:r>
        <w:rPr>
          <w:rFonts w:cs="Arial" w:ascii="Arial" w:hAnsi="Arial"/>
          <w:sz w:val="22"/>
        </w:rPr>
      </w:r>
    </w:p>
    <w:p>
      <w:pPr>
        <w:pStyle w:val="Level1"/>
        <w:widowControl/>
        <w:tabs>
          <w:tab w:val="clear" w:pos="720"/>
          <w:tab w:val="left" w:pos="-1440" w:leader="none"/>
          <w:tab w:val="left" w:pos="360" w:leader="none"/>
          <w:tab w:val="left" w:pos="1440" w:leader="none"/>
        </w:tabs>
        <w:spacing w:lineRule="auto" w:line="300"/>
        <w:ind w:hanging="0" w:start="2160" w:end="0"/>
        <w:jc w:val="both"/>
        <w:rPr>
          <w:sz w:val="22"/>
        </w:rPr>
      </w:pPr>
      <w:r>
        <w:rPr>
          <w:sz w:val="22"/>
        </w:rPr>
        <w:t>(2)</w:t>
        <w:tab/>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authorizations, approvals and rights to complete and to use the Equipment under patents and other proprietary or intellectual property rights then held by Seller or its Vendors pertaining to the Equipment;</w:t>
      </w:r>
    </w:p>
    <w:p>
      <w:pPr>
        <w:pStyle w:val="Normal"/>
        <w:spacing w:lineRule="auto" w:line="300"/>
        <w:ind w:start="2160" w:end="0"/>
        <w:jc w:val="both"/>
        <w:rPr>
          <w:rFonts w:ascii="Arial" w:hAnsi="Arial" w:cs="Arial"/>
          <w:sz w:val="22"/>
        </w:rPr>
      </w:pPr>
      <w:r>
        <w:rPr>
          <w:rFonts w:cs="Arial" w:ascii="Arial" w:hAnsi="Arial"/>
          <w:sz w:val="22"/>
        </w:rPr>
      </w:r>
    </w:p>
    <w:p>
      <w:pPr>
        <w:pStyle w:val="Normal"/>
        <w:tabs>
          <w:tab w:val="clear" w:pos="720"/>
          <w:tab w:val="left" w:pos="-1440" w:leader="none"/>
        </w:tabs>
        <w:spacing w:lineRule="auto" w:line="300"/>
        <w:ind w:start="2160" w:end="0"/>
        <w:jc w:val="both"/>
        <w:rPr>
          <w:rFonts w:ascii="Arial" w:hAnsi="Arial" w:cs="Arial"/>
          <w:sz w:val="22"/>
        </w:rPr>
      </w:pPr>
      <w:r>
        <w:rPr>
          <w:rFonts w:cs="Arial" w:ascii="Arial" w:hAnsi="Arial"/>
          <w:sz w:val="22"/>
        </w:rPr>
        <w:t>(3)</w:t>
        <w:tab/>
        <w:t>afford to Purchaser all design, expertise and other information as may be  necessary for the operation of the Equipment for which title has passed to Purchaser (subject to the requirements of Section 21.1 hereof); and</w:t>
      </w:r>
    </w:p>
    <w:p>
      <w:pPr>
        <w:pStyle w:val="Normal"/>
        <w:spacing w:lineRule="auto" w:line="300"/>
        <w:ind w:start="2160" w:end="0"/>
        <w:jc w:val="both"/>
        <w:rPr>
          <w:rFonts w:ascii="Arial" w:hAnsi="Arial" w:cs="Arial"/>
          <w:sz w:val="22"/>
        </w:rPr>
      </w:pPr>
      <w:r>
        <w:rPr>
          <w:rFonts w:cs="Arial" w:ascii="Arial" w:hAnsi="Arial"/>
          <w:sz w:val="22"/>
        </w:rPr>
      </w:r>
    </w:p>
    <w:p>
      <w:pPr>
        <w:pStyle w:val="Level1"/>
        <w:widowControl/>
        <w:tabs>
          <w:tab w:val="clear" w:pos="720"/>
          <w:tab w:val="left" w:pos="-1440" w:leader="none"/>
          <w:tab w:val="left" w:pos="360" w:leader="none"/>
          <w:tab w:val="left" w:pos="1440" w:leader="none"/>
        </w:tabs>
        <w:spacing w:lineRule="auto" w:line="300"/>
        <w:ind w:hanging="0" w:start="2160" w:end="0"/>
        <w:jc w:val="both"/>
        <w:rPr>
          <w:sz w:val="22"/>
        </w:rPr>
      </w:pPr>
      <w:r>
        <w:rPr>
          <w:sz w:val="22"/>
        </w:rPr>
        <w:t>(4)</w:t>
        <w:tab/>
        <w:t>supply any proprietary components or procure and supply substituted nonproprietary components need for the completion and operation of the Equipment.</w:t>
      </w:r>
    </w:p>
    <w:p>
      <w:pPr>
        <w:pStyle w:val="Normal"/>
        <w:spacing w:lineRule="auto" w:line="300"/>
        <w:jc w:val="both"/>
        <w:rPr>
          <w:rFonts w:ascii="Arial" w:hAnsi="Arial" w:cs="Arial"/>
          <w:sz w:val="22"/>
        </w:rPr>
      </w:pPr>
      <w:r>
        <w:rPr>
          <w:rFonts w:cs="Arial" w:ascii="Arial" w:hAnsi="Arial"/>
          <w:sz w:val="22"/>
        </w:rPr>
      </w:r>
    </w:p>
    <w:p>
      <w:pPr>
        <w:pStyle w:val="Normal"/>
        <w:spacing w:lineRule="auto" w:line="300"/>
        <w:jc w:val="both"/>
        <w:rPr/>
      </w:pPr>
      <w:r>
        <w:rPr>
          <w:rFonts w:cs="Arial" w:ascii="Arial" w:hAnsi="Arial"/>
          <w:sz w:val="22"/>
        </w:rPr>
        <w:t xml:space="preserve">17.4   </w:t>
      </w:r>
      <w:r>
        <w:rPr>
          <w:rFonts w:cs="Arial" w:ascii="Arial" w:hAnsi="Arial"/>
          <w:sz w:val="22"/>
          <w:u w:val="single"/>
        </w:rPr>
        <w:t>Payment Obligations</w:t>
      </w:r>
      <w:r>
        <w:rPr>
          <w:rFonts w:cs="Arial" w:ascii="Arial" w:hAnsi="Arial"/>
          <w:sz w:val="22"/>
        </w:rPr>
        <w:t>.</w:t>
      </w:r>
    </w:p>
    <w:p>
      <w:pPr>
        <w:pStyle w:val="Normal"/>
        <w:spacing w:lineRule="auto" w:line="300"/>
        <w:jc w:val="both"/>
        <w:rPr>
          <w:rFonts w:ascii="Arial" w:hAnsi="Arial" w:cs="Arial"/>
          <w:sz w:val="22"/>
        </w:rPr>
      </w:pPr>
      <w:r>
        <w:rPr>
          <w:rFonts w:cs="Arial" w:ascii="Arial" w:hAnsi="Arial"/>
          <w:sz w:val="22"/>
        </w:rPr>
      </w:r>
    </w:p>
    <w:p>
      <w:pPr>
        <w:pStyle w:val="Normal"/>
        <w:spacing w:lineRule="auto" w:line="300"/>
        <w:jc w:val="both"/>
        <w:rPr/>
      </w:pPr>
      <w:r>
        <w:rPr>
          <w:rFonts w:cs="Arial" w:ascii="Arial" w:hAnsi="Arial"/>
          <w:sz w:val="22"/>
        </w:rPr>
        <w:t xml:space="preserve">17.4.1   </w:t>
      </w:r>
      <w:r>
        <w:rPr>
          <w:rFonts w:cs="Arial" w:ascii="Arial" w:hAnsi="Arial"/>
          <w:sz w:val="22"/>
          <w:u w:val="single"/>
        </w:rPr>
        <w:t>Determination of Obligations</w:t>
      </w:r>
      <w:r>
        <w:rPr>
          <w:rFonts w:cs="Arial" w:ascii="Arial" w:hAnsi="Arial"/>
          <w:sz w:val="22"/>
        </w:rPr>
        <w:t xml:space="preserve">.  If Purchaser terminates this Agreement pursuant to Section 17.2 hereof and requests delivery of the Equipment and the materials and services described in Section 17.3(b) above, Purchaser shall determine the value of that portion of the Scope of Work, which has been properly completed, if any (the "Proper Scope Value").  If Purchaser has paid Seller an amount greater than the Proper Scope Value the difference between the amount paid to Seller and the  Proper Scope Value (the "Refund Amount") shall be settled between the parties in accordance with Section 17.4.4 below.  If the amount paid by Purchaser to Seller is less than the Proper Scope Value, the difference between the amount paid and the Proper Scope Value (the “Scope Value Due") shall be settled between the parties in accordance with Section 17.4.4 below.  If Seller disagrees with Purchaser’s determination of the Proper Scope Value, such dispute shall be resolved in accordance with Article XVI. </w:t>
      </w:r>
    </w:p>
    <w:p>
      <w:pPr>
        <w:pStyle w:val="Normal"/>
        <w:spacing w:lineRule="auto" w:line="300"/>
        <w:jc w:val="both"/>
        <w:rPr>
          <w:rFonts w:ascii="Arial" w:hAnsi="Arial" w:cs="Arial"/>
          <w:sz w:val="22"/>
        </w:rPr>
      </w:pPr>
      <w:r>
        <w:rPr>
          <w:rFonts w:cs="Arial" w:ascii="Arial" w:hAnsi="Arial"/>
          <w:sz w:val="22"/>
        </w:rPr>
      </w:r>
    </w:p>
    <w:p>
      <w:pPr>
        <w:pStyle w:val="Normal"/>
        <w:spacing w:lineRule="auto" w:line="300"/>
        <w:jc w:val="both"/>
        <w:rPr/>
      </w:pPr>
      <w:r>
        <w:rPr>
          <w:rFonts w:cs="Arial" w:ascii="Arial" w:hAnsi="Arial"/>
          <w:sz w:val="22"/>
        </w:rPr>
        <w:t xml:space="preserve">17.4.2   </w:t>
      </w:r>
      <w:r>
        <w:rPr>
          <w:rFonts w:cs="Arial" w:ascii="Arial" w:hAnsi="Arial"/>
          <w:sz w:val="22"/>
          <w:u w:val="single"/>
        </w:rPr>
        <w:t>Damages and Expenses</w:t>
      </w:r>
      <w:r>
        <w:rPr>
          <w:rFonts w:cs="Arial" w:ascii="Arial" w:hAnsi="Arial"/>
          <w:sz w:val="22"/>
        </w:rPr>
        <w:t>.  Purchaser shall determine the total damages and reasonable and necessary expenses incurred in connection with:</w:t>
      </w:r>
    </w:p>
    <w:p>
      <w:pPr>
        <w:pStyle w:val="Normal"/>
        <w:spacing w:lineRule="auto" w:line="300"/>
        <w:jc w:val="both"/>
        <w:rPr>
          <w:rFonts w:ascii="Arial" w:hAnsi="Arial" w:cs="Arial"/>
          <w:sz w:val="22"/>
        </w:rPr>
      </w:pPr>
      <w:r>
        <w:rPr>
          <w:rFonts w:cs="Arial" w:ascii="Arial" w:hAnsi="Arial"/>
          <w:sz w:val="22"/>
        </w:rPr>
      </w:r>
    </w:p>
    <w:p>
      <w:pPr>
        <w:pStyle w:val="Normal"/>
        <w:tabs>
          <w:tab w:val="clear" w:pos="720"/>
          <w:tab w:val="left" w:pos="-1440" w:leader="none"/>
        </w:tabs>
        <w:spacing w:lineRule="auto" w:line="300"/>
        <w:ind w:hanging="720" w:start="1440" w:end="0"/>
        <w:jc w:val="both"/>
        <w:rPr>
          <w:rFonts w:ascii="Arial" w:hAnsi="Arial" w:cs="Arial"/>
          <w:sz w:val="22"/>
        </w:rPr>
      </w:pPr>
      <w:r>
        <w:rPr>
          <w:rFonts w:cs="Arial" w:ascii="Arial" w:hAnsi="Arial"/>
          <w:sz w:val="22"/>
        </w:rPr>
        <w:t>(i)</w:t>
        <w:tab/>
        <w:t>the termination of this Agreement (including all legal fees and expenses for,  inter alia, the negotiation of an agreement with an alternate supplier);</w:t>
      </w:r>
    </w:p>
    <w:p>
      <w:pPr>
        <w:pStyle w:val="Normal"/>
        <w:spacing w:lineRule="auto" w:line="300"/>
        <w:jc w:val="both"/>
        <w:rPr>
          <w:rFonts w:ascii="Arial" w:hAnsi="Arial" w:eastAsia="Arial" w:cs="Arial"/>
          <w:sz w:val="22"/>
        </w:rPr>
      </w:pPr>
      <w:r>
        <w:rPr>
          <w:rFonts w:eastAsia="Arial" w:cs="Arial" w:ascii="Arial" w:hAnsi="Arial"/>
          <w:sz w:val="22"/>
        </w:rPr>
        <w:t xml:space="preserve"> </w:t>
      </w:r>
    </w:p>
    <w:p>
      <w:pPr>
        <w:pStyle w:val="Normal"/>
        <w:tabs>
          <w:tab w:val="clear" w:pos="720"/>
          <w:tab w:val="left" w:pos="-1440" w:leader="none"/>
        </w:tabs>
        <w:spacing w:lineRule="auto" w:line="300"/>
        <w:ind w:hanging="720" w:start="1440" w:end="0"/>
        <w:jc w:val="both"/>
        <w:rPr>
          <w:rFonts w:ascii="Arial" w:hAnsi="Arial" w:cs="Arial"/>
          <w:sz w:val="22"/>
        </w:rPr>
      </w:pPr>
      <w:r>
        <w:rPr>
          <w:rFonts w:cs="Arial" w:ascii="Arial" w:hAnsi="Arial"/>
          <w:sz w:val="22"/>
        </w:rPr>
        <w:t>(ii)</w:t>
        <w:tab/>
        <w:t>if Section 17.3(b) hereof is applicable, any rework, modifications or replacement of the Equipment to cause it to comply with the requirements of this Agreement;</w:t>
      </w:r>
    </w:p>
    <w:p>
      <w:pPr>
        <w:pStyle w:val="Normal"/>
        <w:spacing w:lineRule="auto" w:line="300"/>
        <w:jc w:val="both"/>
        <w:rPr>
          <w:rFonts w:ascii="Arial" w:hAnsi="Arial" w:eastAsia="Arial" w:cs="Arial"/>
          <w:sz w:val="22"/>
        </w:rPr>
      </w:pPr>
      <w:r>
        <w:rPr>
          <w:rFonts w:eastAsia="Arial" w:cs="Arial" w:ascii="Arial" w:hAnsi="Arial"/>
          <w:sz w:val="22"/>
        </w:rPr>
        <w:t xml:space="preserve"> </w:t>
      </w:r>
    </w:p>
    <w:p>
      <w:pPr>
        <w:pStyle w:val="Normal"/>
        <w:tabs>
          <w:tab w:val="clear" w:pos="720"/>
          <w:tab w:val="left" w:pos="-1440" w:leader="none"/>
        </w:tabs>
        <w:spacing w:lineRule="auto" w:line="300"/>
        <w:ind w:hanging="720" w:start="1440" w:end="0"/>
        <w:jc w:val="both"/>
        <w:rPr>
          <w:rFonts w:ascii="Arial" w:hAnsi="Arial" w:cs="Arial"/>
          <w:sz w:val="22"/>
        </w:rPr>
      </w:pPr>
      <w:r>
        <w:rPr>
          <w:rFonts w:cs="Arial" w:ascii="Arial" w:hAnsi="Arial"/>
          <w:sz w:val="22"/>
        </w:rPr>
        <w:t>(iii)</w:t>
        <w:tab/>
        <w:t>if Section 17.3(b) hereof is applicable, the completion of the Scope of Work and all associated incidental costs; and</w:t>
      </w:r>
    </w:p>
    <w:p>
      <w:pPr>
        <w:pStyle w:val="Normal"/>
        <w:spacing w:lineRule="auto" w:line="300"/>
        <w:jc w:val="both"/>
        <w:rPr>
          <w:rFonts w:ascii="Arial" w:hAnsi="Arial" w:cs="Arial"/>
          <w:sz w:val="22"/>
        </w:rPr>
      </w:pPr>
      <w:r>
        <w:rPr>
          <w:rFonts w:cs="Arial" w:ascii="Arial" w:hAnsi="Arial"/>
          <w:sz w:val="22"/>
        </w:rPr>
      </w:r>
    </w:p>
    <w:p>
      <w:pPr>
        <w:pStyle w:val="Normal"/>
        <w:tabs>
          <w:tab w:val="clear" w:pos="720"/>
          <w:tab w:val="left" w:pos="-1440" w:leader="none"/>
        </w:tabs>
        <w:spacing w:lineRule="auto" w:line="300"/>
        <w:ind w:hanging="720" w:start="1440" w:end="0"/>
        <w:jc w:val="both"/>
        <w:rPr>
          <w:rFonts w:ascii="Arial" w:hAnsi="Arial" w:cs="Arial"/>
          <w:sz w:val="22"/>
        </w:rPr>
      </w:pPr>
      <w:r>
        <w:rPr>
          <w:rFonts w:cs="Arial" w:ascii="Arial" w:hAnsi="Arial"/>
          <w:sz w:val="22"/>
        </w:rPr>
        <w:t>(iv)</w:t>
        <w:tab/>
        <w:t>amounts otherwise due Purchaser from Seller pursuant to this Agreement (including but not limited to Liquidated Damages and Take Over Liquidated Damages).</w:t>
      </w:r>
    </w:p>
    <w:p>
      <w:pPr>
        <w:pStyle w:val="Normal"/>
        <w:spacing w:lineRule="auto" w:line="300"/>
        <w:jc w:val="both"/>
        <w:rPr>
          <w:rFonts w:ascii="Arial" w:hAnsi="Arial" w:cs="Arial"/>
          <w:sz w:val="22"/>
        </w:rPr>
      </w:pPr>
      <w:r>
        <w:rPr>
          <w:rFonts w:cs="Arial" w:ascii="Arial" w:hAnsi="Arial"/>
          <w:sz w:val="22"/>
        </w:rPr>
      </w:r>
    </w:p>
    <w:p>
      <w:pPr>
        <w:pStyle w:val="Normal"/>
        <w:spacing w:lineRule="auto" w:line="300"/>
        <w:jc w:val="both"/>
        <w:rPr>
          <w:rFonts w:ascii="Arial" w:hAnsi="Arial" w:cs="Arial"/>
          <w:sz w:val="22"/>
        </w:rPr>
      </w:pPr>
      <w:r>
        <w:rPr>
          <w:rFonts w:cs="Arial" w:ascii="Arial" w:hAnsi="Arial"/>
          <w:sz w:val="22"/>
        </w:rPr>
        <w:t>The total of items (i) through (iv) above shall be referred to as the "Termination Costs".</w:t>
      </w:r>
    </w:p>
    <w:p>
      <w:pPr>
        <w:pStyle w:val="Normal"/>
        <w:spacing w:lineRule="auto" w:line="300"/>
        <w:jc w:val="both"/>
        <w:rPr>
          <w:rFonts w:ascii="Arial" w:hAnsi="Arial" w:cs="Arial"/>
          <w:sz w:val="22"/>
        </w:rPr>
      </w:pPr>
      <w:r>
        <w:rPr>
          <w:rFonts w:cs="Arial" w:ascii="Arial" w:hAnsi="Arial"/>
          <w:sz w:val="22"/>
        </w:rPr>
      </w:r>
    </w:p>
    <w:p>
      <w:pPr>
        <w:pStyle w:val="Normal"/>
        <w:spacing w:lineRule="auto" w:line="300"/>
        <w:jc w:val="both"/>
        <w:rPr/>
      </w:pPr>
      <w:r>
        <w:rPr>
          <w:rFonts w:cs="Arial" w:ascii="Arial" w:hAnsi="Arial"/>
          <w:sz w:val="22"/>
        </w:rPr>
        <w:t xml:space="preserve">17.4.3   </w:t>
      </w:r>
      <w:r>
        <w:rPr>
          <w:rFonts w:cs="Arial" w:ascii="Arial" w:hAnsi="Arial"/>
          <w:sz w:val="22"/>
          <w:u w:val="single"/>
        </w:rPr>
        <w:t>Cover Damages17.4.</w:t>
      </w:r>
      <w:r>
        <w:rPr>
          <w:rFonts w:cs="Arial" w:ascii="Arial" w:hAnsi="Arial"/>
          <w:sz w:val="22"/>
        </w:rPr>
        <w:t xml:space="preserve">  If Section 17.3(a) hereof is applicable, the amount of "Cover Damages" shall be the difference between the Purchase Amount under this Agreement and the purchase price payable by Purchaser for a replacement contract for a substantially similar gas turbine generator and the other equipment and materials included in the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w:t>
      </w:r>
    </w:p>
    <w:p>
      <w:pPr>
        <w:pStyle w:val="Normal"/>
        <w:spacing w:lineRule="auto" w:line="300"/>
        <w:jc w:val="both"/>
        <w:rPr>
          <w:rFonts w:ascii="Arial" w:hAnsi="Arial" w:cs="Arial"/>
          <w:sz w:val="22"/>
        </w:rPr>
      </w:pPr>
      <w:r>
        <w:rPr>
          <w:rFonts w:cs="Arial" w:ascii="Arial" w:hAnsi="Arial"/>
          <w:sz w:val="22"/>
        </w:rPr>
      </w:r>
    </w:p>
    <w:p>
      <w:pPr>
        <w:pStyle w:val="Normal"/>
        <w:spacing w:lineRule="auto" w:line="300"/>
        <w:jc w:val="both"/>
        <w:rPr/>
      </w:pPr>
      <w:r>
        <w:rPr>
          <w:rFonts w:cs="Arial" w:ascii="Arial" w:hAnsi="Arial"/>
          <w:sz w:val="22"/>
        </w:rPr>
        <w:t xml:space="preserve">17.4.4   </w:t>
      </w:r>
      <w:r>
        <w:rPr>
          <w:rFonts w:cs="Arial" w:ascii="Arial" w:hAnsi="Arial"/>
          <w:sz w:val="22"/>
          <w:u w:val="single"/>
        </w:rPr>
        <w:t>Settlement</w:t>
      </w:r>
      <w:r>
        <w:rPr>
          <w:rFonts w:cs="Arial" w:ascii="Arial" w:hAnsi="Arial"/>
          <w:sz w:val="22"/>
        </w:rPr>
        <w:t>.  Upon determining the Proper Scope Value and the Termination Costs, if any, the termination settlement (the "Termination Settlement") shall be determined and invoiced as follows:</w:t>
      </w:r>
    </w:p>
    <w:p>
      <w:pPr>
        <w:pStyle w:val="Normal"/>
        <w:spacing w:lineRule="auto" w:line="300"/>
        <w:jc w:val="both"/>
        <w:rPr>
          <w:rFonts w:ascii="Arial" w:hAnsi="Arial" w:cs="Arial"/>
          <w:sz w:val="22"/>
        </w:rPr>
      </w:pPr>
      <w:r>
        <w:rPr>
          <w:rFonts w:cs="Arial" w:ascii="Arial" w:hAnsi="Arial"/>
          <w:sz w:val="22"/>
        </w:rPr>
      </w:r>
    </w:p>
    <w:p>
      <w:pPr>
        <w:pStyle w:val="Normal"/>
        <w:tabs>
          <w:tab w:val="clear" w:pos="720"/>
          <w:tab w:val="left" w:pos="-1440" w:leader="none"/>
        </w:tabs>
        <w:spacing w:lineRule="auto" w:line="300"/>
        <w:ind w:hanging="720" w:start="1440" w:end="0"/>
        <w:jc w:val="both"/>
        <w:rPr>
          <w:rFonts w:ascii="Arial" w:hAnsi="Arial" w:cs="Arial"/>
          <w:sz w:val="22"/>
        </w:rPr>
      </w:pPr>
      <w:r>
        <w:rPr>
          <w:rFonts w:cs="Arial" w:ascii="Arial" w:hAnsi="Arial"/>
          <w:sz w:val="22"/>
        </w:rPr>
        <w:t>(a)</w:t>
        <w:tab/>
        <w:t>if Section 17.3(b) hereof is applicable, the Termination Settlement shall be determined as follows;</w:t>
      </w:r>
    </w:p>
    <w:p>
      <w:pPr>
        <w:pStyle w:val="Normal"/>
        <w:tabs>
          <w:tab w:val="clear" w:pos="720"/>
          <w:tab w:val="left" w:pos="-1440" w:leader="none"/>
        </w:tabs>
        <w:spacing w:lineRule="auto" w:line="300"/>
        <w:ind w:hanging="720" w:start="1440" w:end="0"/>
        <w:jc w:val="both"/>
        <w:rPr>
          <w:rFonts w:ascii="Arial" w:hAnsi="Arial" w:cs="Arial"/>
          <w:sz w:val="22"/>
        </w:rPr>
      </w:pPr>
      <w:r>
        <w:rPr>
          <w:rFonts w:cs="Arial" w:ascii="Arial" w:hAnsi="Arial"/>
          <w:sz w:val="22"/>
        </w:rPr>
      </w:r>
    </w:p>
    <w:p>
      <w:pPr>
        <w:pStyle w:val="Normal"/>
        <w:tabs>
          <w:tab w:val="clear" w:pos="720"/>
          <w:tab w:val="left" w:pos="-1440" w:leader="none"/>
        </w:tabs>
        <w:spacing w:lineRule="auto" w:line="300"/>
        <w:ind w:start="2160" w:end="0"/>
        <w:jc w:val="both"/>
        <w:rPr>
          <w:rFonts w:ascii="Arial" w:hAnsi="Arial" w:cs="Arial"/>
          <w:sz w:val="22"/>
        </w:rPr>
      </w:pPr>
      <w:r>
        <w:rPr>
          <w:rFonts w:cs="Arial" w:ascii="Arial" w:hAnsi="Arial"/>
          <w:sz w:val="22"/>
        </w:rPr>
        <w:t>(1)</w:t>
        <w:tab/>
        <w:t>if the Scope Value Due is greater than zero (0), and if</w:t>
      </w:r>
    </w:p>
    <w:p>
      <w:pPr>
        <w:pStyle w:val="Normal"/>
        <w:spacing w:lineRule="auto" w:line="300"/>
        <w:ind w:start="2160" w:end="0"/>
        <w:jc w:val="both"/>
        <w:rPr>
          <w:rFonts w:ascii="Arial" w:hAnsi="Arial" w:cs="Arial"/>
          <w:sz w:val="22"/>
        </w:rPr>
      </w:pPr>
      <w:r>
        <w:rPr>
          <w:rFonts w:cs="Arial" w:ascii="Arial" w:hAnsi="Arial"/>
          <w:sz w:val="22"/>
        </w:rPr>
      </w:r>
    </w:p>
    <w:p>
      <w:pPr>
        <w:pStyle w:val="Normal"/>
        <w:tabs>
          <w:tab w:val="clear" w:pos="720"/>
          <w:tab w:val="left" w:pos="-1440" w:leader="none"/>
        </w:tabs>
        <w:spacing w:lineRule="auto" w:line="300"/>
        <w:ind w:start="2880" w:end="0"/>
        <w:jc w:val="both"/>
        <w:rPr>
          <w:rFonts w:ascii="Arial" w:hAnsi="Arial" w:cs="Arial"/>
          <w:sz w:val="22"/>
        </w:rPr>
      </w:pPr>
      <w:r>
        <w:rPr>
          <w:rFonts w:cs="Arial" w:ascii="Arial" w:hAnsi="Arial"/>
          <w:sz w:val="22"/>
        </w:rPr>
        <w:t>(A)</w:t>
        <w:tab/>
        <w:t>the Termination Costs are greater than the Scope Value Due, Seller shall pay Purchaser the difference of the Termination Costs less the Scope Value Due, or</w:t>
      </w:r>
    </w:p>
    <w:p>
      <w:pPr>
        <w:pStyle w:val="Normal"/>
        <w:tabs>
          <w:tab w:val="clear" w:pos="720"/>
          <w:tab w:val="left" w:pos="-1440" w:leader="none"/>
        </w:tabs>
        <w:spacing w:lineRule="auto" w:line="300"/>
        <w:ind w:start="2880" w:end="0"/>
        <w:jc w:val="both"/>
        <w:rPr>
          <w:rFonts w:ascii="Arial" w:hAnsi="Arial" w:cs="Arial"/>
          <w:sz w:val="22"/>
        </w:rPr>
      </w:pPr>
      <w:r>
        <w:rPr>
          <w:rFonts w:cs="Arial" w:ascii="Arial" w:hAnsi="Arial"/>
          <w:sz w:val="22"/>
        </w:rPr>
      </w:r>
    </w:p>
    <w:p>
      <w:pPr>
        <w:pStyle w:val="Normal"/>
        <w:tabs>
          <w:tab w:val="clear" w:pos="720"/>
          <w:tab w:val="left" w:pos="-1440" w:leader="none"/>
        </w:tabs>
        <w:spacing w:lineRule="auto" w:line="300"/>
        <w:ind w:start="2880" w:end="0"/>
        <w:jc w:val="both"/>
        <w:rPr>
          <w:rFonts w:ascii="Arial" w:hAnsi="Arial" w:cs="Arial"/>
          <w:sz w:val="22"/>
        </w:rPr>
      </w:pPr>
      <w:r>
        <w:rPr>
          <w:rFonts w:cs="Arial" w:ascii="Arial" w:hAnsi="Arial"/>
          <w:sz w:val="22"/>
        </w:rPr>
        <w:t>(B)</w:t>
        <w:tab/>
        <w:t>the Scope Value Due is greater than the Termination Cost, Purchaser shall pay Seller the difference of the Scope Value Due less the Termination Costs.</w:t>
      </w:r>
    </w:p>
    <w:p>
      <w:pPr>
        <w:pStyle w:val="Normal"/>
        <w:spacing w:lineRule="auto" w:line="300"/>
        <w:ind w:start="2160" w:end="0"/>
        <w:jc w:val="both"/>
        <w:rPr>
          <w:rFonts w:ascii="Arial" w:hAnsi="Arial" w:cs="Arial"/>
          <w:sz w:val="22"/>
        </w:rPr>
      </w:pPr>
      <w:r>
        <w:rPr>
          <w:rFonts w:cs="Arial" w:ascii="Arial" w:hAnsi="Arial"/>
          <w:sz w:val="22"/>
        </w:rPr>
      </w:r>
    </w:p>
    <w:p>
      <w:pPr>
        <w:pStyle w:val="Normal"/>
        <w:tabs>
          <w:tab w:val="clear" w:pos="720"/>
          <w:tab w:val="left" w:pos="-1440" w:leader="none"/>
        </w:tabs>
        <w:spacing w:lineRule="auto" w:line="300"/>
        <w:ind w:start="2160" w:end="0"/>
        <w:jc w:val="both"/>
        <w:rPr>
          <w:rFonts w:ascii="Arial" w:hAnsi="Arial" w:cs="Arial"/>
          <w:sz w:val="22"/>
        </w:rPr>
      </w:pPr>
      <w:r>
        <w:rPr>
          <w:rFonts w:cs="Arial" w:ascii="Arial" w:hAnsi="Arial"/>
          <w:sz w:val="22"/>
        </w:rPr>
        <w:t>(2)</w:t>
        <w:tab/>
        <w:t>if the Refund Amount is greater than zero (0), then Seller shall pay Purchaser the sum of the Refund Amount plus the Termination Costs.</w:t>
      </w:r>
    </w:p>
    <w:p>
      <w:pPr>
        <w:pStyle w:val="Normal"/>
        <w:spacing w:lineRule="auto" w:line="300"/>
        <w:ind w:start="2160" w:end="0"/>
        <w:jc w:val="both"/>
        <w:rPr>
          <w:rFonts w:ascii="Arial" w:hAnsi="Arial" w:cs="Arial"/>
          <w:sz w:val="22"/>
        </w:rPr>
      </w:pPr>
      <w:r>
        <w:rPr>
          <w:rFonts w:cs="Arial" w:ascii="Arial" w:hAnsi="Arial"/>
          <w:sz w:val="22"/>
        </w:rPr>
      </w:r>
    </w:p>
    <w:p>
      <w:pPr>
        <w:pStyle w:val="Normal"/>
        <w:tabs>
          <w:tab w:val="clear" w:pos="720"/>
          <w:tab w:val="left" w:pos="-1440" w:leader="none"/>
        </w:tabs>
        <w:spacing w:lineRule="auto" w:line="300"/>
        <w:ind w:start="2160" w:end="0"/>
        <w:jc w:val="both"/>
        <w:rPr>
          <w:rFonts w:ascii="Arial" w:hAnsi="Arial" w:cs="Arial"/>
          <w:sz w:val="22"/>
        </w:rPr>
      </w:pPr>
      <w:r>
        <w:rPr>
          <w:rFonts w:cs="Arial" w:ascii="Arial" w:hAnsi="Arial"/>
          <w:sz w:val="22"/>
        </w:rPr>
        <w:t>(3)</w:t>
        <w:tab/>
        <w:t>if the Refund Amount and the Scope Value Due are each zero (0), Seller shall pay Purchaser the Termination Costs.</w:t>
      </w:r>
    </w:p>
    <w:p>
      <w:pPr>
        <w:pStyle w:val="Normal"/>
        <w:tabs>
          <w:tab w:val="clear" w:pos="720"/>
          <w:tab w:val="left" w:pos="-1440" w:leader="none"/>
        </w:tabs>
        <w:spacing w:lineRule="auto" w:line="300"/>
        <w:ind w:start="2160" w:end="0"/>
        <w:jc w:val="both"/>
        <w:rPr>
          <w:rFonts w:ascii="Arial" w:hAnsi="Arial" w:cs="Arial"/>
          <w:sz w:val="22"/>
        </w:rPr>
      </w:pPr>
      <w:r>
        <w:rPr>
          <w:rFonts w:cs="Arial" w:ascii="Arial" w:hAnsi="Arial"/>
          <w:sz w:val="22"/>
        </w:rPr>
      </w:r>
    </w:p>
    <w:p>
      <w:pPr>
        <w:pStyle w:val="Normal"/>
        <w:tabs>
          <w:tab w:val="clear" w:pos="720"/>
          <w:tab w:val="left" w:pos="-1440" w:leader="none"/>
        </w:tabs>
        <w:spacing w:lineRule="auto" w:line="300"/>
        <w:ind w:hanging="720" w:start="1440" w:end="0"/>
        <w:jc w:val="both"/>
        <w:rPr>
          <w:rFonts w:ascii="Arial" w:hAnsi="Arial" w:cs="Arial"/>
          <w:sz w:val="22"/>
        </w:rPr>
      </w:pPr>
      <w:r>
        <w:rPr>
          <w:rFonts w:cs="Arial" w:ascii="Arial" w:hAnsi="Arial"/>
          <w:sz w:val="22"/>
        </w:rPr>
        <w:t>(b)</w:t>
        <w:tab/>
        <w:t>if Section 17.3(a) is applicable, the Termination Settlement shall be the amounts described in Section 17.3(a).</w:t>
      </w:r>
    </w:p>
    <w:p>
      <w:pPr>
        <w:pStyle w:val="Normal"/>
        <w:spacing w:lineRule="auto" w:line="300"/>
        <w:jc w:val="both"/>
        <w:rPr>
          <w:rFonts w:ascii="Arial" w:hAnsi="Arial" w:cs="Arial"/>
          <w:sz w:val="22"/>
        </w:rPr>
      </w:pPr>
      <w:r>
        <w:rPr>
          <w:rFonts w:cs="Arial" w:ascii="Arial" w:hAnsi="Arial"/>
          <w:sz w:val="22"/>
        </w:rPr>
      </w:r>
    </w:p>
    <w:p>
      <w:pPr>
        <w:pStyle w:val="Normal"/>
        <w:spacing w:lineRule="auto" w:line="300"/>
        <w:jc w:val="both"/>
        <w:rPr>
          <w:rFonts w:ascii="Arial" w:hAnsi="Arial" w:cs="Arial"/>
          <w:sz w:val="22"/>
        </w:rPr>
      </w:pPr>
      <w:r>
        <w:rPr>
          <w:rFonts w:cs="Arial" w:ascii="Arial" w:hAnsi="Arial"/>
          <w:sz w:val="22"/>
        </w:rPr>
        <w:t>Seller or Purchaser, as applicable, shall make payment of an invoice received for Termination Settlement within thirty (30) Days of receipt of such invoice.  Any such Termination Settlement not paid when due shall accrue interest at the Interest Rate.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widowControl w:val="false"/>
      <w:ind w:hanging="720" w:start="1440" w:end="0"/>
    </w:pPr>
    <w:rPr>
      <w:rFonts w:ascii="Arial" w:hAnsi="Arial" w:cs="Arial"/>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1999-12-17T13:55:00Z</dcterms:created>
  <dc:creator>rcarter</dc:creator>
  <dc:description/>
  <dc:language>en-CA</dc:language>
  <cp:lastModifiedBy>rcarter</cp:lastModifiedBy>
  <cp:lastPrinted>2001-04-19T16:42:00Z</cp:lastPrinted>
  <dcterms:modified xsi:type="dcterms:W3CDTF">2001-04-19T19:16:00Z</dcterms:modified>
  <cp:revision>5</cp:revision>
  <dc:subject/>
  <dc:title>17</dc:title>
</cp:coreProperties>
</file>