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w:t>
      </w:r>
      <w:r>
        <w:rPr>
          <w:spacing w:val="-2"/>
          <w:u w:val="single"/>
        </w:rPr>
        <w:t xml:space="preserve">            </w:t>
      </w:r>
      <w:r>
        <w:rPr>
          <w:spacing w:val="-2"/>
        </w:rPr>
        <w:t xml:space="preserve"> </w:t>
      </w:r>
      <w:r>
        <w:rPr>
          <w:spacing w:val="-2"/>
          <w:u w:val="single"/>
        </w:rPr>
        <w:t xml:space="preserve">      </w:t>
      </w:r>
      <w:r>
        <w:rPr>
          <w:spacing w:val="-2"/>
        </w:rPr>
        <w:t>,] 2000 (this “</w:t>
      </w:r>
      <w:r>
        <w:rPr>
          <w:spacing w:val="-2"/>
          <w:u w:val="single"/>
        </w:rPr>
        <w:t>Consent</w:t>
      </w:r>
      <w:r>
        <w:rPr>
          <w:spacing w:val="-2"/>
        </w:rPr>
        <w:t>”), is made among GE PACKAGED POWER, INC., a Delaware corporation (“</w:t>
      </w:r>
      <w:r>
        <w:rPr>
          <w:spacing w:val="-2"/>
          <w:u w:val="single"/>
        </w:rPr>
        <w:t>GE Packaged Power</w:t>
      </w:r>
      <w:r>
        <w:rPr>
          <w:spacing w:val="-2"/>
        </w:rPr>
        <w:t>”), GENERAL ELECTRIC COMPANY, a New York corporation (“</w:t>
      </w:r>
      <w:r>
        <w:rPr>
          <w:spacing w:val="-2"/>
          <w:u w:val="single"/>
        </w:rPr>
        <w:t>GE</w:t>
      </w:r>
      <w:r>
        <w:rPr>
          <w:spacing w:val="-2"/>
        </w:rPr>
        <w:t>”, and together with GE Packaged Power, the “</w:t>
      </w:r>
      <w:r>
        <w:rPr>
          <w:spacing w:val="-2"/>
          <w:u w:val="single"/>
        </w:rPr>
        <w:t>GE Parties</w:t>
      </w:r>
      <w:r>
        <w:rPr>
          <w:spacing w:val="-2"/>
        </w:rPr>
        <w:t xml:space="preserve">”), and ENRON NORTH AMERICA CORP. a Delaware corporation, in its capacity as </w:t>
      </w:r>
      <w:ins w:id="0" w:author="GE" w:date="2000-11-30T07:09:00Z">
        <w:r>
          <w:rPr>
            <w:spacing w:val="-2"/>
          </w:rPr>
          <w:t>D</w:t>
        </w:r>
      </w:ins>
      <w:del w:id="1" w:author="GE" w:date="2000-11-30T07:09:00Z">
        <w:r>
          <w:rPr>
            <w:spacing w:val="-2"/>
          </w:rPr>
          <w:delText>d</w:delText>
        </w:r>
      </w:del>
      <w:r>
        <w:rPr>
          <w:spacing w:val="-2"/>
        </w:rPr>
        <w:t xml:space="preserve">evelopment and </w:t>
      </w:r>
      <w:ins w:id="2" w:author="GE" w:date="2000-11-30T07:09:00Z">
        <w:r>
          <w:rPr>
            <w:spacing w:val="-2"/>
          </w:rPr>
          <w:t>C</w:t>
        </w:r>
      </w:ins>
      <w:del w:id="3" w:author="GE" w:date="2000-11-30T07:09:00Z">
        <w:r>
          <w:rPr>
            <w:spacing w:val="-2"/>
          </w:rPr>
          <w:delText>c</w:delText>
        </w:r>
      </w:del>
      <w:r>
        <w:rPr>
          <w:spacing w:val="-2"/>
        </w:rPr>
        <w:t xml:space="preserve">onstruction </w:t>
      </w:r>
      <w:ins w:id="4" w:author="GE" w:date="2000-11-30T07:09:00Z">
        <w:r>
          <w:rPr>
            <w:spacing w:val="-2"/>
          </w:rPr>
          <w:t>M</w:t>
        </w:r>
      </w:ins>
      <w:del w:id="5" w:author="GE" w:date="2000-11-30T07:09:00Z">
        <w:r>
          <w:rPr>
            <w:spacing w:val="-2"/>
          </w:rPr>
          <w:delText>m</w:delText>
        </w:r>
      </w:del>
      <w:r>
        <w:rPr>
          <w:spacing w:val="-2"/>
        </w:rPr>
        <w:t>anager for E-NEXT GENERATION LLC, a Delaware limited liability company (“</w:t>
      </w:r>
      <w:r>
        <w:rPr>
          <w:spacing w:val="-2"/>
          <w:u w:val="single"/>
        </w:rPr>
        <w:t>DevCo</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spacing w:val="-2"/>
        </w:rPr>
        <w:t>GE Packaged Power, GE and the Agent are referred to herein, collectively, as the “</w:t>
      </w:r>
      <w:r>
        <w:rPr>
          <w:spacing w:val="-2"/>
          <w:u w:val="single"/>
        </w:rPr>
        <w:t>Parties</w:t>
      </w:r>
      <w:r>
        <w:rPr>
          <w:spacing w:val="-2"/>
        </w:rPr>
        <w:t>” and, individually, as a “</w:t>
      </w:r>
      <w:r>
        <w:rPr>
          <w:spacing w:val="-2"/>
          <w:u w:val="single"/>
        </w:rPr>
        <w:t>Party</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r>
      <w:r>
        <w:rPr/>
        <w:t>WestLB, ENA, as agent for WestLB, and GE are parties to that certain Agreement for Combined Cycle Power Islands, dated May 1, 2000 (the "</w:t>
      </w:r>
      <w:r>
        <w:rPr>
          <w:u w:val="single"/>
        </w:rPr>
        <w:t>Pastoria Two-Train Turbine Contract</w:t>
      </w:r>
      <w:r>
        <w:rPr/>
        <w:t>"), with respect to gas turbines</w:t>
      </w:r>
      <w:ins w:id="6" w:author="GE" w:date="2000-11-29T18:24:00Z">
        <w:r>
          <w:rPr/>
          <w:t>, steam turbines, HRSG’s, DCS</w:t>
        </w:r>
      </w:ins>
      <w:r>
        <w:rPr/>
        <w:t xml:space="preserve"> and related ancillary equipment described therein (the “</w:t>
      </w:r>
      <w:r>
        <w:rPr>
          <w:u w:val="single"/>
        </w:rPr>
        <w:t>Pastoria Two-Train Turbines</w:t>
      </w:r>
      <w:r>
        <w:rPr/>
        <w:t>”).</w:t>
      </w:r>
    </w:p>
    <w:p>
      <w:pPr>
        <w:pStyle w:val="Normal"/>
        <w:tabs>
          <w:tab w:val="clear" w:pos="720"/>
          <w:tab w:val="left" w:pos="-720" w:leader="none"/>
        </w:tabs>
        <w:jc w:val="both"/>
        <w:rPr/>
      </w:pPr>
      <w:r>
        <w:rPr/>
      </w:r>
    </w:p>
    <w:p>
      <w:pPr>
        <w:pStyle w:val="Normal"/>
        <w:tabs>
          <w:tab w:val="clear" w:pos="720"/>
          <w:tab w:val="left" w:pos="-720" w:leader="none"/>
        </w:tabs>
        <w:jc w:val="both"/>
        <w:rPr>
          <w:spacing w:val="-2"/>
        </w:rPr>
      </w:pPr>
      <w:r>
        <w:rPr/>
        <w:tab/>
        <w:tab/>
        <w:t>C.</w:t>
        <w:tab/>
        <w:t>LJM2-Turbine, LLC (“</w:t>
      </w:r>
      <w:r>
        <w:rPr>
          <w:u w:val="single"/>
        </w:rPr>
        <w:t>LJM</w:t>
      </w:r>
      <w:r>
        <w:rPr/>
        <w:t>”), Enron Engineering and Construction Company , as agent for LJM (“</w:t>
      </w:r>
      <w:r>
        <w:rPr>
          <w:u w:val="single"/>
        </w:rPr>
        <w:t>EE&amp;CC</w:t>
      </w:r>
      <w:r>
        <w:rPr/>
        <w:t>”), and GE are parties to that certain Agreement, dated as of May 31, 2000 (the “</w:t>
      </w:r>
      <w:r>
        <w:rPr>
          <w:u w:val="single"/>
        </w:rPr>
        <w:t>Blue Dog Turbine Contract</w:t>
      </w:r>
      <w:r>
        <w:rPr/>
        <w:t>”), with respect to gas turbines and related ancillary equipment described therein (the “</w:t>
      </w:r>
      <w:r>
        <w:rPr>
          <w:u w:val="single"/>
        </w:rPr>
        <w:t>Blue Dog Turbines</w:t>
      </w:r>
      <w:r>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D.</w:t>
        <w:tab/>
        <w:t>DevCo has acquired all of (i) WestLB’s right, title and interest in, to and under twelve (12) of the LM6000 Turbines and the corresponding rights and obligations of WestLB under the LM6000 Turbine Contract with respect thereto (the “</w:t>
      </w:r>
      <w:r>
        <w:rPr>
          <w:spacing w:val="-2"/>
          <w:u w:val="single"/>
        </w:rPr>
        <w:t>Subject LM6000 Turbines</w:t>
      </w:r>
      <w:r>
        <w:rPr>
          <w:spacing w:val="-2"/>
        </w:rPr>
        <w:t>”) pursuant to that certain Purchase Option Assignment and Assumption Agreement, dated as of [______ ___,] 2000, among WestLB, ENA and DevCo (the “</w:t>
      </w:r>
      <w:r>
        <w:rPr>
          <w:spacing w:val="-2"/>
          <w:u w:val="single"/>
        </w:rPr>
        <w:t>LM6000 Assignment Agreement</w:t>
      </w:r>
      <w:r>
        <w:rPr>
          <w:spacing w:val="-2"/>
        </w:rPr>
        <w:t>”), (ii) WestLB’s right, title and interest in, to and under the Pastoria Two-Train Turbine Contract and the Pastoria Two-Train Turbines pursuant to that certain Purchase Option Assignment and Assumption Agreement, dated as of [______ ___,] 2000, among WestLB, ENA and DevCo (the “</w:t>
      </w:r>
      <w:r>
        <w:rPr>
          <w:spacing w:val="-2"/>
          <w:u w:val="single"/>
        </w:rPr>
        <w:t>Pastoria Assignment Agreement</w:t>
      </w:r>
      <w:r>
        <w:rPr>
          <w:spacing w:val="-2"/>
        </w:rPr>
        <w:t>”), and (iii) LJM’s right, title and interest in, to and under the Blue Dog Turbine Contract and the Blue Dog Turbines pursuant to that certain Assignment and Assumption Agreement, dated as of [______ ___,] 2000, among LJM, EE&amp;CC and DevCo (the “</w:t>
      </w:r>
      <w:r>
        <w:rPr>
          <w:spacing w:val="-2"/>
          <w:u w:val="single"/>
        </w:rPr>
        <w:t>Blue Dog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E.</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DevCo, acting through its development and construction manager ENA, are entering into a separate purchase agreement with respect to the Subject LM6000 Turbines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tab/>
        <w:tab/>
        <w:t>F.</w:t>
        <w:tab/>
      </w:r>
      <w:del w:id="7" w:author="GE" w:date="2000-11-30T07:02:00Z">
        <w:r>
          <w:rPr>
            <w:spacing w:val="-2"/>
          </w:rPr>
          <w:delText xml:space="preserve">Pursuant to the Financing referred to below, </w:delText>
        </w:r>
      </w:del>
      <w:r>
        <w:rPr>
          <w:spacing w:val="-2"/>
        </w:rPr>
        <w:t xml:space="preserve">DevCo has </w:t>
      </w:r>
      <w:ins w:id="8" w:author="GE" w:date="2000-11-30T06:57:00Z">
        <w:r>
          <w:rPr>
            <w:color w:val="0000FF"/>
            <w:spacing w:val="-2"/>
          </w:rPr>
          <w:t xml:space="preserve">irrevocably </w:t>
        </w:r>
      </w:ins>
      <w:r>
        <w:rPr>
          <w:spacing w:val="-2"/>
        </w:rPr>
        <w:t>appointed</w:t>
      </w:r>
      <w:ins w:id="9" w:author="GE" w:date="2000-11-30T07:00:00Z">
        <w:r>
          <w:rPr>
            <w:spacing w:val="-2"/>
          </w:rPr>
          <w:t xml:space="preserve"> (DevCo should sign the Consent or otherwise demonstrate they have appointed ENA as the </w:t>
        </w:r>
      </w:ins>
      <w:ins w:id="10" w:author="GE" w:date="2000-11-30T07:08:00Z">
        <w:r>
          <w:rPr>
            <w:spacing w:val="-2"/>
          </w:rPr>
          <w:t>Development and Construction Manager</w:t>
        </w:r>
      </w:ins>
      <w:ins w:id="11" w:author="GE" w:date="2000-11-30T07:00:00Z">
        <w:r>
          <w:rPr>
            <w:spacing w:val="-2"/>
          </w:rPr>
          <w:t xml:space="preserve"> – which should be a defined term)</w:t>
        </w:r>
      </w:ins>
      <w:r>
        <w:rPr>
          <w:spacing w:val="-2"/>
        </w:rPr>
        <w:t xml:space="preserve"> ENA as its </w:t>
      </w:r>
      <w:ins w:id="12" w:author="GE" w:date="2000-11-30T07:10:00Z">
        <w:r>
          <w:rPr>
            <w:spacing w:val="-2"/>
          </w:rPr>
          <w:t>D</w:t>
        </w:r>
      </w:ins>
      <w:del w:id="13" w:author="GE" w:date="2000-11-30T07:10:00Z">
        <w:r>
          <w:rPr>
            <w:spacing w:val="-2"/>
          </w:rPr>
          <w:delText>d</w:delText>
        </w:r>
      </w:del>
      <w:r>
        <w:rPr>
          <w:spacing w:val="-2"/>
        </w:rPr>
        <w:t xml:space="preserve">evelopment and </w:t>
      </w:r>
      <w:ins w:id="14" w:author="GE" w:date="2000-11-30T07:10:00Z">
        <w:r>
          <w:rPr>
            <w:spacing w:val="-2"/>
          </w:rPr>
          <w:t>C</w:t>
        </w:r>
      </w:ins>
      <w:del w:id="15" w:author="GE" w:date="2000-11-30T07:10:00Z">
        <w:r>
          <w:rPr>
            <w:spacing w:val="-2"/>
          </w:rPr>
          <w:delText>c</w:delText>
        </w:r>
      </w:del>
      <w:r>
        <w:rPr>
          <w:spacing w:val="-2"/>
        </w:rPr>
        <w:t xml:space="preserve">onstruction </w:t>
      </w:r>
      <w:ins w:id="16" w:author="GE" w:date="2000-11-30T07:10:00Z">
        <w:r>
          <w:rPr>
            <w:spacing w:val="-2"/>
          </w:rPr>
          <w:t>M</w:t>
        </w:r>
      </w:ins>
      <w:del w:id="17" w:author="GE" w:date="2000-11-30T07:10:00Z">
        <w:r>
          <w:rPr>
            <w:spacing w:val="-2"/>
          </w:rPr>
          <w:delText>m</w:delText>
        </w:r>
      </w:del>
      <w:r>
        <w:rPr>
          <w:spacing w:val="-2"/>
        </w:rPr>
        <w:t>anager with respect to (i) the Subject LM6000 Turbines, the Pastoria Two-Train Turbines and the Blue Dog Turbines (collectively, the “</w:t>
      </w:r>
      <w:r>
        <w:rPr>
          <w:spacing w:val="-2"/>
          <w:u w:val="single"/>
        </w:rPr>
        <w:t>Turbines</w:t>
      </w:r>
      <w:r>
        <w:rPr>
          <w:spacing w:val="-2"/>
        </w:rPr>
        <w:t>”), and (ii) the Facility Agreement, the Pastoria Two-Train Turbine Contract and the Blue Dog Turbine Contract (collectively, the “</w:t>
      </w:r>
      <w:r>
        <w:rPr>
          <w:spacing w:val="-2"/>
          <w:u w:val="single"/>
        </w:rPr>
        <w:t>Turbine Contracts</w:t>
      </w:r>
      <w:r>
        <w:rPr>
          <w:spacing w:val="-2"/>
        </w:rPr>
        <w:t>”), and delegated to ENA all of the rights obligations of DevCo as purchaser under the Turbine Contracts, other than the obligation to pay the purchase price set forth therein and any indemnification obligations set forth therein.</w:t>
      </w:r>
      <w:ins w:id="18" w:author="GE" w:date="2000-11-30T06:58:00Z">
        <w:r>
          <w:rPr>
            <w:spacing w:val="-2"/>
          </w:rPr>
          <w:t xml:space="preserve">  ENA hereby irreovably accepts appointment as Development and Construction Manager (this should be a defined term).</w:t>
        </w:r>
      </w:ins>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the GE Parties have agreed to consent to the assignment of the Turbines and Turbine Contracts to DevCo.  Accordingly, GE Packaged Power, GE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DevCo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 (ii) GE shall look only to DevCo for the performance and satisfaction of the obligations of the Purchaser under (and as defined in) the Facility Agreement, and (iii) ENA shall act as agent for DevCo under the Facility Agreement.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Acknowledgments, Consents and Agree</w:t>
        <w:softHyphen/>
        <w:t>ments of GE</w:t>
      </w:r>
      <w:r>
        <w:rPr/>
        <w:t>.  GE hereby:</w:t>
      </w:r>
    </w:p>
    <w:p>
      <w:pPr>
        <w:pStyle w:val="Normal"/>
        <w:jc w:val="both"/>
        <w:rPr/>
      </w:pPr>
      <w:r>
        <w:rPr/>
      </w:r>
    </w:p>
    <w:p>
      <w:pPr>
        <w:pStyle w:val="N"/>
        <w:spacing w:lineRule="auto" w:line="240"/>
        <w:jc w:val="both"/>
        <w:rPr/>
      </w:pPr>
      <w:r>
        <w:rPr>
          <w:b/>
        </w:rPr>
        <w:tab/>
        <w:tab/>
        <w:tab/>
      </w:r>
      <w:r>
        <w:rPr>
          <w:rFonts w:cs="Times New Roman" w:ascii="Times New Roman" w:hAnsi="Times New Roman"/>
        </w:rPr>
        <w:t>(a)</w:t>
        <w:tab/>
        <w:t>Irrevocably con</w:t>
        <w:softHyphen/>
        <w:t>sents to the assignment by WestLB to DevCo of all of WestLB’s right, title and in</w:t>
        <w:softHyphen/>
        <w:t>terest in, to and under</w:t>
      </w:r>
      <w:r>
        <w:rPr>
          <w:rFonts w:cs="Times New Roman" w:ascii="Times New Roman" w:hAnsi="Times New Roman"/>
          <w:spacing w:val="-2"/>
        </w:rPr>
        <w:t xml:space="preserve"> </w:t>
      </w:r>
      <w:del w:id="19" w:author="GE" w:date="2000-11-29T18:25:00Z">
        <w:r>
          <w:rPr>
            <w:rFonts w:cs="Times New Roman" w:ascii="Times New Roman" w:hAnsi="Times New Roman"/>
            <w:spacing w:val="-2"/>
          </w:rPr>
          <w:delText xml:space="preserve">the Pastoria Two-Train Turbines and </w:delText>
        </w:r>
      </w:del>
      <w:r>
        <w:rPr>
          <w:rFonts w:cs="Times New Roman" w:ascii="Times New Roman" w:hAnsi="Times New Roman"/>
          <w:spacing w:val="-2"/>
        </w:rPr>
        <w:t>the Pastoria Two-Train Turbine Contract pursuant to the Pastoria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rFonts w:ascii="Times New Roman" w:hAnsi="Times New Roman" w:cs="Times New Roman"/>
        </w:rPr>
      </w:pPr>
      <w:r>
        <w:rPr>
          <w:rFonts w:cs="Times New Roman" w:ascii="Times New Roman" w:hAnsi="Times New Roman"/>
        </w:rPr>
        <w:tab/>
        <w:tab/>
        <w:tab/>
        <w:t>(b)</w:t>
        <w:tab/>
        <w:t>Irrevocably con</w:t>
        <w:softHyphen/>
        <w:t>sents to the assignment by LJM to DevCo of all of LJM’s right, title and in</w:t>
        <w:softHyphen/>
        <w:t xml:space="preserve">terest in, to and under </w:t>
      </w:r>
      <w:del w:id="20" w:author="GE" w:date="2000-11-29T18:26:00Z">
        <w:r>
          <w:rPr>
            <w:rFonts w:cs="Times New Roman" w:ascii="Times New Roman" w:hAnsi="Times New Roman"/>
          </w:rPr>
          <w:delText xml:space="preserve">the Blue Dog Turbines </w:delText>
        </w:r>
      </w:del>
      <w:del w:id="21" w:author="GE" w:date="2000-11-29T18:26:00Z">
        <w:r>
          <w:rPr>
            <w:rFonts w:cs="Times New Roman" w:ascii="Times New Roman" w:hAnsi="Times New Roman"/>
            <w:spacing w:val="-2"/>
          </w:rPr>
          <w:delText xml:space="preserve">and </w:delText>
        </w:r>
      </w:del>
      <w:r>
        <w:rPr>
          <w:rFonts w:cs="Times New Roman" w:ascii="Times New Roman" w:hAnsi="Times New Roman"/>
          <w:spacing w:val="-2"/>
        </w:rPr>
        <w:t xml:space="preserve">the Blue Dog Turbine Contract pursuant to the Blue Dog Assignment Agreement,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spacing w:val="-2"/>
        </w:rPr>
        <w:tab/>
        <w:tab/>
        <w:tab/>
      </w:r>
      <w:r>
        <w:rPr>
          <w:rFonts w:cs="Times New Roman" w:ascii="Times New Roman" w:hAnsi="Times New Roman"/>
          <w:spacing w:val="-2"/>
        </w:rPr>
        <w:t>(c)</w:t>
        <w:tab/>
        <w:t>Acknowledges and agrees that (i) WestLB is irrevocably released and forever discharged from any and all liabilities and obligations under the Pastoria Two-Train Turbine Contract, (ii) GE shall look only to DevCo for the performance and satisfaction of the obligations of the Purchaser under (and as defined in) the Pastoria Two-Train Turbine Contract, and (iii) ENA shall act as agent for DevCo under the Pastoria Two-Train Turbine Contract.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rFonts w:ascii="Times New Roman" w:hAnsi="Times New Roman" w:cs="Times New Roman"/>
          <w:spacing w:val="-2"/>
          <w:ins w:id="22" w:author="GE" w:date="2000-11-30T08:19:00Z"/>
        </w:rPr>
      </w:pPr>
      <w:r>
        <w:rPr>
          <w:rFonts w:cs="Times New Roman" w:ascii="Times New Roman" w:hAnsi="Times New Roman"/>
          <w:spacing w:val="-2"/>
        </w:rPr>
        <w:tab/>
        <w:tab/>
        <w:tab/>
        <w:t>(d)</w:t>
        <w:tab/>
        <w:t>Acknowledges and agrees that (i) LJM is irrevocably released and forever discharged from any and all liabilities and obligations under the Blue Dog Turbine Contract, (ii) GE shall look only to DevCo for the performance and satisfaction of the obligations of the Purchaser under (and as defined in) the Blue Dog Turbine Contract, and (iii) ENA shall act as agent for DevCo under the Blue Dog Turbine Contract.</w:t>
      </w:r>
    </w:p>
    <w:p>
      <w:pPr>
        <w:pStyle w:val="N"/>
        <w:spacing w:lineRule="auto" w:line="240"/>
        <w:jc w:val="both"/>
        <w:rPr>
          <w:rFonts w:ascii="Times New Roman" w:hAnsi="Times New Roman" w:cs="Times New Roman"/>
          <w:spacing w:val="-2"/>
          <w:ins w:id="24" w:author="GE" w:date="2000-11-30T08:19:00Z"/>
        </w:rPr>
      </w:pPr>
      <w:ins w:id="23" w:author="GE" w:date="2000-11-30T08:19:00Z">
        <w:r>
          <w:rPr>
            <w:rFonts w:cs="Times New Roman" w:ascii="Times New Roman" w:hAnsi="Times New Roman"/>
            <w:spacing w:val="-2"/>
          </w:rPr>
        </w:r>
      </w:ins>
    </w:p>
    <w:p>
      <w:pPr>
        <w:pStyle w:val="N"/>
        <w:spacing w:lineRule="auto" w:line="240"/>
        <w:jc w:val="both"/>
        <w:rPr>
          <w:rFonts w:ascii="Times New Roman" w:hAnsi="Times New Roman" w:cs="Times New Roman"/>
        </w:rPr>
      </w:pPr>
      <w:ins w:id="25" w:author="GE" w:date="2000-11-30T08:19:00Z">
        <w:r>
          <w:rPr>
            <w:rFonts w:cs="Times New Roman" w:ascii="Times New Roman" w:hAnsi="Times New Roman"/>
          </w:rPr>
          <w:tab/>
          <w:tab/>
          <w:tab/>
          <w:t xml:space="preserve">(e)  Acknowledges that the Agent has provided evidence of financing satisfactory to GE, pursuant to </w:t>
        </w:r>
      </w:ins>
      <w:ins w:id="26" w:author="GE" w:date="2000-11-30T08:21:00Z">
        <w:r>
          <w:rPr>
            <w:rFonts w:cs="Times New Roman" w:ascii="Times New Roman" w:hAnsi="Times New Roman"/>
          </w:rPr>
          <w:t>Section 3.a.iii below.</w:t>
        </w:r>
      </w:ins>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ormal"/>
        <w:jc w:val="both"/>
        <w:rPr/>
      </w:pPr>
      <w:r>
        <w:rPr/>
        <w:tab/>
        <w:tab/>
        <w:t>Section 3.</w:t>
        <w:tab/>
      </w:r>
      <w:r>
        <w:rPr>
          <w:u w:val="single"/>
        </w:rPr>
        <w:t>Representations, Warranties and Undertakings of the Agent</w:t>
      </w:r>
      <w:r>
        <w:rPr/>
        <w:t>.  The Agent hereby:</w:t>
      </w:r>
    </w:p>
    <w:p>
      <w:pPr>
        <w:pStyle w:val="Normal"/>
        <w:jc w:val="both"/>
        <w:rPr/>
      </w:pPr>
      <w:r>
        <w:rPr/>
        <w:tab/>
        <w:tab/>
        <w:tab/>
        <w:t>(a)</w:t>
        <w:tab/>
        <w:t>Represents and warrants to the GE Parties that (i) DevCo has entered into a financing arrangement (the “</w:t>
      </w:r>
      <w:r>
        <w:rPr>
          <w:u w:val="single"/>
        </w:rPr>
        <w:t>Financing</w:t>
      </w:r>
      <w:r>
        <w:rPr/>
        <w:t>”) with certain lenders (the “</w:t>
      </w:r>
      <w:r>
        <w:rPr>
          <w:u w:val="single"/>
        </w:rPr>
        <w:t>Lenders</w:t>
      </w:r>
      <w:r>
        <w:rPr/>
        <w:t>”) providing for the financing by the Lenders of the purchase price under the Turbine Contracts, all conditions precedent to the closing of the Financing have been satisfied or waived by the Lenders and the closing date for the Financing has occurred, and (ii) the amount committed by the Lenders to DevCo pursuant to the Financing is sufficient to pay such purchase price in accordance with the terms and conditions of the Turbine Contracts</w:t>
      </w:r>
      <w:ins w:id="27" w:author="GE" w:date="2000-11-30T08:18:00Z">
        <w:r>
          <w:rPr/>
          <w:t xml:space="preserve"> and, (iii) the Agent has provided evidence of such financing satisfactory to GE</w:t>
        </w:r>
      </w:ins>
      <w:del w:id="28" w:author="GE" w:date="2000-11-30T08:18:00Z">
        <w:r>
          <w:rPr/>
          <w:delText>.</w:delText>
        </w:r>
      </w:del>
    </w:p>
    <w:p>
      <w:pPr>
        <w:pStyle w:val="Normal"/>
        <w:jc w:val="both"/>
        <w:rPr/>
      </w:pPr>
      <w:r>
        <w:rPr/>
      </w:r>
    </w:p>
    <w:p>
      <w:pPr>
        <w:pStyle w:val="Normal"/>
        <w:jc w:val="both"/>
        <w:rPr/>
      </w:pPr>
      <w:r>
        <w:rPr/>
        <w:tab/>
        <w:tab/>
        <w:tab/>
        <w:t>(b)</w:t>
        <w:tab/>
        <w:t xml:space="preserve">Represents and warrants to GE that, to the best of its knowledge, (i) DevCo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3(a)</w:t>
      </w:r>
      <w:r>
        <w:rPr/>
        <w:t xml:space="preserve"> hereof.</w:t>
      </w:r>
    </w:p>
    <w:p>
      <w:pPr>
        <w:pStyle w:val="Normal"/>
        <w:jc w:val="both"/>
        <w:rPr/>
      </w:pPr>
      <w:r>
        <w:rPr/>
      </w:r>
    </w:p>
    <w:p>
      <w:pPr>
        <w:pStyle w:val="Normal"/>
        <w:keepNext w:val="true"/>
        <w:keepLines/>
        <w:tabs>
          <w:tab w:val="clear" w:pos="720"/>
          <w:tab w:val="left" w:pos="-720" w:leader="none"/>
        </w:tabs>
        <w:suppressAutoHyphens w:val="true"/>
        <w:rPr>
          <w:ins w:id="31" w:author="GE" w:date="2000-11-30T07:24:00Z"/>
        </w:rPr>
      </w:pPr>
      <w:r>
        <w:rPr/>
        <w:tab/>
        <w:tab/>
        <w:tab/>
        <w:t>(c)</w:t>
        <w:tab/>
        <w:t xml:space="preserve">Agrees that if the Agent receives any notice of any </w:t>
      </w:r>
      <w:ins w:id="29" w:author="GE" w:date="2000-11-30T08:12:00Z">
        <w:r>
          <w:rPr/>
          <w:t xml:space="preserve">material adverse change and/or </w:t>
        </w:r>
      </w:ins>
      <w:r>
        <w:rPr/>
        <w:t xml:space="preserve">default by DevCo under the Financing that would reasonably be expected to permit the Lenders to terminate their commitment referred to in </w:t>
      </w:r>
      <w:r>
        <w:rPr>
          <w:u w:val="single"/>
        </w:rPr>
        <w:t>Section 3(a)</w:t>
      </w:r>
      <w:r>
        <w:rPr/>
        <w:t xml:space="preserve"> above, Agent shall promptly give notice of the same to GE.</w:t>
      </w:r>
      <w:ins w:id="30" w:author="GE" w:date="2000-11-29T18:27:00Z">
        <w:r>
          <w:rPr/>
          <w:t xml:space="preserve"> { In the event of default by DevCo, Agent shall attempt to cure the default on a best efforts basis.}</w:t>
        </w:r>
      </w:ins>
    </w:p>
    <w:p>
      <w:pPr>
        <w:pStyle w:val="Normal"/>
        <w:keepNext w:val="true"/>
        <w:keepLines/>
        <w:tabs>
          <w:tab w:val="clear" w:pos="720"/>
          <w:tab w:val="left" w:pos="-720" w:leader="none"/>
        </w:tabs>
        <w:suppressAutoHyphens w:val="true"/>
        <w:rPr>
          <w:ins w:id="33" w:author="GE" w:date="2000-11-30T07:24:00Z"/>
        </w:rPr>
      </w:pPr>
      <w:ins w:id="32" w:author="GE" w:date="2000-11-30T07:24:00Z">
        <w:r>
          <w:rPr/>
        </w:r>
      </w:ins>
    </w:p>
    <w:p>
      <w:pPr>
        <w:pStyle w:val="Normal"/>
        <w:jc w:val="both"/>
        <w:rPr>
          <w:ins w:id="38" w:author="GE" w:date="2000-11-30T07:37:00Z"/>
        </w:rPr>
      </w:pPr>
      <w:ins w:id="34" w:author="GE" w:date="2000-11-30T07:24:00Z">
        <w:r>
          <w:rPr/>
          <w:t>Section 4.</w:t>
          <w:tab/>
        </w:r>
      </w:ins>
      <w:ins w:id="35" w:author="GE" w:date="2000-11-30T07:24:00Z">
        <w:r>
          <w:rPr>
            <w:u w:val="single"/>
          </w:rPr>
          <w:t xml:space="preserve">Representations, Warranties and Undertakings of </w:t>
        </w:r>
      </w:ins>
      <w:ins w:id="36" w:author="GE" w:date="2000-11-30T07:24:00Z">
        <w:r>
          <w:rPr>
            <w:spacing w:val="-2"/>
          </w:rPr>
          <w:t>the Development and Construction Manager</w:t>
        </w:r>
      </w:ins>
      <w:ins w:id="37" w:author="GE" w:date="2000-11-30T07:24:00Z">
        <w:r>
          <w:rPr/>
          <w:t>:</w:t>
        </w:r>
      </w:ins>
    </w:p>
    <w:p>
      <w:pPr>
        <w:pStyle w:val="Normal"/>
        <w:jc w:val="both"/>
        <w:rPr>
          <w:ins w:id="40" w:author="GE" w:date="2000-11-30T07:37:00Z"/>
        </w:rPr>
      </w:pPr>
      <w:ins w:id="39" w:author="GE" w:date="2000-11-30T07:37:00Z">
        <w:r>
          <w:rPr/>
        </w:r>
      </w:ins>
    </w:p>
    <w:p>
      <w:pPr>
        <w:pStyle w:val="Normal"/>
        <w:rPr>
          <w:ins w:id="54" w:author="GE" w:date="2000-11-30T07:37:00Z"/>
        </w:rPr>
      </w:pPr>
      <w:ins w:id="41" w:author="GE" w:date="2000-11-30T08:05:00Z">
        <w:r>
          <w:rPr>
            <w:spacing w:val="-2"/>
          </w:rPr>
          <w:t xml:space="preserve">Development and Construction Manager </w:t>
        </w:r>
      </w:ins>
      <w:ins w:id="42" w:author="GE" w:date="2000-11-30T07:37:00Z">
        <w:r>
          <w:rPr>
            <w:lang w:eastAsia="en-US"/>
          </w:rPr>
          <w:t xml:space="preserve">hereby </w:t>
        </w:r>
      </w:ins>
      <w:ins w:id="43" w:author="GE" w:date="2000-11-30T07:57:00Z">
        <w:r>
          <w:rPr>
            <w:lang w:eastAsia="en-US"/>
          </w:rPr>
          <w:t>represents</w:t>
        </w:r>
      </w:ins>
      <w:ins w:id="44" w:author="GE" w:date="2000-11-30T07:37:00Z">
        <w:r>
          <w:rPr>
            <w:lang w:eastAsia="en-US"/>
          </w:rPr>
          <w:t xml:space="preserve">:  (i) that failure timely to fund the financing commitments under the Lease Funding Arrangements if not the result of a default by the Agent would constitute a default by the Lenders, </w:t>
        </w:r>
      </w:ins>
      <w:ins w:id="45" w:author="GE" w:date="2000-11-30T07:57:00Z">
        <w:r>
          <w:rPr>
            <w:lang w:eastAsia="en-US"/>
          </w:rPr>
          <w:t>(ii)</w:t>
        </w:r>
      </w:ins>
      <w:ins w:id="46" w:author="GE" w:date="2000-11-30T07:37:00Z">
        <w:r>
          <w:rPr>
            <w:lang w:eastAsia="en-US"/>
          </w:rPr>
          <w:t xml:space="preserve"> that if there is an event of default by Agent under the Lease Financing Arrangements</w:t>
        </w:r>
      </w:ins>
      <w:ins w:id="47" w:author="GE" w:date="2000-11-30T08:06:00Z">
        <w:r>
          <w:rPr>
            <w:lang w:eastAsia="en-US"/>
          </w:rPr>
          <w:t>,</w:t>
        </w:r>
      </w:ins>
      <w:ins w:id="48" w:author="GE" w:date="2000-11-30T08:06:00Z">
        <w:r>
          <w:rPr>
            <w:spacing w:val="-2"/>
          </w:rPr>
          <w:t xml:space="preserve"> Development and Construction Manager</w:t>
        </w:r>
      </w:ins>
      <w:ins w:id="49" w:author="GE" w:date="2000-11-30T07:37:00Z">
        <w:r>
          <w:rPr>
            <w:lang w:eastAsia="en-US"/>
          </w:rPr>
          <w:t xml:space="preserve"> will cause the Agent use its best efforts to cure or remove such event of default or otherwise to ensure that it has adequate financing available to meet its obligations to make payments under the Contracts. </w:t>
        </w:r>
      </w:ins>
      <w:ins w:id="50" w:author="GE" w:date="2000-11-30T08:06:00Z">
        <w:r>
          <w:rPr>
            <w:spacing w:val="-2"/>
          </w:rPr>
          <w:t>Development and Construction Manager</w:t>
        </w:r>
      </w:ins>
      <w:ins w:id="51" w:author="GE" w:date="2000-11-30T07:37:00Z">
        <w:r>
          <w:rPr>
            <w:lang w:eastAsia="en-US"/>
          </w:rPr>
          <w:t xml:space="preserve"> further represents that if the Agent or any Lender defaults on its obligations to provide financing pursuant to the terms of the Lease Financing Arrangements, the </w:t>
        </w:r>
      </w:ins>
      <w:ins w:id="52" w:author="GE" w:date="2000-11-30T08:06:00Z">
        <w:r>
          <w:rPr>
            <w:spacing w:val="-2"/>
          </w:rPr>
          <w:t>Development and Construction Manager</w:t>
        </w:r>
      </w:ins>
      <w:ins w:id="53" w:author="GE" w:date="2000-11-30T07:37:00Z">
        <w:r>
          <w:rPr>
            <w:lang w:eastAsia="en-US"/>
          </w:rPr>
          <w:t xml:space="preserve"> shall cause Agent to use its best efforts to enforce the obligation of such person to provide such financing.</w:t>
        </w:r>
      </w:ins>
    </w:p>
    <w:p>
      <w:pPr>
        <w:pStyle w:val="Normal"/>
        <w:jc w:val="both"/>
        <w:rPr>
          <w:lang w:eastAsia="en-US"/>
          <w:ins w:id="56" w:author="GE" w:date="2000-11-30T07:24:00Z"/>
        </w:rPr>
      </w:pPr>
      <w:ins w:id="55" w:author="GE" w:date="2000-11-30T07:24:00Z">
        <w:r>
          <w:rPr>
            <w:lang w:eastAsia="en-US"/>
          </w:rPr>
        </w:r>
      </w:ins>
    </w:p>
    <w:p>
      <w:pPr>
        <w:pStyle w:val="Normal"/>
        <w:keepNext w:val="true"/>
        <w:keepLines/>
        <w:tabs>
          <w:tab w:val="clear" w:pos="720"/>
          <w:tab w:val="left" w:pos="-720" w:leader="none"/>
        </w:tabs>
        <w:suppressAutoHyphens w:val="true"/>
        <w:rPr/>
      </w:pPr>
      <w:r>
        <w:rPr/>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 xml:space="preserve">Section </w:t>
      </w:r>
      <w:ins w:id="57" w:author="GE" w:date="2000-11-30T07:59:00Z">
        <w:r>
          <w:rPr/>
          <w:t>5</w:t>
        </w:r>
      </w:ins>
      <w:del w:id="58" w:author="GE" w:date="2000-11-30T07:59:00Z">
        <w:r>
          <w:rPr/>
          <w:delText>4.</w:delText>
        </w:r>
      </w:del>
      <w:r>
        <w:rPr/>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spacing w:val="-2"/>
        </w:rPr>
      </w:pPr>
      <w:r>
        <w:rPr>
          <w:spacing w:val="-2"/>
        </w:rPr>
      </w:r>
    </w:p>
    <w:p>
      <w:pPr>
        <w:pStyle w:val="Normal"/>
        <w:rPr/>
      </w:pPr>
      <w:r>
        <w:rPr/>
        <w:tab/>
        <w:tab/>
        <w:tab/>
        <w:t>(f)</w:t>
        <w:tab/>
      </w:r>
      <w:r>
        <w:rPr>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spacing w:val="-3"/>
        </w:rPr>
        <w:t>.  THIS CONSENT SHALL BE GOVERNED BY, AND CONSTRUED IN ACCORDANCE WITH, THE LAW OF THE STATE OF NEW YORK.</w:t>
      </w:r>
    </w:p>
    <w:p>
      <w:pPr>
        <w:pStyle w:val="Normal"/>
        <w:numPr>
          <w:ilvl w:val="0"/>
          <w:numId w:val="0"/>
        </w:numPr>
        <w:tabs>
          <w:tab w:val="clear" w:pos="720"/>
          <w:tab w:val="left" w:pos="-720" w:leader="none"/>
        </w:tabs>
        <w:ind w:hanging="0" w:start="720" w:end="0"/>
        <w:jc w:val="both"/>
        <w:rPr>
          <w:spacing w:val="-3"/>
          <w:ins w:id="60" w:author="GE" w:date="2000-11-30T07:12:00Z"/>
        </w:rPr>
      </w:pPr>
      <w:ins w:id="59" w:author="GE" w:date="2000-11-30T07:12:00Z">
        <w:r>
          <w:rPr>
            <w:spacing w:val="-3"/>
          </w:rPr>
        </w:r>
      </w:ins>
    </w:p>
    <w:p>
      <w:pPr>
        <w:pStyle w:val="Normal"/>
        <w:numPr>
          <w:ilvl w:val="0"/>
          <w:numId w:val="1"/>
        </w:numPr>
        <w:tabs>
          <w:tab w:val="clear" w:pos="720"/>
          <w:tab w:val="left" w:pos="-720" w:leader="none"/>
        </w:tabs>
        <w:jc w:val="both"/>
        <w:rPr>
          <w:ins w:id="64" w:author="GE" w:date="2000-11-30T07:12:00Z"/>
        </w:rPr>
      </w:pPr>
      <w:ins w:id="61" w:author="GE" w:date="2000-11-30T07:12:00Z">
        <w:r>
          <w:rPr/>
          <w:t>No change in ownership, control or beneficial interest in DevCo</w:t>
        </w:r>
      </w:ins>
      <w:ins w:id="62" w:author="GE" w:date="2000-11-30T07:59:00Z">
        <w:r>
          <w:rPr/>
          <w:t xml:space="preserve"> (the Owner)</w:t>
        </w:r>
      </w:ins>
      <w:ins w:id="63" w:author="GE" w:date="2000-11-30T07:12:00Z">
        <w:r>
          <w:rPr/>
          <w:t xml:space="preserve"> can occur without the expressed written consent of the GE Parties.</w:t>
        </w:r>
      </w:ins>
    </w:p>
    <w:p>
      <w:pPr>
        <w:pStyle w:val="Normal"/>
        <w:numPr>
          <w:ilvl w:val="0"/>
          <w:numId w:val="1"/>
        </w:numPr>
        <w:tabs>
          <w:tab w:val="clear" w:pos="720"/>
          <w:tab w:val="left" w:pos="-720" w:leader="none"/>
        </w:tabs>
        <w:jc w:val="both"/>
        <w:rPr>
          <w:b/>
          <w:spacing w:val="-2"/>
          <w:ins w:id="73" w:author="GE" w:date="2000-11-30T08:00:00Z"/>
        </w:rPr>
      </w:pPr>
      <w:ins w:id="65" w:author="GE" w:date="2000-11-30T08:00:00Z">
        <w:r>
          <w:rPr>
            <w:b/>
            <w:spacing w:val="-2"/>
          </w:rPr>
          <w:t xml:space="preserve">ASSIGNMENT:  </w:t>
        </w:r>
      </w:ins>
      <w:ins w:id="66" w:author="GE" w:date="2000-11-30T08:00:00Z">
        <w:r>
          <w:rPr>
            <w:spacing w:val="-2"/>
          </w:rPr>
          <w:t xml:space="preserve">The </w:t>
        </w:r>
      </w:ins>
      <w:ins w:id="67" w:author="GE" w:date="2000-11-30T08:09:00Z">
        <w:r>
          <w:rPr>
            <w:spacing w:val="-2"/>
          </w:rPr>
          <w:t xml:space="preserve">Turbine </w:t>
        </w:r>
      </w:ins>
      <w:ins w:id="68" w:author="GE" w:date="2000-11-30T08:01:00Z">
        <w:r>
          <w:rPr>
            <w:spacing w:val="-2"/>
          </w:rPr>
          <w:t>Contracts may not be further assigned or otherwise transferred</w:t>
        </w:r>
      </w:ins>
      <w:ins w:id="69" w:author="GE" w:date="2000-11-30T08:03:00Z">
        <w:r>
          <w:rPr>
            <w:spacing w:val="-2"/>
          </w:rPr>
          <w:t xml:space="preserve"> except to an Affiliate of the Development and Construction Manager, </w:t>
        </w:r>
      </w:ins>
      <w:ins w:id="70" w:author="GE" w:date="2000-11-30T08:00:00Z">
        <w:r>
          <w:rPr>
            <w:spacing w:val="-2"/>
          </w:rPr>
          <w:t>except in the event of bankruptcy on the part of the Development and Construction Manager</w:t>
        </w:r>
      </w:ins>
      <w:ins w:id="71" w:author="GE" w:date="2000-11-30T08:04:00Z">
        <w:r>
          <w:rPr>
            <w:spacing w:val="-2"/>
          </w:rPr>
          <w:t>, and only then at the direction of the Lender(s)</w:t>
        </w:r>
      </w:ins>
      <w:ins w:id="72" w:author="GE" w:date="2000-11-30T08:00:00Z">
        <w:r>
          <w:rPr>
            <w:spacing w:val="-2"/>
          </w:rPr>
          <w:t>.</w:t>
        </w:r>
      </w:ins>
      <w:r>
        <w:br w:type="page"/>
      </w:r>
    </w:p>
    <w:p>
      <w:pPr>
        <w:pStyle w:val="Normal"/>
        <w:numPr>
          <w:ilvl w:val="0"/>
          <w:numId w:val="1"/>
        </w:numPr>
        <w:tabs>
          <w:tab w:val="clear" w:pos="720"/>
          <w:tab w:val="left" w:pos="-720" w:leader="none"/>
        </w:tabs>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t xml:space="preserve">ENRON NORTH AMERICA CORP., as </w:t>
        <w:tab/>
        <w:tab/>
        <w:tab/>
        <w:tab/>
        <w:tab/>
        <w:tab/>
        <w:tab/>
        <w:t xml:space="preserve"> Development and Construction Manager</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GENERAL ELECTRIC COMPANY</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ins w:id="75" w:author="GE" w:date="2000-11-30T07:06:00Z"/>
        </w:rPr>
      </w:pPr>
      <w:ins w:id="74" w:author="GE" w:date="2000-11-30T07:06:00Z">
        <w:r>
          <w:rPr/>
        </w:r>
      </w:ins>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ins w:id="77" w:author="GE" w:date="2000-11-30T07:06:00Z"/>
        </w:rPr>
      </w:pPr>
      <w:ins w:id="76" w:author="GE" w:date="2000-11-30T07:06:00Z">
        <w:r>
          <w:rPr/>
        </w:r>
      </w:ins>
    </w:p>
    <w:p>
      <w:pPr>
        <w:pStyle w:val="Normal"/>
        <w:numPr>
          <w:ilvl w:val="0"/>
          <w:numId w:val="0"/>
        </w:numPr>
        <w:tabs>
          <w:tab w:val="clear" w:pos="720"/>
          <w:tab w:val="left" w:pos="-720" w:leader="none"/>
        </w:tabs>
        <w:ind w:hanging="0" w:start="0"/>
        <w:jc w:val="both"/>
        <w:rPr>
          <w:rStyle w:val="H"/>
          <w:rFonts w:ascii="Times New Roman" w:hAnsi="Times New Roman" w:cs="Times New Roman"/>
          <w:spacing w:val="-2"/>
          <w:ins w:id="80" w:author="GE" w:date="2000-11-30T07:06:00Z"/>
        </w:rPr>
      </w:pPr>
      <w:ins w:id="78" w:author="GE" w:date="2000-11-30T07:06:00Z">
        <w:r>
          <w:rPr>
            <w:rStyle w:val="H"/>
            <w:rFonts w:cs="Times New Roman"/>
            <w:spacing w:val="-2"/>
          </w:rPr>
          <w:t>DevCO</w:t>
        </w:r>
      </w:ins>
      <w:ins w:id="79" w:author="GE" w:date="2000-11-30T08:07:00Z">
        <w:r>
          <w:rPr>
            <w:rStyle w:val="H"/>
            <w:rFonts w:cs="Times New Roman"/>
            <w:spacing w:val="-2"/>
          </w:rPr>
          <w:t xml:space="preserve"> (Agent)</w:t>
        </w:r>
      </w:ins>
    </w:p>
    <w:p>
      <w:pPr>
        <w:pStyle w:val="Normal"/>
        <w:numPr>
          <w:ilvl w:val="0"/>
          <w:numId w:val="0"/>
        </w:numPr>
        <w:tabs>
          <w:tab w:val="clear" w:pos="720"/>
          <w:tab w:val="left" w:pos="-720" w:leader="none"/>
        </w:tabs>
        <w:ind w:hanging="0" w:start="0"/>
        <w:jc w:val="both"/>
        <w:rPr>
          <w:ins w:id="82" w:author="GE" w:date="2000-11-30T07:06:00Z"/>
        </w:rPr>
      </w:pPr>
      <w:ins w:id="81" w:author="GE" w:date="2000-11-30T07:06:00Z">
        <w:r>
          <w:rPr>
            <w:rStyle w:val="H"/>
            <w:rFonts w:cs="Times New Roman"/>
            <w:spacing w:val="-2"/>
          </w:rPr>
          <w:t>By</w:t>
        </w:r>
      </w:ins>
    </w:p>
    <w:p>
      <w:pPr>
        <w:pStyle w:val="Normal"/>
        <w:numPr>
          <w:ilvl w:val="0"/>
          <w:numId w:val="0"/>
        </w:numPr>
        <w:tabs>
          <w:tab w:val="clear" w:pos="720"/>
          <w:tab w:val="left" w:pos="-720" w:leader="none"/>
        </w:tabs>
        <w:ind w:hanging="0" w:start="0"/>
        <w:jc w:val="both"/>
        <w:rPr>
          <w:ins w:id="84" w:author="GE" w:date="2000-11-30T07:06:00Z"/>
        </w:rPr>
      </w:pPr>
      <w:ins w:id="83" w:author="GE" w:date="2000-11-30T07:06:00Z">
        <w:r>
          <w:rPr>
            <w:rStyle w:val="H"/>
            <w:rFonts w:cs="Times New Roman"/>
            <w:spacing w:val="-2"/>
          </w:rPr>
          <w:t>Name</w:t>
        </w:r>
      </w:ins>
    </w:p>
    <w:p>
      <w:pPr>
        <w:pStyle w:val="Normal"/>
        <w:numPr>
          <w:ilvl w:val="0"/>
          <w:numId w:val="0"/>
        </w:numPr>
        <w:tabs>
          <w:tab w:val="clear" w:pos="720"/>
          <w:tab w:val="left" w:pos="-720" w:leader="none"/>
        </w:tabs>
        <w:ind w:hanging="0" w:start="0"/>
        <w:jc w:val="both"/>
        <w:rPr>
          <w:rStyle w:val="H"/>
          <w:rFonts w:ascii="Times New Roman" w:hAnsi="Times New Roman" w:cs="Times New Roman"/>
          <w:spacing w:val="-2"/>
          <w:ins w:id="86" w:author="GE" w:date="2000-11-30T08:07:00Z"/>
        </w:rPr>
      </w:pPr>
      <w:ins w:id="85" w:author="GE" w:date="2000-11-30T07:06:00Z">
        <w:r>
          <w:rPr>
            <w:rStyle w:val="H"/>
            <w:rFonts w:cs="Times New Roman"/>
            <w:spacing w:val="-2"/>
          </w:rPr>
          <w:t>Title</w:t>
        </w:r>
      </w:ins>
    </w:p>
    <w:p>
      <w:pPr>
        <w:pStyle w:val="Normal"/>
        <w:numPr>
          <w:ilvl w:val="0"/>
          <w:numId w:val="0"/>
        </w:numPr>
        <w:tabs>
          <w:tab w:val="clear" w:pos="720"/>
          <w:tab w:val="left" w:pos="-720" w:leader="none"/>
        </w:tabs>
        <w:ind w:hanging="0" w:start="0"/>
        <w:jc w:val="both"/>
        <w:rPr>
          <w:rStyle w:val="H"/>
          <w:rFonts w:ascii="Times New Roman" w:hAnsi="Times New Roman" w:cs="Times New Roman"/>
          <w:spacing w:val="-2"/>
          <w:ins w:id="88" w:author="GE" w:date="2000-11-30T08:07:00Z"/>
        </w:rPr>
      </w:pPr>
      <w:ins w:id="87" w:author="GE" w:date="2000-11-30T08:07:00Z">
        <w:r>
          <w:rPr/>
        </w:r>
      </w:ins>
    </w:p>
    <w:p>
      <w:pPr>
        <w:pStyle w:val="Normal"/>
        <w:numPr>
          <w:ilvl w:val="0"/>
          <w:numId w:val="0"/>
        </w:numPr>
        <w:tabs>
          <w:tab w:val="clear" w:pos="720"/>
          <w:tab w:val="left" w:pos="-720" w:leader="none"/>
        </w:tabs>
        <w:ind w:hanging="0" w:start="0"/>
        <w:jc w:val="both"/>
        <w:rPr>
          <w:rStyle w:val="H"/>
          <w:rFonts w:ascii="Times New Roman" w:hAnsi="Times New Roman" w:cs="Times New Roman"/>
          <w:spacing w:val="-2"/>
          <w:ins w:id="91" w:author="GE" w:date="2000-11-30T08:07:00Z"/>
        </w:rPr>
      </w:pPr>
      <w:ins w:id="89" w:author="GE" w:date="2000-11-30T08:07:00Z">
        <w:r>
          <w:rPr>
            <w:rStyle w:val="H"/>
            <w:rFonts w:cs="Times New Roman"/>
            <w:spacing w:val="-2"/>
          </w:rPr>
          <w:t>Owner</w:t>
        </w:r>
      </w:ins>
      <w:ins w:id="90" w:author="GE" w:date="2000-11-30T08:13:00Z">
        <w:r>
          <w:rPr>
            <w:rStyle w:val="H"/>
            <w:rFonts w:cs="Times New Roman"/>
            <w:spacing w:val="-2"/>
          </w:rPr>
          <w:t xml:space="preserve"> (if not DevCo)</w:t>
        </w:r>
      </w:ins>
    </w:p>
    <w:p>
      <w:pPr>
        <w:pStyle w:val="Normal"/>
        <w:numPr>
          <w:ilvl w:val="0"/>
          <w:numId w:val="0"/>
        </w:numPr>
        <w:tabs>
          <w:tab w:val="clear" w:pos="720"/>
          <w:tab w:val="left" w:pos="-720" w:leader="none"/>
        </w:tabs>
        <w:ind w:hanging="0" w:start="0"/>
        <w:jc w:val="both"/>
        <w:rPr>
          <w:ins w:id="93" w:author="GE" w:date="2000-11-30T08:07:00Z"/>
        </w:rPr>
      </w:pPr>
      <w:ins w:id="92" w:author="GE" w:date="2000-11-30T08:07:00Z">
        <w:r>
          <w:rPr>
            <w:rStyle w:val="H"/>
            <w:rFonts w:cs="Times New Roman"/>
            <w:spacing w:val="-2"/>
          </w:rPr>
          <w:t>By</w:t>
        </w:r>
      </w:ins>
    </w:p>
    <w:p>
      <w:pPr>
        <w:pStyle w:val="Normal"/>
        <w:numPr>
          <w:ilvl w:val="0"/>
          <w:numId w:val="0"/>
        </w:numPr>
        <w:tabs>
          <w:tab w:val="clear" w:pos="720"/>
          <w:tab w:val="left" w:pos="-720" w:leader="none"/>
        </w:tabs>
        <w:ind w:hanging="0" w:start="0"/>
        <w:jc w:val="both"/>
        <w:rPr>
          <w:ins w:id="95" w:author="GE" w:date="2000-11-30T08:07:00Z"/>
        </w:rPr>
      </w:pPr>
      <w:ins w:id="94" w:author="GE" w:date="2000-11-30T08:07:00Z">
        <w:r>
          <w:rPr>
            <w:rStyle w:val="H"/>
            <w:rFonts w:cs="Times New Roman"/>
            <w:spacing w:val="-2"/>
          </w:rPr>
          <w:t>Name</w:t>
        </w:r>
      </w:ins>
    </w:p>
    <w:p>
      <w:pPr>
        <w:pStyle w:val="Normal"/>
        <w:numPr>
          <w:ilvl w:val="0"/>
          <w:numId w:val="0"/>
        </w:numPr>
        <w:tabs>
          <w:tab w:val="clear" w:pos="720"/>
          <w:tab w:val="left" w:pos="-720" w:leader="none"/>
        </w:tabs>
        <w:ind w:hanging="0" w:start="0"/>
        <w:jc w:val="both"/>
        <w:rPr/>
      </w:pPr>
      <w:ins w:id="96" w:author="GE" w:date="2000-11-30T08:07:00Z">
        <w:r>
          <w:rPr>
            <w:rStyle w:val="H"/>
            <w:rFonts w:cs="Times New Roman"/>
            <w:spacing w:val="-2"/>
          </w:rPr>
          <w:t>Title</w:t>
        </w:r>
      </w:ins>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211262-6</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5486400" cy="440055"/>
              <wp:effectExtent l="0" t="0" r="0" b="0"/>
              <wp:wrapSquare wrapText="bothSides"/>
              <wp:docPr id="1" name="Frame3"/>
              <a:graphic xmlns:a="http://schemas.openxmlformats.org/drawingml/2006/main">
                <a:graphicData uri="http://schemas.microsoft.com/office/word/2010/wordprocessingShape">
                  <wps:wsp>
                    <wps:cNvSpPr txBox="1"/>
                    <wps:spPr>
                      <a:xfrm>
                        <a:off x="0" y="0"/>
                        <a:ext cx="5486400" cy="440055"/>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p>
                          <w:pPr>
                            <w:pStyle w:val="Normal"/>
                            <w:rPr>
                              <w:rStyle w:val="DocID"/>
                              <w:sz w:val="16"/>
                              <w:ins w:id="99" w:author="A&amp;K" w:date="2000-11-24T11:36:00Z"/>
                            </w:rPr>
                          </w:pPr>
                          <w:bookmarkStart w:id="1" w:name="bkEndId"/>
                          <w:bookmarkEnd w:id="1"/>
                          <w:del w:id="97"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98"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ins>
                        </w:p>
                        <w:p>
                          <w:pPr>
                            <w:pStyle w:val="Normal"/>
                            <w:rPr>
                              <w:rStyle w:val="DocID"/>
                              <w:sz w:val="16"/>
                            </w:rPr>
                          </w:pPr>
                          <w:ins w:id="100"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ins>
                        </w:p>
                      </w:txbxContent>
                    </wps:txbx>
                    <wps:bodyPr anchor="t" lIns="0" tIns="0" rIns="0" bIns="0">
                      <a:noAutofit/>
                    </wps:bodyPr>
                  </wps:wsp>
                </a:graphicData>
              </a:graphic>
            </wp:anchor>
          </w:drawing>
        </mc:Choice>
        <mc:Fallback>
          <w:pict>
            <v:rect fillcolor="#FFFFFF" style="position:absolute;rotation:-0;width:432pt;height:34.6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p>
                    <w:pPr>
                      <w:pStyle w:val="Normal"/>
                      <w:rPr>
                        <w:rStyle w:val="DocID"/>
                        <w:sz w:val="16"/>
                        <w:ins w:id="103" w:author="A&amp;K" w:date="2000-11-24T11:36:00Z"/>
                      </w:rPr>
                    </w:pPr>
                    <w:bookmarkStart w:id="3" w:name="bkEndId"/>
                    <w:bookmarkEnd w:id="3"/>
                    <w:del w:id="101"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102"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ins>
                  </w:p>
                  <w:p>
                    <w:pPr>
                      <w:pStyle w:val="Normal"/>
                      <w:rPr>
                        <w:rStyle w:val="DocID"/>
                        <w:sz w:val="16"/>
                      </w:rPr>
                    </w:pPr>
                    <w:ins w:id="104"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ins>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592824.1</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55320" cy="293370"/>
              <wp:effectExtent l="0" t="0" r="0" b="0"/>
              <wp:wrapSquare wrapText="bothSides"/>
              <wp:docPr id="3" name="Frame1"/>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bookmarkStart w:id="4" w:name="bkFooterDocID"/>
                          <w:bookmarkEnd w:id="4"/>
                          <w:del w:id="105"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 w:name="bkFooterDocID"/>
                    <w:bookmarkEnd w:id="5"/>
                    <w:del w:id="106"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10607675</wp:posOffset>
              </wp:positionV>
              <wp:extent cx="655320" cy="293370"/>
              <wp:effectExtent l="0" t="0" r="0" b="0"/>
              <wp:wrapSquare wrapText="bothSides"/>
              <wp:docPr id="4" name="Frame2"/>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11/24/00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lowerLetter"/>
      <w:lvlText w:val="(%1)"/>
      <w:lvlJc w:val="start"/>
      <w:pPr>
        <w:tabs>
          <w:tab w:val="num" w:pos="2880"/>
        </w:tabs>
        <w:ind w:start="28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2000-11-30T09:22:00Z</dcterms:created>
  <dc:creator>Zimmerman, Gina</dc:creator>
  <dc:description/>
  <dc:language>en-CA</dc:language>
  <cp:lastModifiedBy>GE</cp:lastModifiedBy>
  <cp:lastPrinted>2000-11-24T12:31:00Z</cp:lastPrinted>
  <dcterms:modified xsi:type="dcterms:W3CDTF">2000-11-30T10:51:00Z</dcterms:modified>
  <cp:revision>4</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HOU:592824.2 </vt:lpwstr>
  </property>
</Properties>
</file>