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u w:val="single"/>
        </w:rPr>
        <w:t>Deal Overview and Status</w:t>
      </w:r>
      <w:r>
        <w:rPr/>
        <w:tab/>
        <w:tab/>
        <w:tab/>
        <w:tab/>
        <w:t>The Current Estimate of the NPV Deal Value is $5 million.</w:t>
      </w:r>
    </w:p>
    <w:p>
      <w:pPr>
        <w:pStyle w:val="Normal"/>
        <w:rPr>
          <w:sz w:val="12"/>
        </w:rPr>
      </w:pPr>
      <w:r>
        <w:rPr>
          <w:sz w:val="12"/>
        </w:rPr>
      </w:r>
    </w:p>
    <w:tbl>
      <w:tblPr>
        <w:tblW w:w="13175" w:type="dxa"/>
        <w:jc w:val="start"/>
        <w:tblInd w:w="0" w:type="dxa"/>
        <w:tblLayout w:type="fixed"/>
        <w:tblCellMar>
          <w:top w:w="0" w:type="dxa"/>
          <w:start w:w="108" w:type="dxa"/>
          <w:bottom w:w="0" w:type="dxa"/>
          <w:end w:w="108" w:type="dxa"/>
        </w:tblCellMar>
      </w:tblPr>
      <w:tblGrid>
        <w:gridCol w:w="2635"/>
        <w:gridCol w:w="2635"/>
        <w:gridCol w:w="2635"/>
        <w:gridCol w:w="2635"/>
        <w:gridCol w:w="2635"/>
      </w:tblGrid>
      <w:tr>
        <w:trPr/>
        <w:tc>
          <w:tcPr>
            <w:tcW w:w="2635" w:type="dxa"/>
            <w:tcBorders/>
          </w:tcPr>
          <w:p>
            <w:pPr>
              <w:pStyle w:val="Normal"/>
              <w:snapToGrid w:val="false"/>
              <w:rPr>
                <w:rFonts w:ascii="Arial" w:hAnsi="Arial" w:cs="Arial"/>
                <w:b/>
                <w:sz w:val="16"/>
              </w:rPr>
            </w:pPr>
            <w:r>
              <w:rPr>
                <w:rFonts w:cs="Arial" w:ascii="Arial" w:hAnsi="Arial"/>
                <w:b/>
                <w:sz w:val="16"/>
              </w:rPr>
            </w:r>
          </w:p>
        </w:tc>
        <w:tc>
          <w:tcPr>
            <w:tcW w:w="2635" w:type="dxa"/>
            <w:tcBorders>
              <w:top w:val="single" w:sz="8" w:space="0" w:color="000000"/>
              <w:start w:val="single" w:sz="8" w:space="0" w:color="000000"/>
              <w:bottom w:val="single" w:sz="8" w:space="0" w:color="000000"/>
              <w:end w:val="single" w:sz="8" w:space="0" w:color="000000"/>
            </w:tcBorders>
          </w:tcPr>
          <w:p>
            <w:pPr>
              <w:pStyle w:val="Normal"/>
              <w:jc w:val="center"/>
              <w:rPr>
                <w:rFonts w:ascii="Arial" w:hAnsi="Arial" w:cs="Arial"/>
                <w:b/>
                <w:sz w:val="16"/>
              </w:rPr>
            </w:pPr>
            <w:r>
              <w:rPr>
                <w:rFonts w:cs="Arial" w:ascii="Arial" w:hAnsi="Arial"/>
                <w:b/>
                <w:sz w:val="16"/>
              </w:rPr>
              <w:t>Capital Investment</w:t>
            </w:r>
          </w:p>
        </w:tc>
        <w:tc>
          <w:tcPr>
            <w:tcW w:w="2635" w:type="dxa"/>
            <w:tcBorders>
              <w:top w:val="single" w:sz="8" w:space="0" w:color="000000"/>
              <w:start w:val="single" w:sz="8" w:space="0" w:color="000000"/>
              <w:bottom w:val="single" w:sz="8" w:space="0" w:color="000000"/>
              <w:end w:val="single" w:sz="8" w:space="0" w:color="000000"/>
            </w:tcBorders>
          </w:tcPr>
          <w:p>
            <w:pPr>
              <w:pStyle w:val="Normal"/>
              <w:jc w:val="center"/>
              <w:rPr>
                <w:rFonts w:ascii="Arial" w:hAnsi="Arial" w:cs="Arial"/>
                <w:b/>
                <w:sz w:val="16"/>
              </w:rPr>
            </w:pPr>
            <w:r>
              <w:rPr>
                <w:rFonts w:cs="Arial" w:ascii="Arial" w:hAnsi="Arial"/>
                <w:b/>
                <w:sz w:val="16"/>
              </w:rPr>
              <w:t>Deal Value</w:t>
            </w:r>
          </w:p>
        </w:tc>
        <w:tc>
          <w:tcPr>
            <w:tcW w:w="2635" w:type="dxa"/>
            <w:tcBorders>
              <w:top w:val="single" w:sz="8" w:space="0" w:color="000000"/>
              <w:start w:val="single" w:sz="8" w:space="0" w:color="000000"/>
              <w:bottom w:val="single" w:sz="8" w:space="0" w:color="000000"/>
              <w:end w:val="single" w:sz="8" w:space="0" w:color="000000"/>
            </w:tcBorders>
          </w:tcPr>
          <w:p>
            <w:pPr>
              <w:pStyle w:val="Normal"/>
              <w:jc w:val="center"/>
              <w:rPr>
                <w:rFonts w:ascii="Arial" w:hAnsi="Arial" w:cs="Arial"/>
                <w:b/>
                <w:sz w:val="16"/>
              </w:rPr>
            </w:pPr>
            <w:r>
              <w:rPr>
                <w:rFonts w:cs="Arial" w:ascii="Arial" w:hAnsi="Arial"/>
                <w:b/>
                <w:sz w:val="16"/>
              </w:rPr>
              <w:t>Natural Gas</w:t>
            </w:r>
          </w:p>
        </w:tc>
        <w:tc>
          <w:tcPr>
            <w:tcW w:w="2635" w:type="dxa"/>
            <w:tcBorders>
              <w:top w:val="single" w:sz="8" w:space="0" w:color="000000"/>
              <w:start w:val="single" w:sz="8" w:space="0" w:color="000000"/>
              <w:bottom w:val="single" w:sz="8" w:space="0" w:color="000000"/>
              <w:end w:val="single" w:sz="8" w:space="0" w:color="000000"/>
            </w:tcBorders>
          </w:tcPr>
          <w:p>
            <w:pPr>
              <w:pStyle w:val="Normal"/>
              <w:jc w:val="center"/>
              <w:rPr>
                <w:rFonts w:ascii="Arial" w:hAnsi="Arial" w:cs="Arial"/>
                <w:b/>
                <w:sz w:val="16"/>
              </w:rPr>
            </w:pPr>
            <w:r>
              <w:rPr>
                <w:rFonts w:cs="Arial" w:ascii="Arial" w:hAnsi="Arial"/>
                <w:b/>
                <w:sz w:val="16"/>
              </w:rPr>
              <w:t>O&amp;M</w:t>
            </w:r>
          </w:p>
        </w:tc>
      </w:tr>
      <w:tr>
        <w:trPr/>
        <w:tc>
          <w:tcPr>
            <w:tcW w:w="2635"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Arial" w:hAnsi="Arial" w:cs="Arial"/>
                <w:b/>
                <w:sz w:val="16"/>
              </w:rPr>
            </w:pPr>
            <w:r>
              <w:rPr>
                <w:rFonts w:cs="Arial" w:ascii="Arial" w:hAnsi="Arial"/>
                <w:b/>
                <w:sz w:val="16"/>
              </w:rPr>
            </w:r>
          </w:p>
          <w:p>
            <w:pPr>
              <w:pStyle w:val="Heading2"/>
              <w:ind w:hanging="0" w:start="0"/>
              <w:rPr>
                <w:sz w:val="16"/>
              </w:rPr>
            </w:pPr>
            <w:r>
              <w:rPr>
                <w:sz w:val="16"/>
              </w:rPr>
              <w:t>Deal Value</w:t>
            </w:r>
          </w:p>
          <w:p>
            <w:pPr>
              <w:pStyle w:val="Normal"/>
              <w:jc w:val="center"/>
              <w:rPr>
                <w:rFonts w:ascii="Arial" w:hAnsi="Arial" w:cs="Arial"/>
                <w:b/>
                <w:sz w:val="16"/>
              </w:rPr>
            </w:pPr>
            <w:r>
              <w:rPr>
                <w:rFonts w:cs="Arial" w:ascii="Arial" w:hAnsi="Arial"/>
                <w:b/>
                <w:sz w:val="16"/>
              </w:rPr>
            </w:r>
          </w:p>
          <w:p>
            <w:pPr>
              <w:pStyle w:val="Normal"/>
              <w:jc w:val="center"/>
              <w:rPr>
                <w:rFonts w:ascii="Arial" w:hAnsi="Arial" w:cs="Arial"/>
                <w:b/>
                <w:sz w:val="16"/>
              </w:rPr>
            </w:pPr>
            <w:r>
              <w:rPr>
                <w:rFonts w:cs="Arial" w:ascii="Arial" w:hAnsi="Arial"/>
                <w:b/>
                <w:sz w:val="16"/>
              </w:rPr>
            </w:r>
          </w:p>
          <w:p>
            <w:pPr>
              <w:pStyle w:val="Normal"/>
              <w:jc w:val="center"/>
              <w:rPr>
                <w:rFonts w:ascii="Arial" w:hAnsi="Arial" w:cs="Arial"/>
                <w:b/>
                <w:sz w:val="16"/>
              </w:rPr>
            </w:pPr>
            <w:r>
              <w:rPr>
                <w:rFonts w:cs="Arial" w:ascii="Arial" w:hAnsi="Arial"/>
                <w:b/>
                <w:sz w:val="16"/>
              </w:rPr>
            </w:r>
          </w:p>
        </w:tc>
        <w:tc>
          <w:tcPr>
            <w:tcW w:w="2635" w:type="dxa"/>
            <w:tcBorders>
              <w:start w:val="single" w:sz="8" w:space="0" w:color="000000"/>
              <w:bottom w:val="single" w:sz="8" w:space="0" w:color="000000"/>
              <w:end w:val="single" w:sz="8" w:space="0" w:color="000000"/>
            </w:tcBorders>
          </w:tcPr>
          <w:p>
            <w:pPr>
              <w:pStyle w:val="Normal"/>
              <w:numPr>
                <w:ilvl w:val="0"/>
                <w:numId w:val="12"/>
              </w:numPr>
              <w:tabs>
                <w:tab w:val="clear" w:pos="432"/>
                <w:tab w:val="left" w:pos="155" w:leader="none"/>
              </w:tabs>
              <w:ind w:hanging="360" w:start="245" w:end="0"/>
              <w:rPr>
                <w:rFonts w:ascii="Arial" w:hAnsi="Arial" w:cs="Arial"/>
                <w:sz w:val="16"/>
              </w:rPr>
            </w:pPr>
            <w:r>
              <w:rPr>
                <w:rFonts w:cs="Arial" w:ascii="Arial" w:hAnsi="Arial"/>
                <w:sz w:val="16"/>
              </w:rPr>
              <w:t>Capital Investment is priced at $14.5 million and likely to be higher after more detailed due diligence.</w:t>
            </w:r>
          </w:p>
        </w:tc>
        <w:tc>
          <w:tcPr>
            <w:tcW w:w="2635" w:type="dxa"/>
            <w:tcBorders>
              <w:start w:val="single" w:sz="8" w:space="0" w:color="000000"/>
              <w:bottom w:val="single" w:sz="8" w:space="0" w:color="000000"/>
              <w:end w:val="single" w:sz="8" w:space="0" w:color="000000"/>
            </w:tcBorders>
          </w:tcPr>
          <w:p>
            <w:pPr>
              <w:pStyle w:val="Normal"/>
              <w:numPr>
                <w:ilvl w:val="0"/>
                <w:numId w:val="7"/>
              </w:numPr>
              <w:tabs>
                <w:tab w:val="clear" w:pos="432"/>
                <w:tab w:val="left" w:pos="130" w:leader="none"/>
              </w:tabs>
              <w:ind w:hanging="220" w:start="220" w:end="0"/>
              <w:rPr>
                <w:rFonts w:ascii="Arial" w:hAnsi="Arial" w:cs="Arial"/>
                <w:sz w:val="16"/>
              </w:rPr>
            </w:pPr>
            <w:r>
              <w:rPr>
                <w:rFonts w:cs="Arial" w:ascii="Arial" w:hAnsi="Arial"/>
                <w:sz w:val="16"/>
              </w:rPr>
              <w:t>The deal structure has a capital recovery payment by GE Plastics at year 10 that is approximately $8 million.</w:t>
            </w:r>
          </w:p>
        </w:tc>
        <w:tc>
          <w:tcPr>
            <w:tcW w:w="2635" w:type="dxa"/>
            <w:tcBorders>
              <w:start w:val="single" w:sz="8" w:space="0" w:color="000000"/>
              <w:bottom w:val="single" w:sz="8" w:space="0" w:color="000000"/>
              <w:end w:val="single" w:sz="8" w:space="0" w:color="000000"/>
            </w:tcBorders>
          </w:tcPr>
          <w:p>
            <w:pPr>
              <w:pStyle w:val="Normal"/>
              <w:numPr>
                <w:ilvl w:val="0"/>
                <w:numId w:val="15"/>
              </w:numPr>
              <w:tabs>
                <w:tab w:val="clear" w:pos="432"/>
                <w:tab w:val="left" w:pos="195" w:leader="none"/>
              </w:tabs>
              <w:ind w:hanging="165" w:start="195" w:end="0"/>
              <w:rPr>
                <w:rFonts w:ascii="Arial" w:hAnsi="Arial" w:cs="Arial"/>
                <w:sz w:val="16"/>
              </w:rPr>
            </w:pPr>
            <w:r>
              <w:rPr>
                <w:rFonts w:cs="Arial" w:ascii="Arial" w:hAnsi="Arial"/>
                <w:sz w:val="16"/>
              </w:rPr>
              <w:t>Natural gas is an important component of the deal and investment from which Enron derives value and savings.</w:t>
            </w:r>
          </w:p>
        </w:tc>
        <w:tc>
          <w:tcPr>
            <w:tcW w:w="2635" w:type="dxa"/>
            <w:tcBorders>
              <w:start w:val="single" w:sz="8" w:space="0" w:color="000000"/>
              <w:bottom w:val="single" w:sz="8" w:space="0" w:color="000000"/>
              <w:end w:val="single" w:sz="8" w:space="0" w:color="000000"/>
            </w:tcBorders>
          </w:tcPr>
          <w:p>
            <w:pPr>
              <w:pStyle w:val="Normal"/>
              <w:numPr>
                <w:ilvl w:val="0"/>
                <w:numId w:val="11"/>
              </w:numPr>
              <w:tabs>
                <w:tab w:val="clear" w:pos="432"/>
                <w:tab w:val="left" w:pos="170" w:leader="none"/>
              </w:tabs>
              <w:ind w:hanging="280" w:start="170" w:end="0"/>
              <w:rPr>
                <w:rFonts w:ascii="Arial" w:hAnsi="Arial" w:cs="Arial"/>
                <w:sz w:val="16"/>
              </w:rPr>
            </w:pPr>
            <w:r>
              <w:rPr>
                <w:rFonts w:cs="Arial" w:ascii="Arial" w:hAnsi="Arial"/>
                <w:sz w:val="16"/>
              </w:rPr>
              <w:t>O&amp;M currently contributes approximately $1 million.</w:t>
            </w:r>
          </w:p>
        </w:tc>
      </w:tr>
      <w:tr>
        <w:trPr/>
        <w:tc>
          <w:tcPr>
            <w:tcW w:w="2635"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Arial" w:hAnsi="Arial" w:cs="Arial"/>
                <w:b/>
                <w:sz w:val="16"/>
              </w:rPr>
            </w:pPr>
            <w:r>
              <w:rPr>
                <w:rFonts w:cs="Arial" w:ascii="Arial" w:hAnsi="Arial"/>
                <w:b/>
                <w:sz w:val="16"/>
              </w:rPr>
            </w:r>
          </w:p>
          <w:p>
            <w:pPr>
              <w:pStyle w:val="Normal"/>
              <w:jc w:val="center"/>
              <w:rPr>
                <w:rFonts w:ascii="Arial" w:hAnsi="Arial" w:cs="Arial"/>
                <w:b/>
                <w:sz w:val="16"/>
              </w:rPr>
            </w:pPr>
            <w:r>
              <w:rPr>
                <w:rFonts w:cs="Arial" w:ascii="Arial" w:hAnsi="Arial"/>
                <w:b/>
                <w:sz w:val="16"/>
              </w:rPr>
            </w:r>
          </w:p>
          <w:p>
            <w:pPr>
              <w:pStyle w:val="Normal"/>
              <w:jc w:val="center"/>
              <w:rPr>
                <w:rFonts w:ascii="Arial" w:hAnsi="Arial" w:cs="Arial"/>
                <w:b/>
                <w:sz w:val="16"/>
              </w:rPr>
            </w:pPr>
            <w:r>
              <w:rPr>
                <w:rFonts w:cs="Arial" w:ascii="Arial" w:hAnsi="Arial"/>
                <w:b/>
                <w:sz w:val="16"/>
              </w:rPr>
            </w:r>
          </w:p>
          <w:p>
            <w:pPr>
              <w:pStyle w:val="Normal"/>
              <w:jc w:val="center"/>
              <w:rPr>
                <w:rFonts w:ascii="Arial" w:hAnsi="Arial" w:cs="Arial"/>
                <w:b/>
                <w:sz w:val="16"/>
              </w:rPr>
            </w:pPr>
            <w:r>
              <w:rPr>
                <w:rFonts w:cs="Arial" w:ascii="Arial" w:hAnsi="Arial"/>
                <w:b/>
                <w:sz w:val="16"/>
              </w:rPr>
            </w:r>
          </w:p>
          <w:p>
            <w:pPr>
              <w:pStyle w:val="Normal"/>
              <w:jc w:val="center"/>
              <w:rPr>
                <w:rFonts w:ascii="Arial" w:hAnsi="Arial" w:cs="Arial"/>
                <w:b/>
                <w:sz w:val="16"/>
              </w:rPr>
            </w:pPr>
            <w:r>
              <w:rPr>
                <w:rFonts w:cs="Arial" w:ascii="Arial" w:hAnsi="Arial"/>
                <w:b/>
                <w:sz w:val="16"/>
              </w:rPr>
              <w:t>Issue</w:t>
            </w:r>
          </w:p>
          <w:p>
            <w:pPr>
              <w:pStyle w:val="Normal"/>
              <w:jc w:val="center"/>
              <w:rPr>
                <w:rFonts w:ascii="Arial" w:hAnsi="Arial" w:cs="Arial"/>
                <w:b/>
                <w:sz w:val="16"/>
              </w:rPr>
            </w:pPr>
            <w:r>
              <w:rPr>
                <w:rFonts w:cs="Arial" w:ascii="Arial" w:hAnsi="Arial"/>
                <w:b/>
                <w:sz w:val="16"/>
              </w:rPr>
            </w:r>
          </w:p>
          <w:p>
            <w:pPr>
              <w:pStyle w:val="Normal"/>
              <w:jc w:val="center"/>
              <w:rPr>
                <w:rFonts w:ascii="Arial" w:hAnsi="Arial" w:cs="Arial"/>
                <w:b/>
                <w:sz w:val="16"/>
              </w:rPr>
            </w:pPr>
            <w:r>
              <w:rPr>
                <w:rFonts w:cs="Arial" w:ascii="Arial" w:hAnsi="Arial"/>
                <w:b/>
                <w:sz w:val="16"/>
              </w:rPr>
            </w:r>
          </w:p>
          <w:p>
            <w:pPr>
              <w:pStyle w:val="Normal"/>
              <w:jc w:val="center"/>
              <w:rPr>
                <w:rFonts w:ascii="Arial" w:hAnsi="Arial" w:cs="Arial"/>
                <w:b/>
                <w:sz w:val="16"/>
              </w:rPr>
            </w:pPr>
            <w:r>
              <w:rPr>
                <w:rFonts w:cs="Arial" w:ascii="Arial" w:hAnsi="Arial"/>
                <w:b/>
                <w:sz w:val="16"/>
              </w:rPr>
            </w:r>
          </w:p>
        </w:tc>
        <w:tc>
          <w:tcPr>
            <w:tcW w:w="2635" w:type="dxa"/>
            <w:tcBorders>
              <w:top w:val="single" w:sz="8" w:space="0" w:color="000000"/>
              <w:start w:val="single" w:sz="8" w:space="0" w:color="000000"/>
              <w:bottom w:val="single" w:sz="8" w:space="0" w:color="000000"/>
              <w:end w:val="single" w:sz="8" w:space="0" w:color="000000"/>
            </w:tcBorders>
          </w:tcPr>
          <w:p>
            <w:pPr>
              <w:pStyle w:val="Normal"/>
              <w:tabs>
                <w:tab w:val="clear" w:pos="432"/>
                <w:tab w:val="left" w:pos="155" w:leader="none"/>
              </w:tabs>
              <w:snapToGrid w:val="false"/>
              <w:rPr>
                <w:rFonts w:ascii="Arial" w:hAnsi="Arial" w:cs="Arial"/>
                <w:b/>
                <w:sz w:val="16"/>
              </w:rPr>
            </w:pPr>
            <w:r>
              <w:rPr>
                <w:rFonts w:cs="Arial" w:ascii="Arial" w:hAnsi="Arial"/>
                <w:b/>
                <w:sz w:val="16"/>
              </w:rPr>
            </w:r>
          </w:p>
          <w:p>
            <w:pPr>
              <w:pStyle w:val="Normal"/>
              <w:numPr>
                <w:ilvl w:val="0"/>
                <w:numId w:val="2"/>
              </w:numPr>
              <w:tabs>
                <w:tab w:val="clear" w:pos="432"/>
                <w:tab w:val="left" w:pos="155" w:leader="none"/>
              </w:tabs>
              <w:rPr>
                <w:rFonts w:ascii="Arial" w:hAnsi="Arial" w:cs="Arial"/>
                <w:sz w:val="16"/>
              </w:rPr>
            </w:pPr>
            <w:r>
              <w:rPr>
                <w:rFonts w:cs="Arial" w:ascii="Arial" w:hAnsi="Arial"/>
                <w:sz w:val="16"/>
              </w:rPr>
              <w:t>The investment assumes the purchase of used/reconditioned equipment, which may not be acceptable to GE Plastics.</w:t>
            </w:r>
          </w:p>
          <w:p>
            <w:pPr>
              <w:pStyle w:val="Normal"/>
              <w:numPr>
                <w:ilvl w:val="0"/>
                <w:numId w:val="2"/>
              </w:numPr>
              <w:tabs>
                <w:tab w:val="clear" w:pos="432"/>
                <w:tab w:val="left" w:pos="155" w:leader="none"/>
              </w:tabs>
              <w:rPr>
                <w:rFonts w:ascii="Arial" w:hAnsi="Arial" w:cs="Arial"/>
                <w:sz w:val="16"/>
              </w:rPr>
            </w:pPr>
            <w:r>
              <w:rPr>
                <w:rFonts w:cs="Arial" w:ascii="Arial" w:hAnsi="Arial"/>
                <w:sz w:val="16"/>
              </w:rPr>
              <w:t>Current estimates do not include siting costs and an accurate understanding of O&amp;M.</w:t>
            </w:r>
          </w:p>
        </w:tc>
        <w:tc>
          <w:tcPr>
            <w:tcW w:w="2635" w:type="dxa"/>
            <w:tcBorders>
              <w:top w:val="single" w:sz="8" w:space="0" w:color="000000"/>
              <w:start w:val="single" w:sz="8" w:space="0" w:color="000000"/>
              <w:bottom w:val="single" w:sz="8" w:space="0" w:color="000000"/>
              <w:end w:val="single" w:sz="8" w:space="0" w:color="000000"/>
            </w:tcBorders>
          </w:tcPr>
          <w:p>
            <w:pPr>
              <w:pStyle w:val="Normal"/>
              <w:tabs>
                <w:tab w:val="clear" w:pos="432"/>
                <w:tab w:val="left" w:pos="130" w:leader="none"/>
              </w:tabs>
              <w:snapToGrid w:val="false"/>
              <w:ind w:hanging="220" w:start="220" w:end="0"/>
              <w:rPr>
                <w:rFonts w:ascii="Arial" w:hAnsi="Arial" w:cs="Arial"/>
                <w:sz w:val="16"/>
              </w:rPr>
            </w:pPr>
            <w:r>
              <w:rPr>
                <w:rFonts w:cs="Arial" w:ascii="Arial" w:hAnsi="Arial"/>
                <w:sz w:val="16"/>
              </w:rPr>
            </w:r>
          </w:p>
          <w:p>
            <w:pPr>
              <w:pStyle w:val="Normal"/>
              <w:numPr>
                <w:ilvl w:val="0"/>
                <w:numId w:val="9"/>
              </w:numPr>
              <w:tabs>
                <w:tab w:val="clear" w:pos="432"/>
                <w:tab w:val="left" w:pos="130" w:leader="none"/>
              </w:tabs>
              <w:ind w:hanging="220" w:start="220" w:end="0"/>
              <w:rPr>
                <w:rFonts w:ascii="Arial" w:hAnsi="Arial" w:cs="Arial"/>
                <w:sz w:val="16"/>
              </w:rPr>
            </w:pPr>
            <w:r>
              <w:rPr>
                <w:rFonts w:cs="Arial" w:ascii="Arial" w:hAnsi="Arial"/>
                <w:sz w:val="16"/>
              </w:rPr>
              <w:t>GE Plastics is not comfort-able with investments for long dated assets and the associated capital recovery payment in year 10.  If Enron loses this payment, the NPV deal value would be reduced by $3 million.</w:t>
            </w:r>
          </w:p>
        </w:tc>
        <w:tc>
          <w:tcPr>
            <w:tcW w:w="2635" w:type="dxa"/>
            <w:tcBorders>
              <w:top w:val="single" w:sz="8" w:space="0" w:color="000000"/>
              <w:start w:val="single" w:sz="8" w:space="0" w:color="000000"/>
              <w:bottom w:val="single" w:sz="8" w:space="0" w:color="000000"/>
              <w:end w:val="single" w:sz="8" w:space="0" w:color="000000"/>
            </w:tcBorders>
          </w:tcPr>
          <w:p>
            <w:pPr>
              <w:pStyle w:val="Normal"/>
              <w:tabs>
                <w:tab w:val="clear" w:pos="432"/>
                <w:tab w:val="left" w:pos="195" w:leader="none"/>
              </w:tabs>
              <w:snapToGrid w:val="false"/>
              <w:ind w:hanging="165" w:start="195" w:end="0"/>
              <w:rPr>
                <w:rFonts w:ascii="Arial" w:hAnsi="Arial" w:cs="Arial"/>
                <w:sz w:val="16"/>
              </w:rPr>
            </w:pPr>
            <w:r>
              <w:rPr>
                <w:rFonts w:cs="Arial" w:ascii="Arial" w:hAnsi="Arial"/>
                <w:sz w:val="16"/>
              </w:rPr>
            </w:r>
          </w:p>
          <w:p>
            <w:pPr>
              <w:pStyle w:val="Normal"/>
              <w:numPr>
                <w:ilvl w:val="0"/>
                <w:numId w:val="5"/>
              </w:numPr>
              <w:tabs>
                <w:tab w:val="clear" w:pos="432"/>
                <w:tab w:val="left" w:pos="195" w:leader="none"/>
              </w:tabs>
              <w:ind w:hanging="165" w:start="195" w:end="0"/>
              <w:rPr>
                <w:rFonts w:ascii="Arial" w:hAnsi="Arial" w:cs="Arial"/>
                <w:sz w:val="16"/>
              </w:rPr>
            </w:pPr>
            <w:r>
              <w:rPr>
                <w:rFonts w:cs="Arial" w:ascii="Arial" w:hAnsi="Arial"/>
                <w:sz w:val="16"/>
              </w:rPr>
              <w:t>The current 10-year swap is $4.70.MMBtu and is straining deal value.</w:t>
            </w:r>
          </w:p>
        </w:tc>
        <w:tc>
          <w:tcPr>
            <w:tcW w:w="2635" w:type="dxa"/>
            <w:tcBorders>
              <w:top w:val="single" w:sz="8" w:space="0" w:color="000000"/>
              <w:start w:val="single" w:sz="8" w:space="0" w:color="000000"/>
              <w:bottom w:val="single" w:sz="8" w:space="0" w:color="000000"/>
              <w:end w:val="single" w:sz="8" w:space="0" w:color="000000"/>
            </w:tcBorders>
          </w:tcPr>
          <w:p>
            <w:pPr>
              <w:pStyle w:val="Normal"/>
              <w:snapToGrid w:val="false"/>
              <w:rPr>
                <w:rFonts w:ascii="Arial" w:hAnsi="Arial" w:cs="Arial"/>
                <w:sz w:val="16"/>
              </w:rPr>
            </w:pPr>
            <w:r>
              <w:rPr>
                <w:rFonts w:cs="Arial" w:ascii="Arial" w:hAnsi="Arial"/>
                <w:sz w:val="16"/>
              </w:rPr>
            </w:r>
          </w:p>
          <w:p>
            <w:pPr>
              <w:pStyle w:val="Normal"/>
              <w:numPr>
                <w:ilvl w:val="0"/>
                <w:numId w:val="3"/>
              </w:numPr>
              <w:tabs>
                <w:tab w:val="clear" w:pos="432"/>
                <w:tab w:val="left" w:pos="170" w:leader="none"/>
              </w:tabs>
              <w:ind w:hanging="280" w:start="170" w:end="0"/>
              <w:rPr>
                <w:rFonts w:ascii="Arial" w:hAnsi="Arial" w:cs="Arial"/>
                <w:sz w:val="16"/>
              </w:rPr>
            </w:pPr>
            <w:r>
              <w:rPr>
                <w:rFonts w:cs="Arial" w:ascii="Arial" w:hAnsi="Arial"/>
                <w:sz w:val="16"/>
              </w:rPr>
              <w:t>GE Plastics is struggling to embrace the outsourcing of O&amp;M.  GE could eliminate it from the deal.</w:t>
            </w:r>
          </w:p>
        </w:tc>
      </w:tr>
    </w:tbl>
    <w:p>
      <w:pPr>
        <w:pStyle w:val="Normal"/>
        <w:rPr>
          <w:rFonts w:ascii="Arial" w:hAnsi="Arial" w:cs="Arial"/>
          <w:b/>
        </w:rPr>
      </w:pPr>
      <w:r>
        <w:rPr>
          <w:rFonts w:cs="Arial" w:ascii="Arial" w:hAnsi="Arial"/>
          <w:b/>
        </w:rPr>
      </w:r>
    </w:p>
    <w:p>
      <w:pPr>
        <w:pStyle w:val="Heading1"/>
        <w:ind w:hanging="0" w:start="0"/>
        <w:rPr>
          <w:u w:val="single"/>
        </w:rPr>
      </w:pPr>
      <w:r>
        <w:rPr>
          <w:u w:val="single"/>
        </w:rPr>
        <w:t>Responses to Marty Sunde’s Questions</w:t>
      </w:r>
    </w:p>
    <w:p>
      <w:pPr>
        <w:pStyle w:val="Normal"/>
        <w:rPr>
          <w:rFonts w:ascii="Arial" w:hAnsi="Arial" w:cs="Arial"/>
          <w:sz w:val="12"/>
          <w:u w:val="single"/>
        </w:rPr>
      </w:pPr>
      <w:r>
        <w:rPr>
          <w:rFonts w:cs="Arial" w:ascii="Arial" w:hAnsi="Arial"/>
          <w:sz w:val="12"/>
          <w:u w:val="single"/>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8" w:space="0" w:color="000000"/>
              <w:start w:val="single" w:sz="8" w:space="0" w:color="000000"/>
              <w:bottom w:val="single" w:sz="8" w:space="0" w:color="000000"/>
              <w:end w:val="single" w:sz="8" w:space="0" w:color="000000"/>
            </w:tcBorders>
          </w:tcPr>
          <w:p>
            <w:pPr>
              <w:pStyle w:val="Normal"/>
              <w:jc w:val="center"/>
              <w:rPr>
                <w:rFonts w:ascii="Arial" w:hAnsi="Arial" w:cs="Arial"/>
                <w:b/>
                <w:sz w:val="16"/>
              </w:rPr>
            </w:pPr>
            <w:r>
              <w:rPr>
                <w:rFonts w:cs="Arial" w:ascii="Arial" w:hAnsi="Arial"/>
                <w:b/>
                <w:sz w:val="16"/>
              </w:rPr>
              <w:t>Question</w:t>
            </w:r>
          </w:p>
        </w:tc>
        <w:tc>
          <w:tcPr>
            <w:tcW w:w="6588" w:type="dxa"/>
            <w:tcBorders>
              <w:top w:val="single" w:sz="8" w:space="0" w:color="000000"/>
              <w:start w:val="single" w:sz="8" w:space="0" w:color="000000"/>
              <w:bottom w:val="single" w:sz="8" w:space="0" w:color="000000"/>
              <w:end w:val="single" w:sz="8" w:space="0" w:color="000000"/>
            </w:tcBorders>
          </w:tcPr>
          <w:p>
            <w:pPr>
              <w:pStyle w:val="Normal"/>
              <w:jc w:val="center"/>
              <w:rPr>
                <w:rFonts w:ascii="Arial" w:hAnsi="Arial" w:cs="Arial"/>
                <w:b/>
                <w:sz w:val="16"/>
              </w:rPr>
            </w:pPr>
            <w:r>
              <w:rPr>
                <w:rFonts w:cs="Arial" w:ascii="Arial" w:hAnsi="Arial"/>
                <w:b/>
                <w:sz w:val="16"/>
              </w:rPr>
              <w:t>Response</w:t>
            </w:r>
          </w:p>
        </w:tc>
      </w:tr>
      <w:tr>
        <w:trPr/>
        <w:tc>
          <w:tcPr>
            <w:tcW w:w="6588" w:type="dxa"/>
            <w:tcBorders>
              <w:top w:val="single" w:sz="8" w:space="0" w:color="000000"/>
              <w:start w:val="single" w:sz="8" w:space="0" w:color="000000"/>
              <w:bottom w:val="single" w:sz="8" w:space="0" w:color="000000"/>
              <w:end w:val="single" w:sz="8" w:space="0" w:color="000000"/>
            </w:tcBorders>
          </w:tcPr>
          <w:p>
            <w:pPr>
              <w:pStyle w:val="Header"/>
              <w:tabs>
                <w:tab w:val="clear" w:pos="4320"/>
                <w:tab w:val="clear" w:pos="8640"/>
              </w:tabs>
              <w:snapToGrid w:val="false"/>
              <w:jc w:val="both"/>
              <w:rPr>
                <w:rFonts w:ascii="Arial" w:hAnsi="Arial" w:cs="Arial"/>
                <w:b/>
                <w:sz w:val="16"/>
              </w:rPr>
            </w:pPr>
            <w:r>
              <w:rPr>
                <w:rFonts w:cs="Arial" w:ascii="Arial" w:hAnsi="Arial"/>
                <w:b/>
                <w:sz w:val="16"/>
              </w:rPr>
            </w:r>
          </w:p>
          <w:p>
            <w:pPr>
              <w:pStyle w:val="Header"/>
              <w:numPr>
                <w:ilvl w:val="0"/>
                <w:numId w:val="6"/>
              </w:numPr>
              <w:tabs>
                <w:tab w:val="clear" w:pos="4320"/>
                <w:tab w:val="clear" w:pos="8640"/>
              </w:tabs>
              <w:jc w:val="both"/>
              <w:rPr>
                <w:rFonts w:ascii="Arial" w:hAnsi="Arial" w:cs="Arial"/>
                <w:sz w:val="16"/>
              </w:rPr>
            </w:pPr>
            <w:r>
              <w:rPr>
                <w:rFonts w:cs="Arial" w:ascii="Arial" w:hAnsi="Arial"/>
                <w:sz w:val="16"/>
              </w:rPr>
              <w:t>Is there a Sr. Executive Champion that is willing to ‘influence” the GE negotiating team into getting a deal done, even if the terms are less desirable than what Rodney laid out as their requirements?</w:t>
            </w:r>
          </w:p>
        </w:tc>
        <w:tc>
          <w:tcPr>
            <w:tcW w:w="6588" w:type="dxa"/>
            <w:tcBorders>
              <w:top w:val="single" w:sz="8" w:space="0" w:color="000000"/>
              <w:start w:val="single" w:sz="8" w:space="0" w:color="000000"/>
              <w:bottom w:val="single" w:sz="8" w:space="0" w:color="000000"/>
              <w:end w:val="single" w:sz="8" w:space="0" w:color="000000"/>
            </w:tcBorders>
          </w:tcPr>
          <w:p>
            <w:pPr>
              <w:pStyle w:val="Normal"/>
              <w:numPr>
                <w:ilvl w:val="0"/>
                <w:numId w:val="13"/>
              </w:numPr>
              <w:rPr>
                <w:rFonts w:ascii="Arial" w:hAnsi="Arial" w:cs="Arial"/>
                <w:sz w:val="16"/>
              </w:rPr>
            </w:pPr>
            <w:r>
              <w:rPr>
                <w:rFonts w:cs="Arial" w:ascii="Arial" w:hAnsi="Arial"/>
                <w:sz w:val="16"/>
              </w:rPr>
              <w:t>No.  The Corporate GE Plastics sponsor, Doron Grossman must gain “buy-in” from the individual sites and cannot champion sponsor a corporate project singularly.  The result has been a long process during which GE Plastics has unbundled the Enron product.</w:t>
            </w:r>
          </w:p>
          <w:p>
            <w:pPr>
              <w:pStyle w:val="Normal"/>
              <w:rPr>
                <w:rFonts w:ascii="Arial" w:hAnsi="Arial" w:cs="Arial"/>
                <w:sz w:val="16"/>
              </w:rPr>
            </w:pPr>
            <w:r>
              <w:rPr>
                <w:rFonts w:cs="Arial" w:ascii="Arial" w:hAnsi="Arial"/>
                <w:sz w:val="16"/>
              </w:rPr>
            </w:r>
          </w:p>
        </w:tc>
      </w:tr>
      <w:tr>
        <w:trPr/>
        <w:tc>
          <w:tcPr>
            <w:tcW w:w="6588" w:type="dxa"/>
            <w:tcBorders>
              <w:top w:val="single" w:sz="8" w:space="0" w:color="000000"/>
              <w:start w:val="single" w:sz="8" w:space="0" w:color="000000"/>
              <w:bottom w:val="single" w:sz="8" w:space="0" w:color="000000"/>
              <w:end w:val="single" w:sz="8" w:space="0" w:color="000000"/>
            </w:tcBorders>
          </w:tcPr>
          <w:p>
            <w:pPr>
              <w:pStyle w:val="Normal"/>
              <w:snapToGrid w:val="false"/>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numPr>
                <w:ilvl w:val="0"/>
                <w:numId w:val="6"/>
              </w:numPr>
              <w:jc w:val="both"/>
              <w:rPr>
                <w:rFonts w:ascii="Arial" w:hAnsi="Arial" w:cs="Arial"/>
                <w:sz w:val="16"/>
              </w:rPr>
            </w:pPr>
            <w:r>
              <w:rPr>
                <w:rFonts w:cs="Arial" w:ascii="Arial" w:hAnsi="Arial"/>
                <w:sz w:val="16"/>
              </w:rPr>
              <w:t>Is GE Plastics willing to extend the term so that there isn’t a capital tail?</w:t>
            </w:r>
          </w:p>
        </w:tc>
        <w:tc>
          <w:tcPr>
            <w:tcW w:w="6588" w:type="dxa"/>
            <w:tcBorders>
              <w:top w:val="single" w:sz="8" w:space="0" w:color="000000"/>
              <w:start w:val="single" w:sz="8" w:space="0" w:color="000000"/>
              <w:bottom w:val="single" w:sz="8" w:space="0" w:color="000000"/>
              <w:end w:val="single" w:sz="8" w:space="0" w:color="000000"/>
            </w:tcBorders>
          </w:tcPr>
          <w:p>
            <w:pPr>
              <w:pStyle w:val="Normal"/>
              <w:numPr>
                <w:ilvl w:val="0"/>
                <w:numId w:val="4"/>
              </w:numPr>
              <w:rPr>
                <w:rFonts w:ascii="Arial" w:hAnsi="Arial" w:cs="Arial"/>
                <w:sz w:val="16"/>
              </w:rPr>
            </w:pPr>
            <w:r>
              <w:rPr>
                <w:rFonts w:cs="Arial" w:ascii="Arial" w:hAnsi="Arial"/>
                <w:sz w:val="16"/>
              </w:rPr>
              <w:t>No.  GE Plastics is not willing to extend the term beyond 10 years.  The capital “tail” at the end of the 10 year term is an issue with which GE Plastics has concerns.  GE  Plastics has expressed questions about the “reasonableness” of such a payment.  For example, would such a payment earn a 50% IRR?  If Enron were forced to pay it, the deal would likely be $2 million if all else were held constant.  Holding everything else constant is not likely.</w:t>
            </w:r>
          </w:p>
          <w:p>
            <w:pPr>
              <w:pStyle w:val="Normal"/>
              <w:rPr>
                <w:rFonts w:ascii="Arial" w:hAnsi="Arial" w:cs="Arial"/>
                <w:sz w:val="16"/>
              </w:rPr>
            </w:pPr>
            <w:r>
              <w:rPr>
                <w:rFonts w:cs="Arial" w:ascii="Arial" w:hAnsi="Arial"/>
                <w:sz w:val="16"/>
              </w:rPr>
            </w:r>
          </w:p>
        </w:tc>
      </w:tr>
      <w:tr>
        <w:trPr/>
        <w:tc>
          <w:tcPr>
            <w:tcW w:w="6588" w:type="dxa"/>
            <w:tcBorders>
              <w:top w:val="single" w:sz="8" w:space="0" w:color="000000"/>
              <w:start w:val="single" w:sz="8" w:space="0" w:color="000000"/>
              <w:bottom w:val="single" w:sz="8" w:space="0" w:color="000000"/>
              <w:end w:val="single" w:sz="8" w:space="0" w:color="000000"/>
            </w:tcBorders>
          </w:tcPr>
          <w:p>
            <w:pPr>
              <w:pStyle w:val="Header"/>
              <w:tabs>
                <w:tab w:val="clear" w:pos="4320"/>
                <w:tab w:val="clear" w:pos="8640"/>
              </w:tabs>
              <w:snapToGrid w:val="false"/>
              <w:jc w:val="both"/>
              <w:rPr>
                <w:rFonts w:ascii="Arial" w:hAnsi="Arial" w:cs="Arial"/>
                <w:sz w:val="16"/>
              </w:rPr>
            </w:pPr>
            <w:r>
              <w:rPr>
                <w:rFonts w:cs="Arial" w:ascii="Arial" w:hAnsi="Arial"/>
                <w:sz w:val="16"/>
              </w:rPr>
            </w:r>
          </w:p>
          <w:p>
            <w:pPr>
              <w:pStyle w:val="Header"/>
              <w:numPr>
                <w:ilvl w:val="0"/>
                <w:numId w:val="6"/>
              </w:numPr>
              <w:tabs>
                <w:tab w:val="clear" w:pos="4320"/>
                <w:tab w:val="clear" w:pos="8640"/>
              </w:tabs>
              <w:jc w:val="both"/>
              <w:rPr>
                <w:rFonts w:ascii="Arial" w:hAnsi="Arial" w:cs="Arial"/>
                <w:sz w:val="16"/>
              </w:rPr>
            </w:pPr>
            <w:r>
              <w:rPr>
                <w:rFonts w:cs="Arial" w:ascii="Arial" w:hAnsi="Arial"/>
                <w:sz w:val="16"/>
              </w:rPr>
              <w:t>Is there any real compelling motivation for this GE Plastics team to change from current practice?  Do we know what that is and what the deadline for action for change is?</w:t>
            </w:r>
          </w:p>
        </w:tc>
        <w:tc>
          <w:tcPr>
            <w:tcW w:w="6588" w:type="dxa"/>
            <w:tcBorders>
              <w:top w:val="single" w:sz="8" w:space="0" w:color="000000"/>
              <w:start w:val="single" w:sz="8" w:space="0" w:color="000000"/>
              <w:bottom w:val="single" w:sz="8" w:space="0" w:color="000000"/>
              <w:end w:val="single" w:sz="8" w:space="0" w:color="000000"/>
            </w:tcBorders>
          </w:tcPr>
          <w:p>
            <w:pPr>
              <w:pStyle w:val="Normal"/>
              <w:numPr>
                <w:ilvl w:val="0"/>
                <w:numId w:val="8"/>
              </w:numPr>
              <w:rPr>
                <w:rFonts w:ascii="Arial" w:hAnsi="Arial" w:cs="Arial"/>
                <w:sz w:val="16"/>
              </w:rPr>
            </w:pPr>
            <w:r>
              <w:rPr>
                <w:rFonts w:cs="Arial" w:ascii="Arial" w:hAnsi="Arial"/>
                <w:sz w:val="16"/>
              </w:rPr>
              <w:t>No.  In fact, change management may account for a significant level of the difficulty that Enron has encountered.  In addition, Waterford’s and Parkersburg’s decision s to pursue third party cogens diluted and weakened Enron’s position and offering.</w:t>
            </w:r>
          </w:p>
          <w:p>
            <w:pPr>
              <w:pStyle w:val="Normal"/>
              <w:rPr>
                <w:rFonts w:ascii="Arial" w:hAnsi="Arial" w:cs="Arial"/>
                <w:sz w:val="16"/>
              </w:rPr>
            </w:pPr>
            <w:r>
              <w:rPr>
                <w:rFonts w:cs="Arial" w:ascii="Arial" w:hAnsi="Arial"/>
                <w:sz w:val="16"/>
              </w:rPr>
            </w:r>
          </w:p>
        </w:tc>
      </w:tr>
      <w:tr>
        <w:trPr/>
        <w:tc>
          <w:tcPr>
            <w:tcW w:w="6588" w:type="dxa"/>
            <w:tcBorders>
              <w:top w:val="single" w:sz="8" w:space="0" w:color="000000"/>
              <w:start w:val="single" w:sz="8" w:space="0" w:color="000000"/>
              <w:bottom w:val="single" w:sz="8" w:space="0" w:color="000000"/>
              <w:end w:val="single" w:sz="8" w:space="0" w:color="000000"/>
            </w:tcBorders>
          </w:tcPr>
          <w:p>
            <w:pPr>
              <w:pStyle w:val="Normal"/>
              <w:snapToGrid w:val="false"/>
              <w:jc w:val="both"/>
              <w:rPr>
                <w:rFonts w:ascii="Arial" w:hAnsi="Arial" w:cs="Arial"/>
                <w:sz w:val="16"/>
              </w:rPr>
            </w:pPr>
            <w:r>
              <w:rPr>
                <w:rFonts w:cs="Arial" w:ascii="Arial" w:hAnsi="Arial"/>
                <w:sz w:val="16"/>
              </w:rPr>
            </w:r>
          </w:p>
          <w:p>
            <w:pPr>
              <w:pStyle w:val="Normal"/>
              <w:numPr>
                <w:ilvl w:val="0"/>
                <w:numId w:val="6"/>
              </w:numPr>
              <w:jc w:val="both"/>
              <w:rPr>
                <w:rFonts w:ascii="Arial" w:hAnsi="Arial" w:cs="Arial"/>
                <w:sz w:val="16"/>
              </w:rPr>
            </w:pPr>
            <w:r>
              <w:rPr>
                <w:rFonts w:cs="Arial" w:ascii="Arial" w:hAnsi="Arial"/>
                <w:sz w:val="16"/>
              </w:rPr>
              <w:t>Could Rodney suggest alternatives to address the obstacles and show the potential impact on the margin in the deal?</w:t>
            </w:r>
          </w:p>
        </w:tc>
        <w:tc>
          <w:tcPr>
            <w:tcW w:w="6588" w:type="dxa"/>
            <w:tcBorders>
              <w:top w:val="single" w:sz="8" w:space="0" w:color="000000"/>
              <w:start w:val="single" w:sz="8" w:space="0" w:color="000000"/>
              <w:bottom w:val="single" w:sz="8" w:space="0" w:color="000000"/>
              <w:end w:val="single" w:sz="8" w:space="0" w:color="000000"/>
            </w:tcBorders>
          </w:tcPr>
          <w:p>
            <w:pPr>
              <w:pStyle w:val="Normal"/>
              <w:numPr>
                <w:ilvl w:val="0"/>
                <w:numId w:val="14"/>
              </w:numPr>
              <w:rPr>
                <w:rFonts w:ascii="Arial" w:hAnsi="Arial" w:cs="Arial"/>
                <w:sz w:val="16"/>
              </w:rPr>
            </w:pPr>
            <w:r>
              <w:rPr>
                <w:rFonts w:cs="Arial" w:ascii="Arial" w:hAnsi="Arial"/>
                <w:sz w:val="16"/>
              </w:rPr>
              <w:t>Alternatives to the existing obstacles (such as different deal structure) will require significant time, resources and further negotiations without the guaranty or high probability of success to Enron.  The sales process is not yet completed.</w:t>
            </w:r>
          </w:p>
          <w:p>
            <w:pPr>
              <w:pStyle w:val="Normal"/>
              <w:rPr>
                <w:rFonts w:ascii="Arial" w:hAnsi="Arial" w:cs="Arial"/>
                <w:sz w:val="16"/>
              </w:rPr>
            </w:pPr>
            <w:r>
              <w:rPr>
                <w:rFonts w:cs="Arial" w:ascii="Arial" w:hAnsi="Arial"/>
                <w:sz w:val="16"/>
              </w:rPr>
            </w:r>
          </w:p>
        </w:tc>
      </w:tr>
      <w:tr>
        <w:trPr/>
        <w:tc>
          <w:tcPr>
            <w:tcW w:w="6588" w:type="dxa"/>
            <w:tcBorders>
              <w:top w:val="single" w:sz="8" w:space="0" w:color="000000"/>
              <w:start w:val="single" w:sz="8" w:space="0" w:color="000000"/>
              <w:bottom w:val="single" w:sz="8" w:space="0" w:color="000000"/>
              <w:end w:val="single" w:sz="8" w:space="0" w:color="000000"/>
            </w:tcBorders>
          </w:tcPr>
          <w:p>
            <w:pPr>
              <w:pStyle w:val="Normal"/>
              <w:snapToGrid w:val="false"/>
              <w:jc w:val="both"/>
              <w:rPr>
                <w:rFonts w:ascii="Arial" w:hAnsi="Arial" w:cs="Arial"/>
                <w:sz w:val="16"/>
              </w:rPr>
            </w:pPr>
            <w:r>
              <w:rPr>
                <w:rFonts w:cs="Arial" w:ascii="Arial" w:hAnsi="Arial"/>
                <w:sz w:val="16"/>
              </w:rPr>
            </w:r>
          </w:p>
          <w:p>
            <w:pPr>
              <w:pStyle w:val="Normal"/>
              <w:numPr>
                <w:ilvl w:val="0"/>
                <w:numId w:val="6"/>
              </w:numPr>
              <w:jc w:val="both"/>
              <w:rPr>
                <w:rFonts w:ascii="Arial" w:hAnsi="Arial" w:cs="Arial"/>
                <w:sz w:val="16"/>
              </w:rPr>
            </w:pPr>
            <w:r>
              <w:rPr>
                <w:rFonts w:cs="Arial" w:ascii="Arial" w:hAnsi="Arial"/>
                <w:sz w:val="16"/>
              </w:rPr>
              <w:t>Is there some other component for his deal that is so compelling to the prospect that we can attach these pieces to that?</w:t>
            </w:r>
          </w:p>
        </w:tc>
        <w:tc>
          <w:tcPr>
            <w:tcW w:w="6588" w:type="dxa"/>
            <w:tcBorders>
              <w:top w:val="single" w:sz="8" w:space="0" w:color="000000"/>
              <w:start w:val="single" w:sz="8" w:space="0" w:color="000000"/>
              <w:bottom w:val="single" w:sz="8" w:space="0" w:color="000000"/>
              <w:end w:val="single" w:sz="8" w:space="0" w:color="000000"/>
            </w:tcBorders>
          </w:tcPr>
          <w:p>
            <w:pPr>
              <w:pStyle w:val="Normal"/>
              <w:numPr>
                <w:ilvl w:val="0"/>
                <w:numId w:val="10"/>
              </w:numPr>
              <w:rPr>
                <w:rFonts w:ascii="Arial" w:hAnsi="Arial" w:cs="Arial"/>
                <w:sz w:val="16"/>
              </w:rPr>
            </w:pPr>
            <w:r>
              <w:rPr>
                <w:rFonts w:cs="Arial" w:ascii="Arial" w:hAnsi="Arial"/>
                <w:sz w:val="16"/>
              </w:rPr>
              <w:t>The “marquis value” of executing this deal is meaningful to Enron and certainly wold help in pursuing other units of GE.  However, not executing it does not preclude approaching other GE units, especially if Enron withdraws gracefully.</w:t>
            </w:r>
          </w:p>
        </w:tc>
      </w:tr>
    </w:tbl>
    <w:p>
      <w:pPr>
        <w:pStyle w:val="Normal"/>
        <w:rPr/>
      </w:pPr>
      <w:r>
        <w:rPr/>
      </w:r>
    </w:p>
    <w:sectPr>
      <w:headerReference w:type="default" r:id="rId2"/>
      <w:footerReference w:type="default" r:id="rId3"/>
      <w:type w:val="nextPage"/>
      <w:pgSz w:orient="landscape" w:w="15840" w:h="122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rFonts w:cs="Arial" w:ascii="Arial" w:hAnsi="Arial"/>
      </w:rPr>
      <w:t>001017GEPStatus&amp;Issues</w:t>
      <w:tab/>
      <w:tab/>
      <w:tab/>
      <w:tab/>
      <w:tab/>
      <w:tab/>
      <w:tab/>
      <w:tab/>
      <w:tab/>
      <w:tab/>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432" w:leader="none"/>
      </w:tabs>
      <w:rPr>
        <w:rFonts w:ascii="Arial Black" w:hAnsi="Arial Black" w:cs="Arial Black"/>
        <w:sz w:val="24"/>
      </w:rPr>
    </w:pPr>
    <w:r>
      <w:rPr>
        <w:rFonts w:cs="Arial Black" w:ascii="Arial Black" w:hAnsi="Arial Black"/>
        <w:sz w:val="24"/>
      </w:rPr>
      <w:t xml:space="preserve">GE Plastics Status and Issues </w:t>
      <w:tab/>
      <w:tab/>
      <w:tab/>
      <w:tab/>
      <w:tab/>
      <w:tab/>
      <w:tab/>
      <w:tab/>
      <w:tab/>
      <w:tab/>
      <w:tab/>
      <w:tab/>
      <w:tab/>
      <w:tab/>
      <w:tab/>
      <w:t xml:space="preserve">   October 17,2000</w:t>
    </w:r>
  </w:p>
  <w:p>
    <w:pPr>
      <w:pStyle w:val="Header"/>
      <w:pBdr>
        <w:bottom w:val="single" w:sz="18" w:space="1" w:color="000000"/>
      </w:pBdr>
      <w:tabs>
        <w:tab w:val="clear" w:pos="4320"/>
        <w:tab w:val="clear" w:pos="8640"/>
        <w:tab w:val="left" w:pos="432" w:leader="none"/>
      </w:tabs>
      <w:rPr>
        <w:rFonts w:ascii="Arial Black" w:hAnsi="Arial Black" w:cs="Arial Black"/>
        <w:sz w:val="24"/>
      </w:rPr>
    </w:pPr>
    <w:r>
      <w:rPr>
        <w:rFonts w:cs="Arial Black" w:ascii="Arial Black" w:hAnsi="Arial Black"/>
        <w:sz w:val="24"/>
      </w:rPr>
      <w:t>Enron Industrial Markets</w:t>
      <w:tab/>
      <w:tab/>
      <w:tab/>
      <w:tab/>
      <w:tab/>
      <w:tab/>
      <w:tab/>
      <w:tab/>
      <w:tab/>
      <w:tab/>
      <w:t>Confidential- for Internal Distribution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75"/>
  <w:defaultTabStop w:val="432"/>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jc w:val="center"/>
      <w:outlineLvl w:val="1"/>
    </w:pPr>
    <w:rPr>
      <w:rFonts w:ascii="Arial" w:hAnsi="Arial" w:cs="Arial"/>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2000-10-17T15:44:00Z</dcterms:created>
  <dc:creator>abieser</dc:creator>
  <dc:description/>
  <dc:language>en-CA</dc:language>
  <cp:lastModifiedBy>abieser</cp:lastModifiedBy>
  <cp:lastPrinted>2000-10-17T17:24:00Z</cp:lastPrinted>
  <dcterms:modified xsi:type="dcterms:W3CDTF">2000-10-17T20:15:00Z</dcterms:modified>
  <cp:revision>23</cp:revision>
  <dc:subject/>
  <dc:title>Deal Overview and Status</dc:title>
</cp:coreProperties>
</file>