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r>
    </w:p>
    <w:p>
      <w:pPr>
        <w:pStyle w:val="Normal"/>
        <w:rPr>
          <w:b/>
          <w:u w:val="single"/>
        </w:rPr>
      </w:pPr>
      <w:r>
        <w:rPr>
          <w:b/>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32"/>
        </w:rPr>
      </w:pPr>
      <w:r>
        <w:rPr>
          <w:b/>
          <w:sz w:val="32"/>
        </w:rPr>
        <w:t>AGREEMENT IN PRINCIPLE</w:t>
      </w:r>
    </w:p>
    <w:p>
      <w:pPr>
        <w:pStyle w:val="Normal"/>
        <w:jc w:val="center"/>
        <w:rPr>
          <w:b/>
          <w:sz w:val="32"/>
        </w:rPr>
      </w:pPr>
      <w:r>
        <w:rPr>
          <w:b/>
          <w:sz w:val="32"/>
        </w:rPr>
      </w:r>
    </w:p>
    <w:p>
      <w:pPr>
        <w:pStyle w:val="Normal"/>
        <w:jc w:val="center"/>
        <w:rPr>
          <w:b/>
          <w:sz w:val="32"/>
        </w:rPr>
      </w:pPr>
      <w:r>
        <w:rPr>
          <w:b/>
          <w:sz w:val="32"/>
        </w:rPr>
        <w:t>FOR</w:t>
      </w:r>
    </w:p>
    <w:p>
      <w:pPr>
        <w:pStyle w:val="Normal"/>
        <w:jc w:val="center"/>
        <w:rPr>
          <w:b/>
          <w:sz w:val="32"/>
        </w:rPr>
      </w:pPr>
      <w:r>
        <w:rPr>
          <w:b/>
          <w:sz w:val="32"/>
        </w:rPr>
      </w:r>
    </w:p>
    <w:p>
      <w:pPr>
        <w:pStyle w:val="Normal"/>
        <w:jc w:val="center"/>
        <w:rPr>
          <w:b/>
          <w:sz w:val="32"/>
        </w:rPr>
      </w:pPr>
      <w:r>
        <w:rPr>
          <w:b/>
          <w:sz w:val="32"/>
        </w:rPr>
        <w:t>TURBINE PURCHASE AGREEMENT</w:t>
      </w:r>
    </w:p>
    <w:p>
      <w:pPr>
        <w:pStyle w:val="Normal"/>
        <w:jc w:val="center"/>
        <w:rPr>
          <w:b/>
          <w:sz w:val="32"/>
        </w:rPr>
      </w:pPr>
      <w:r>
        <w:rPr>
          <w:b/>
          <w:sz w:val="32"/>
        </w:rPr>
      </w:r>
    </w:p>
    <w:p>
      <w:pPr>
        <w:pStyle w:val="Normal"/>
        <w:jc w:val="center"/>
        <w:rPr>
          <w:b/>
          <w:sz w:val="32"/>
        </w:rPr>
      </w:pPr>
      <w:r>
        <w:rPr>
          <w:b/>
          <w:sz w:val="32"/>
        </w:rPr>
        <w:t>BETWEEN</w:t>
      </w:r>
    </w:p>
    <w:p>
      <w:pPr>
        <w:pStyle w:val="Normal"/>
        <w:jc w:val="center"/>
        <w:rPr>
          <w:b/>
          <w:sz w:val="32"/>
        </w:rPr>
      </w:pPr>
      <w:r>
        <w:rPr>
          <w:b/>
          <w:sz w:val="32"/>
        </w:rPr>
      </w:r>
    </w:p>
    <w:p>
      <w:pPr>
        <w:pStyle w:val="Normal"/>
        <w:jc w:val="center"/>
        <w:rPr>
          <w:b/>
          <w:sz w:val="32"/>
        </w:rPr>
      </w:pPr>
      <w:r>
        <w:rPr>
          <w:b/>
          <w:sz w:val="32"/>
        </w:rPr>
        <w:t xml:space="preserve">GENERAL ELECTRIC </w:t>
      </w:r>
    </w:p>
    <w:p>
      <w:pPr>
        <w:pStyle w:val="Normal"/>
        <w:jc w:val="center"/>
        <w:rPr>
          <w:b/>
          <w:sz w:val="32"/>
        </w:rPr>
      </w:pPr>
      <w:r>
        <w:rPr>
          <w:b/>
          <w:sz w:val="32"/>
        </w:rPr>
      </w:r>
    </w:p>
    <w:p>
      <w:pPr>
        <w:pStyle w:val="Normal"/>
        <w:jc w:val="center"/>
        <w:rPr>
          <w:b/>
          <w:sz w:val="32"/>
        </w:rPr>
      </w:pPr>
      <w:r>
        <w:rPr>
          <w:b/>
          <w:sz w:val="32"/>
        </w:rPr>
        <w:t>AND</w:t>
      </w:r>
    </w:p>
    <w:p>
      <w:pPr>
        <w:pStyle w:val="Normal"/>
        <w:jc w:val="center"/>
        <w:rPr>
          <w:b/>
          <w:sz w:val="32"/>
        </w:rPr>
      </w:pPr>
      <w:r>
        <w:rPr>
          <w:b/>
          <w:sz w:val="32"/>
        </w:rPr>
      </w:r>
    </w:p>
    <w:p>
      <w:pPr>
        <w:pStyle w:val="Normal"/>
        <w:jc w:val="center"/>
        <w:rPr>
          <w:b/>
          <w:sz w:val="32"/>
        </w:rPr>
      </w:pPr>
      <w:r>
        <w:rPr>
          <w:b/>
          <w:sz w:val="32"/>
        </w:rPr>
        <w:t xml:space="preserve">E-NEXT GENERATION LLC </w:t>
      </w:r>
    </w:p>
    <w:p>
      <w:pPr>
        <w:pStyle w:val="Normal"/>
        <w:jc w:val="center"/>
        <w:rPr>
          <w:b/>
          <w:sz w:val="32"/>
        </w:rPr>
      </w:pPr>
      <w:r>
        <w:rPr>
          <w:b/>
          <w:sz w:val="32"/>
        </w:rPr>
      </w:r>
    </w:p>
    <w:p>
      <w:pPr>
        <w:pStyle w:val="Normal"/>
        <w:jc w:val="center"/>
        <w:rPr>
          <w:b/>
          <w:sz w:val="32"/>
        </w:rPr>
      </w:pPr>
      <w:r>
        <w:rPr>
          <w:b/>
          <w:sz w:val="32"/>
        </w:rPr>
        <w:t xml:space="preserve">Acting through its Agent </w:t>
      </w:r>
    </w:p>
    <w:p>
      <w:pPr>
        <w:pStyle w:val="Normal"/>
        <w:jc w:val="center"/>
        <w:rPr>
          <w:b/>
          <w:sz w:val="32"/>
        </w:rPr>
      </w:pPr>
      <w:r>
        <w:rPr>
          <w:b/>
          <w:sz w:val="32"/>
        </w:rPr>
      </w:r>
    </w:p>
    <w:p>
      <w:pPr>
        <w:pStyle w:val="Normal"/>
        <w:jc w:val="center"/>
        <w:rPr>
          <w:b/>
          <w:sz w:val="32"/>
        </w:rPr>
      </w:pPr>
      <w:r>
        <w:rPr>
          <w:b/>
          <w:sz w:val="32"/>
        </w:rPr>
        <w:t>ENRON NORTH AMERICA CORP.</w:t>
      </w:r>
    </w:p>
    <w:p>
      <w:pPr>
        <w:pStyle w:val="Normal"/>
        <w:jc w:val="center"/>
        <w:rPr>
          <w:b/>
          <w:sz w:val="32"/>
        </w:rPr>
      </w:pPr>
      <w:r>
        <w:rPr>
          <w:b/>
          <w:sz w:val="32"/>
        </w:rPr>
      </w:r>
    </w:p>
    <w:p>
      <w:pPr>
        <w:pStyle w:val="Normal"/>
        <w:jc w:val="center"/>
        <w:rPr>
          <w:b/>
          <w:sz w:val="32"/>
        </w:rPr>
      </w:pPr>
      <w:r>
        <w:rPr>
          <w:b/>
          <w:sz w:val="32"/>
        </w:rPr>
        <w:t>FOR</w:t>
      </w:r>
    </w:p>
    <w:p>
      <w:pPr>
        <w:pStyle w:val="Normal"/>
        <w:jc w:val="center"/>
        <w:rPr>
          <w:b/>
          <w:sz w:val="32"/>
        </w:rPr>
      </w:pPr>
      <w:r>
        <w:rPr>
          <w:b/>
          <w:sz w:val="32"/>
        </w:rPr>
        <w:t xml:space="preserve"> </w:t>
      </w:r>
    </w:p>
    <w:p>
      <w:pPr>
        <w:pStyle w:val="Normal"/>
        <w:jc w:val="center"/>
        <w:rPr>
          <w:b/>
          <w:sz w:val="32"/>
        </w:rPr>
      </w:pPr>
      <w:r>
        <w:rPr>
          <w:b/>
          <w:sz w:val="32"/>
        </w:rPr>
        <w:t>ONE - 7FA GAS TURBINE GENERATOR</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t>FEBRUARY 20, 2001</w:t>
      </w:r>
      <w:r>
        <w:br w:type="page"/>
      </w:r>
    </w:p>
    <w:p>
      <w:pPr>
        <w:pStyle w:val="Normal"/>
        <w:jc w:val="center"/>
        <w:rPr/>
      </w:pPr>
      <w:r>
        <w:rPr/>
        <w:t>TABLE OF CONTENTS</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24" w:space="0" w:color="000000"/>
            </w:tcBorders>
          </w:tcPr>
          <w:p>
            <w:pPr>
              <w:pStyle w:val="Normal"/>
              <w:snapToGrid w:val="false"/>
              <w:spacing w:lineRule="auto" w:line="240"/>
              <w:rPr/>
            </w:pPr>
            <w:r>
              <w:rPr/>
            </w:r>
          </w:p>
        </w:tc>
      </w:tr>
    </w:tbl>
    <w:p>
      <w:pPr>
        <w:pStyle w:val="Normal"/>
        <w:tabs>
          <w:tab w:val="clear" w:pos="720"/>
          <w:tab w:val="right" w:pos="9360" w:leader="none"/>
        </w:tabs>
        <w:spacing w:lineRule="auto" w:line="240"/>
        <w:rPr>
          <w:b/>
        </w:rPr>
      </w:pPr>
      <w:r>
        <w:rPr>
          <w:b/>
        </w:rPr>
        <w:t>ARTICLE</w:t>
        <w:tab/>
        <w:t>PAGE</w:t>
      </w:r>
    </w:p>
    <w:p>
      <w:pPr>
        <w:pStyle w:val="Normal"/>
        <w:spacing w:lineRule="auto" w:line="240"/>
        <w:rPr/>
      </w:pPr>
      <w:r>
        <w:rPr/>
      </w:r>
    </w:p>
    <w:sdt>
      <w:sdtPr>
        <w:docPartObj>
          <w:docPartGallery w:val="Table of Contents"/>
          <w:docPartUnique w:val="true"/>
        </w:docPartObj>
      </w:sdtPr>
      <w:sdtContent>
        <w:p>
          <w:pPr>
            <w:pStyle w:val="TOC1"/>
            <w:tabs>
              <w:tab w:val="left" w:pos="440" w:leader="none"/>
              <w:tab w:val="right" w:pos="9360" w:leader="dot"/>
            </w:tabs>
            <w:rPr>
              <w:lang w:val="en-CA" w:eastAsia="en-CA"/>
            </w:rPr>
          </w:pPr>
          <w:r>
            <w:fldChar w:fldCharType="begin"/>
          </w:r>
          <w:r>
            <w:rPr>
              <w:lang w:val="en-CA" w:eastAsia="en-CA"/>
            </w:rPr>
            <w:instrText xml:space="preserve"> TOC \o "1-3" </w:instrText>
          </w:r>
          <w:r>
            <w:rPr>
              <w:lang w:val="en-CA" w:eastAsia="en-CA"/>
            </w:rPr>
            <w:fldChar w:fldCharType="separate"/>
          </w:r>
          <w:r>
            <w:rPr>
              <w:lang w:val="en-CA" w:eastAsia="en-CA"/>
            </w:rPr>
            <w:t>1.</w:t>
            <w:tab/>
            <w:t>General Terms of Sale.</w:t>
            <w:tab/>
          </w:r>
          <w:hyperlink w:anchor="__RefHeading___Toc505424618">
            <w:r>
              <w:rPr>
                <w:rStyle w:val="IndexLink"/>
                <w:lang w:val="en-CA" w:eastAsia="en-CA"/>
              </w:rPr>
              <w:t>3</w:t>
            </w:r>
          </w:hyperlink>
        </w:p>
        <w:p>
          <w:pPr>
            <w:pStyle w:val="TOC1"/>
            <w:tabs>
              <w:tab w:val="left" w:pos="440" w:leader="none"/>
              <w:tab w:val="right" w:pos="9360" w:leader="dot"/>
            </w:tabs>
            <w:rPr>
              <w:lang w:val="en-CA" w:eastAsia="en-CA"/>
            </w:rPr>
          </w:pPr>
          <w:r>
            <w:rPr>
              <w:lang w:val="en-CA" w:eastAsia="en-CA"/>
            </w:rPr>
            <w:t>2.</w:t>
            <w:tab/>
            <w:t>Price and Payment Schedule.</w:t>
            <w:tab/>
          </w:r>
          <w:hyperlink w:anchor="__RefHeading___Toc505424619">
            <w:r>
              <w:rPr>
                <w:rStyle w:val="IndexLink"/>
                <w:lang w:val="en-CA" w:eastAsia="en-CA"/>
              </w:rPr>
              <w:t>4</w:t>
            </w:r>
          </w:hyperlink>
        </w:p>
        <w:p>
          <w:pPr>
            <w:pStyle w:val="TOC1"/>
            <w:tabs>
              <w:tab w:val="left" w:pos="440" w:leader="none"/>
              <w:tab w:val="right" w:pos="9360" w:leader="dot"/>
            </w:tabs>
            <w:rPr>
              <w:lang w:val="en-CA" w:eastAsia="en-CA"/>
            </w:rPr>
          </w:pPr>
          <w:r>
            <w:rPr>
              <w:lang w:val="en-CA" w:eastAsia="en-CA"/>
            </w:rPr>
            <w:t>3.</w:t>
            <w:tab/>
            <w:t>Delivery and Readiness to Ship (RTS).</w:t>
            <w:tab/>
          </w:r>
          <w:hyperlink w:anchor="__RefHeading___Toc505424620">
            <w:r>
              <w:rPr>
                <w:rStyle w:val="IndexLink"/>
                <w:lang w:val="en-CA" w:eastAsia="en-CA"/>
              </w:rPr>
              <w:t>4</w:t>
            </w:r>
          </w:hyperlink>
        </w:p>
        <w:p>
          <w:pPr>
            <w:pStyle w:val="TOC1"/>
            <w:tabs>
              <w:tab w:val="left" w:pos="440" w:leader="none"/>
              <w:tab w:val="right" w:pos="9360" w:leader="dot"/>
            </w:tabs>
            <w:rPr>
              <w:lang w:val="en-CA" w:eastAsia="en-CA"/>
            </w:rPr>
          </w:pPr>
          <w:r>
            <w:rPr>
              <w:lang w:val="en-CA" w:eastAsia="en-CA"/>
            </w:rPr>
            <w:t>4.</w:t>
            <w:tab/>
            <w:t>Obligation to Proceed.</w:t>
            <w:tab/>
          </w:r>
          <w:hyperlink w:anchor="__RefHeading___Toc505424621">
            <w:r>
              <w:rPr>
                <w:rStyle w:val="IndexLink"/>
                <w:lang w:val="en-CA" w:eastAsia="en-CA"/>
              </w:rPr>
              <w:t>5</w:t>
            </w:r>
          </w:hyperlink>
        </w:p>
        <w:p>
          <w:pPr>
            <w:pStyle w:val="TOC1"/>
            <w:tabs>
              <w:tab w:val="left" w:pos="440" w:leader="none"/>
              <w:tab w:val="right" w:pos="9360" w:leader="dot"/>
            </w:tabs>
            <w:rPr>
              <w:lang w:val="en-CA" w:eastAsia="en-CA"/>
            </w:rPr>
          </w:pPr>
          <w:r>
            <w:rPr>
              <w:lang w:val="en-CA" w:eastAsia="en-CA"/>
            </w:rPr>
            <w:t>5.</w:t>
            <w:tab/>
            <w:t>Termination.</w:t>
            <w:tab/>
          </w:r>
          <w:hyperlink w:anchor="__RefHeading___Toc505424622">
            <w:r>
              <w:rPr>
                <w:rStyle w:val="IndexLink"/>
                <w:lang w:val="en-CA" w:eastAsia="en-CA"/>
              </w:rPr>
              <w:t>5</w:t>
            </w:r>
          </w:hyperlink>
        </w:p>
        <w:p>
          <w:pPr>
            <w:pStyle w:val="TOC1"/>
            <w:tabs>
              <w:tab w:val="left" w:pos="440" w:leader="none"/>
              <w:tab w:val="right" w:pos="9360" w:leader="dot"/>
            </w:tabs>
            <w:rPr>
              <w:lang w:val="en-CA" w:eastAsia="en-CA"/>
            </w:rPr>
          </w:pPr>
          <w:r>
            <w:rPr>
              <w:lang w:val="en-CA" w:eastAsia="en-CA"/>
            </w:rPr>
            <w:t>6.</w:t>
            <w:tab/>
            <w:t>Waiver of Consequential Damages.</w:t>
            <w:tab/>
          </w:r>
          <w:hyperlink w:anchor="__RefHeading___Toc505424623">
            <w:r>
              <w:rPr>
                <w:rStyle w:val="IndexLink"/>
                <w:lang w:val="en-CA" w:eastAsia="en-CA"/>
              </w:rPr>
              <w:t>6</w:t>
            </w:r>
          </w:hyperlink>
        </w:p>
        <w:p>
          <w:pPr>
            <w:pStyle w:val="TOC1"/>
            <w:tabs>
              <w:tab w:val="left" w:pos="440" w:leader="none"/>
              <w:tab w:val="right" w:pos="9360" w:leader="dot"/>
            </w:tabs>
            <w:rPr>
              <w:lang w:val="en-CA" w:eastAsia="en-CA"/>
            </w:rPr>
          </w:pPr>
          <w:r>
            <w:rPr>
              <w:lang w:val="en-CA" w:eastAsia="en-CA"/>
            </w:rPr>
            <w:t>7.</w:t>
            <w:tab/>
            <w:t>Governing Law.</w:t>
            <w:tab/>
          </w:r>
          <w:hyperlink w:anchor="__RefHeading___Toc505424624">
            <w:r>
              <w:rPr>
                <w:rStyle w:val="IndexLink"/>
                <w:lang w:val="en-CA" w:eastAsia="en-CA"/>
              </w:rPr>
              <w:t>6</w:t>
            </w:r>
          </w:hyperlink>
        </w:p>
        <w:p>
          <w:pPr>
            <w:pStyle w:val="TOC1"/>
            <w:tabs>
              <w:tab w:val="left" w:pos="440" w:leader="none"/>
              <w:tab w:val="right" w:pos="9360" w:leader="dot"/>
            </w:tabs>
            <w:rPr>
              <w:lang w:val="en-CA" w:eastAsia="en-CA"/>
            </w:rPr>
          </w:pPr>
          <w:r>
            <w:rPr>
              <w:lang w:val="en-CA" w:eastAsia="en-CA"/>
            </w:rPr>
            <w:t>8.</w:t>
            <w:tab/>
            <w:t>Entire Agreement.</w:t>
            <w:tab/>
          </w:r>
          <w:hyperlink w:anchor="__RefHeading___Toc505424625">
            <w:r>
              <w:rPr>
                <w:rStyle w:val="IndexLink"/>
                <w:lang w:val="en-CA" w:eastAsia="en-CA"/>
              </w:rPr>
              <w:t>6</w:t>
            </w:r>
          </w:hyperlink>
        </w:p>
        <w:p>
          <w:pPr>
            <w:pStyle w:val="TOC2"/>
            <w:rPr>
              <w:lang w:val="en-CA" w:eastAsia="en-CA"/>
            </w:rPr>
          </w:pPr>
          <w:r>
            <w:rPr>
              <w:lang w:val="en-CA" w:eastAsia="en-CA"/>
            </w:rPr>
          </w:r>
          <w:r>
            <w:rPr>
              <w:lang w:val="en-CA" w:eastAsia="en-CA"/>
            </w:rPr>
            <w:fldChar w:fldCharType="end"/>
          </w:r>
        </w:p>
      </w:sdtContent>
    </w:sdt>
    <w:p>
      <w:pPr>
        <w:pStyle w:val="Normal"/>
        <w:spacing w:lineRule="auto" w:line="240"/>
        <w:rPr>
          <w:lang w:val="en-CA" w:eastAsia="en-CA"/>
        </w:rPr>
      </w:pPr>
      <w:r>
        <w:rPr>
          <w:lang w:val="en-CA" w:eastAsia="en-CA"/>
        </w:rPr>
      </w:r>
    </w:p>
    <w:p>
      <w:pPr>
        <w:pStyle w:val="Normal"/>
        <w:spacing w:lineRule="auto" w:line="240"/>
        <w:jc w:val="center"/>
        <w:rPr/>
      </w:pPr>
      <w:r>
        <w:rPr/>
        <w:t>Appendixes</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24" w:space="0" w:color="000000"/>
            </w:tcBorders>
          </w:tcPr>
          <w:p>
            <w:pPr>
              <w:pStyle w:val="Normal"/>
              <w:snapToGrid w:val="false"/>
              <w:spacing w:lineRule="auto" w:line="240"/>
              <w:rPr/>
            </w:pPr>
            <w:r>
              <w:rPr/>
            </w:r>
          </w:p>
        </w:tc>
      </w:tr>
    </w:tbl>
    <w:p>
      <w:pPr>
        <w:pStyle w:val="Normal"/>
        <w:spacing w:lineRule="auto" w:line="240"/>
        <w:rPr/>
      </w:pPr>
      <w:r>
        <w:rPr/>
      </w:r>
    </w:p>
    <w:p>
      <w:pPr>
        <w:pStyle w:val="Normal"/>
        <w:spacing w:lineRule="auto" w:line="240"/>
        <w:rPr>
          <w:b/>
        </w:rPr>
      </w:pPr>
      <w:r>
        <w:rPr>
          <w:b/>
        </w:rPr>
      </w:r>
    </w:p>
    <w:p>
      <w:pPr>
        <w:pStyle w:val="Normal"/>
        <w:rPr>
          <w:b/>
        </w:rPr>
      </w:pPr>
      <w:r>
        <w:rPr>
          <w:b/>
        </w:rPr>
        <w:t>Exhibit A:  Term Sheet</w:t>
      </w:r>
    </w:p>
    <w:p>
      <w:pPr>
        <w:pStyle w:val="Normal"/>
        <w:rPr>
          <w:b/>
        </w:rPr>
      </w:pPr>
      <w:r>
        <w:rPr>
          <w:b/>
        </w:rPr>
      </w:r>
    </w:p>
    <w:p>
      <w:pPr>
        <w:pStyle w:val="Normal"/>
        <w:rPr>
          <w:b/>
        </w:rPr>
      </w:pPr>
      <w:r>
        <w:rPr>
          <w:b/>
        </w:rPr>
        <w:t>Appendix A: Options (To be quoted during contract negotiations)</w:t>
      </w:r>
    </w:p>
    <w:p>
      <w:pPr>
        <w:pStyle w:val="Normal"/>
        <w:spacing w:lineRule="auto" w:line="240"/>
        <w:ind w:hanging="1080" w:start="1080" w:end="0"/>
        <w:rPr>
          <w:b/>
        </w:rPr>
      </w:pPr>
      <w:r>
        <w:rPr>
          <w:b/>
        </w:rPr>
      </w:r>
    </w:p>
    <w:p>
      <w:pPr>
        <w:pStyle w:val="Normal"/>
        <w:spacing w:lineRule="auto" w:line="240"/>
        <w:ind w:hanging="1080" w:start="1080" w:end="0"/>
        <w:rPr>
          <w:b/>
        </w:rPr>
      </w:pPr>
      <w:r>
        <w:rPr>
          <w:b/>
        </w:rPr>
        <w:t>Appendix B: GTG Scope of Supply</w:t>
      </w:r>
    </w:p>
    <w:p>
      <w:pPr>
        <w:pStyle w:val="Normal"/>
        <w:spacing w:lineRule="auto" w:line="240"/>
        <w:rPr/>
      </w:pPr>
      <w:r>
        <w:rPr/>
        <w:br/>
      </w:r>
      <w:r>
        <w:rPr>
          <w:b/>
        </w:rPr>
        <w:t>Appendix C: Payment and Termination Schedule</w:t>
      </w:r>
    </w:p>
    <w:p>
      <w:pPr>
        <w:pStyle w:val="Normal"/>
        <w:spacing w:lineRule="auto" w:line="240"/>
        <w:rPr>
          <w:b/>
        </w:rPr>
      </w:pPr>
      <w:r>
        <w:rPr>
          <w:b/>
        </w:rPr>
        <w:br/>
        <w:t>Appendix D: Shipment Schedule</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spacing w:lineRule="auto" w:line="240"/>
        <w:rPr>
          <w:b/>
        </w:rPr>
      </w:pPr>
      <w:r>
        <w:rPr>
          <w:b/>
        </w:rPr>
      </w:r>
    </w:p>
    <w:p>
      <w:pPr>
        <w:pStyle w:val="Normal"/>
        <w:jc w:val="center"/>
        <w:rPr>
          <w:b/>
        </w:rPr>
      </w:pPr>
      <w:r>
        <w:rPr>
          <w:b/>
        </w:rPr>
        <w:t>AGREEMENT IN PRINCIPLE</w:t>
      </w:r>
    </w:p>
    <w:p>
      <w:pPr>
        <w:pStyle w:val="Normal"/>
        <w:jc w:val="center"/>
        <w:rPr>
          <w:b/>
        </w:rPr>
      </w:pPr>
      <w:r>
        <w:rPr>
          <w:b/>
        </w:rPr>
        <w:t>FOR</w:t>
      </w:r>
    </w:p>
    <w:p>
      <w:pPr>
        <w:pStyle w:val="Normal"/>
        <w:jc w:val="center"/>
        <w:rPr>
          <w:b/>
        </w:rPr>
      </w:pPr>
      <w:r>
        <w:rPr>
          <w:b/>
        </w:rPr>
        <w:t>TURBINE PURCHASE AGREEMENT</w:t>
      </w:r>
    </w:p>
    <w:p>
      <w:pPr>
        <w:pStyle w:val="Normal"/>
        <w:rPr/>
      </w:pPr>
      <w:r>
        <w:rPr/>
      </w:r>
    </w:p>
    <w:p>
      <w:pPr>
        <w:pStyle w:val="Normal"/>
        <w:rPr/>
      </w:pPr>
      <w:r>
        <w:rPr/>
        <w:tab/>
        <w:t>This</w:t>
      </w:r>
      <w:r>
        <w:rPr>
          <w:b/>
          <w:bCs/>
        </w:rPr>
        <w:t xml:space="preserve"> AGREEMENT IN PRINCIPLE FOR </w:t>
      </w:r>
      <w:r>
        <w:rPr>
          <w:b/>
        </w:rPr>
        <w:t xml:space="preserve">TURBINE PURCHASE AGREEMENT </w:t>
      </w:r>
      <w:r>
        <w:rPr/>
        <w:t xml:space="preserve">(the “Agreement”) is entered into as of the ___ day of February, 2001, by and between </w:t>
      </w:r>
      <w:r>
        <w:rPr>
          <w:b/>
        </w:rPr>
        <w:t>GENERAL ELECTRIC Company</w:t>
      </w:r>
      <w:r>
        <w:rPr/>
        <w:t>, a New York corporation, having a principal place of business at 1 River Road, Schenectady, New York, U.S.A. (“Seller”), and E-Next Generation LLC ("Buyer"), acting through its agent, Enron North America Corp., a corporation incorporated under the laws of the state of Delaware, with offices located at 1400 Smith Street, P.O. Box 1188, Houston, TX 77251-1188 ("Agent")  (Seller and Buyer are referred to herein individually as a “Party” and collectively as the "Parties").</w:t>
      </w:r>
    </w:p>
    <w:p>
      <w:pPr>
        <w:pStyle w:val="Normal"/>
        <w:jc w:val="center"/>
        <w:rPr>
          <w:b/>
        </w:rPr>
      </w:pPr>
      <w:r>
        <w:rPr>
          <w:b/>
        </w:rPr>
      </w:r>
    </w:p>
    <w:p>
      <w:pPr>
        <w:pStyle w:val="Normal"/>
        <w:jc w:val="center"/>
        <w:rPr>
          <w:b/>
        </w:rPr>
      </w:pPr>
      <w:r>
        <w:rPr>
          <w:b/>
        </w:rPr>
        <w:t>RECITALS</w:t>
      </w:r>
    </w:p>
    <w:p>
      <w:pPr>
        <w:pStyle w:val="Normal"/>
        <w:rPr>
          <w:b/>
        </w:rPr>
      </w:pPr>
      <w:r>
        <w:rPr>
          <w:b/>
        </w:rPr>
      </w:r>
    </w:p>
    <w:p>
      <w:pPr>
        <w:pStyle w:val="Normal"/>
        <w:rPr/>
      </w:pPr>
      <w:r>
        <w:rPr>
          <w:b/>
        </w:rPr>
        <w:tab/>
        <w:t>WHEREAS</w:t>
      </w:r>
      <w:r>
        <w:rPr/>
        <w:t xml:space="preserve"> Seller is, among other things, in the business of selling gas turbine generators manufactured by its affiliated companies; and</w:t>
      </w:r>
    </w:p>
    <w:p>
      <w:pPr>
        <w:pStyle w:val="Normal"/>
        <w:tabs>
          <w:tab w:val="clear" w:pos="720"/>
          <w:tab w:val="left" w:pos="284" w:leader="none"/>
        </w:tabs>
        <w:rPr/>
      </w:pPr>
      <w:r>
        <w:rPr/>
      </w:r>
    </w:p>
    <w:p>
      <w:pPr>
        <w:pStyle w:val="Normal"/>
        <w:rPr/>
      </w:pPr>
      <w:r>
        <w:rPr/>
        <w:tab/>
      </w:r>
      <w:r>
        <w:rPr>
          <w:b/>
        </w:rPr>
        <w:t xml:space="preserve">WHEREAS </w:t>
      </w:r>
      <w:r>
        <w:rPr/>
        <w:t xml:space="preserve">Buyer requires (One) GE Model PG 7241 FA gas turbine generator for installation in the project located in Longview, Washington, (the “Project”); and </w:t>
      </w:r>
    </w:p>
    <w:p>
      <w:pPr>
        <w:pStyle w:val="Normal"/>
        <w:rPr/>
      </w:pPr>
      <w:r>
        <w:rPr/>
      </w:r>
    </w:p>
    <w:p>
      <w:pPr>
        <w:pStyle w:val="Normal"/>
        <w:ind w:firstLine="720" w:end="0"/>
        <w:rPr/>
      </w:pPr>
      <w:r>
        <w:rPr>
          <w:b/>
        </w:rPr>
        <w:t>WHEREAS</w:t>
      </w:r>
      <w:r>
        <w:rPr>
          <w:rFonts w:cs="Courier New" w:ascii="Courier New" w:hAnsi="Courier New"/>
        </w:rPr>
        <w:t xml:space="preserve"> </w:t>
      </w:r>
      <w:r>
        <w:rPr/>
        <w:t>Buyer has assigned and delegated certain of its rights, responsibilities and obligations under this Agreement to Agent and Agent has accepted same assignment and delegations</w:t>
      </w:r>
    </w:p>
    <w:p>
      <w:pPr>
        <w:pStyle w:val="Normal"/>
        <w:rPr/>
      </w:pPr>
      <w:r>
        <w:rPr/>
        <w:t>as set forth in this Agreement; and</w:t>
      </w:r>
    </w:p>
    <w:p>
      <w:pPr>
        <w:pStyle w:val="Normal"/>
        <w:rPr/>
      </w:pPr>
      <w:r>
        <w:rPr/>
      </w:r>
    </w:p>
    <w:p>
      <w:pPr>
        <w:pStyle w:val="Normal"/>
        <w:rPr/>
      </w:pPr>
      <w:r>
        <w:rPr/>
        <w:tab/>
      </w:r>
      <w:r>
        <w:rPr>
          <w:b/>
        </w:rPr>
        <w:t xml:space="preserve">WHEREAS </w:t>
      </w:r>
      <w:r>
        <w:rPr/>
        <w:t>Seller has available to ship (One) GE Model PG 7241 FA gas turbine generator, associated auxiliary equipment, and Services all as more fully described in Appendix B (the “Equipment”) by the dates specified in Appendix D; and</w:t>
      </w:r>
    </w:p>
    <w:p>
      <w:pPr>
        <w:pStyle w:val="Normal"/>
        <w:rPr/>
      </w:pPr>
      <w:r>
        <w:rPr/>
      </w:r>
    </w:p>
    <w:p>
      <w:pPr>
        <w:pStyle w:val="Normal"/>
        <w:rPr/>
      </w:pPr>
      <w:r>
        <w:rPr/>
        <w:tab/>
      </w:r>
      <w:r>
        <w:rPr>
          <w:b/>
        </w:rPr>
        <w:t xml:space="preserve">WHEREAS </w:t>
      </w:r>
      <w:r>
        <w:rPr/>
        <w:t>Buyer desires to purchase and Seller desires to sell the Equipment for installation in the Project, subject to the terms of this Turbine Purchase Agreement;</w:t>
      </w:r>
    </w:p>
    <w:p>
      <w:pPr>
        <w:pStyle w:val="Normal"/>
        <w:tabs>
          <w:tab w:val="clear" w:pos="720"/>
          <w:tab w:val="left" w:pos="284" w:leader="none"/>
        </w:tabs>
        <w:rPr/>
      </w:pPr>
      <w:r>
        <w:rPr/>
      </w:r>
    </w:p>
    <w:p>
      <w:pPr>
        <w:pStyle w:val="Normal"/>
        <w:rPr/>
      </w:pPr>
      <w:r>
        <w:rPr/>
        <w:tab/>
      </w:r>
      <w:r>
        <w:rPr>
          <w:b/>
        </w:rPr>
        <w:t>NOW, THEREFORE,</w:t>
      </w:r>
      <w:r>
        <w:rPr/>
        <w:t xml:space="preserve"> in consideration of the promises and mutual covenants set forth herein the Parties agree as follows:</w:t>
      </w:r>
    </w:p>
    <w:p>
      <w:pPr>
        <w:pStyle w:val="Heading1"/>
        <w:ind w:hanging="0" w:start="0"/>
        <w:rPr/>
      </w:pPr>
      <w:bookmarkStart w:id="0" w:name="__RefHeading___Toc505424618"/>
      <w:bookmarkStart w:id="1" w:name="_Ref362852047"/>
      <w:bookmarkEnd w:id="0"/>
      <w:r>
        <w:rPr/>
        <w:t>General Terms of Sale.</w:t>
      </w:r>
      <w:bookmarkEnd w:id="1"/>
    </w:p>
    <w:p>
      <w:pPr>
        <w:pStyle w:val="Normal"/>
        <w:ind w:hanging="720" w:start="720" w:end="0"/>
        <w:rPr/>
      </w:pPr>
      <w:bookmarkStart w:id="2" w:name="_Ref362852122"/>
      <w:bookmarkStart w:id="3" w:name="_Ref362852107"/>
      <w:bookmarkStart w:id="4" w:name="_Ref362852099"/>
      <w:r>
        <w:rPr>
          <w:b/>
        </w:rPr>
        <w:t>(a)</w:t>
      </w:r>
      <w:r>
        <w:rPr/>
        <w:t xml:space="preserve"> </w:t>
        <w:tab/>
        <w:t xml:space="preserve">Buyer agrees to buy and Seller agrees to sell the Equipment described in Exhibit A, </w:t>
      </w:r>
      <w:r>
        <w:rPr>
          <w:i/>
        </w:rPr>
        <w:t>provided</w:t>
      </w:r>
      <w:r>
        <w:rPr/>
        <w:t xml:space="preserve"> that a definitive Contract of Sale for the Equipment shall have been executed by both Parties no later than March 15, 2001 unless extended by mutual agreement.  Seller also agrees to quote Buyer one or more of the options set out in Appendix A, as requested by Buyer.</w:t>
      </w:r>
    </w:p>
    <w:p>
      <w:pPr>
        <w:pStyle w:val="Normal"/>
        <w:ind w:hanging="720" w:start="720" w:end="0"/>
        <w:rPr/>
      </w:pPr>
      <w:r>
        <w:rPr/>
      </w:r>
    </w:p>
    <w:p>
      <w:pPr>
        <w:pStyle w:val="Normal"/>
        <w:ind w:hanging="720" w:start="720" w:end="0"/>
        <w:rPr/>
      </w:pPr>
      <w:r>
        <w:rPr>
          <w:b/>
        </w:rPr>
        <w:t>(b)</w:t>
        <w:tab/>
      </w:r>
      <w:r>
        <w:rPr/>
        <w:t>Buyer agrees to buy and Seller agrees to provide (or procure that its affiliates provide) technical advisory and training services in connection with the installation of the Equipment (the “Services”).</w:t>
      </w:r>
    </w:p>
    <w:p>
      <w:pPr>
        <w:pStyle w:val="Normal"/>
        <w:ind w:hanging="720" w:start="720" w:end="0"/>
        <w:rPr/>
      </w:pPr>
      <w:r>
        <w:rPr/>
      </w:r>
    </w:p>
    <w:p>
      <w:pPr>
        <w:pStyle w:val="List1"/>
        <w:tabs>
          <w:tab w:val="clear" w:pos="2952"/>
          <w:tab w:val="center" w:pos="4680" w:leader="none"/>
        </w:tabs>
        <w:rPr>
          <w:rFonts w:ascii="Times New Roman" w:hAnsi="Times New Roman" w:cs="Times New Roman"/>
        </w:rPr>
      </w:pPr>
      <w:r>
        <w:rPr>
          <w:rFonts w:cs="Times New Roman" w:ascii="Times New Roman" w:hAnsi="Times New Roman"/>
        </w:rPr>
        <w:t>The Parties agree to negotiate reasonably and in good faith, beginning promptly after the execution of this Agreement and continuing until the termination of this Agreement, to finalize and execute the terms and conditions of the Contract of Sale within the time frame set forth in paragraph (a) above. The Contract of Sale shall be substantially based upon the term sheet attached hereto as Exhibit A (“Term Sheet’) and the master form turbine contract that Agent and GE have been negotiating, including assignment, indemnity and limitation of liability provisions, and the concepts covered in the Assignment and Assumption Agreement dated December 15, 2000, for the Pastoria Two Train, Pastoria Single Train and Blue Dog Projects, including the override letter agreements and related provisions.</w:t>
      </w:r>
    </w:p>
    <w:p>
      <w:pPr>
        <w:pStyle w:val="Normal"/>
        <w:rPr>
          <w:rFonts w:ascii="Times New Roman" w:hAnsi="Times New Roman" w:cs="Times New Roman"/>
        </w:rPr>
      </w:pPr>
      <w:r>
        <w:rPr>
          <w:rFonts w:cs="Times New Roman"/>
        </w:rPr>
      </w:r>
    </w:p>
    <w:p>
      <w:pPr>
        <w:pStyle w:val="Normal"/>
        <w:numPr>
          <w:ilvl w:val="0"/>
          <w:numId w:val="12"/>
        </w:numPr>
        <w:rPr/>
      </w:pPr>
      <w:r>
        <w:rPr/>
        <w:t>The Parties (with Agent acting on behalf of the Buyer) agree to exclusively negotiate reasonably and in good faith for a period of up to six months, beginning promptly after the execution of this Agreement to finalize and execute a Long Term Service Agreement (LTSA) for the equipment.</w:t>
      </w:r>
    </w:p>
    <w:p>
      <w:pPr>
        <w:pStyle w:val="Normal"/>
        <w:rPr/>
      </w:pPr>
      <w:r>
        <w:rPr/>
      </w:r>
    </w:p>
    <w:p>
      <w:pPr>
        <w:pStyle w:val="Normal"/>
        <w:numPr>
          <w:ilvl w:val="0"/>
          <w:numId w:val="12"/>
        </w:numPr>
        <w:rPr/>
      </w:pPr>
      <w:r>
        <w:rPr/>
        <w:t>The Parties (with Agent acting on behalf of the Buyer) agree to exclusively negotiate reasonably and in good faith for a period of up to six months, beginning promptly after the execution of this Agreement to finalize and execute a contract for GE Glegg to supply a water treatment system for the equipment where applicable.</w:t>
      </w:r>
    </w:p>
    <w:p>
      <w:pPr>
        <w:pStyle w:val="Normal"/>
        <w:rPr/>
      </w:pPr>
      <w:r>
        <w:rPr/>
      </w:r>
    </w:p>
    <w:p>
      <w:pPr>
        <w:pStyle w:val="Normal"/>
        <w:numPr>
          <w:ilvl w:val="0"/>
          <w:numId w:val="12"/>
        </w:numPr>
        <w:rPr/>
      </w:pPr>
      <w:r>
        <w:rPr/>
        <w:t>The Parties (with Agent acting on behalf of the Buyer) agree to negotiate reasonably and in good faith, beginning promptly after the execution of this Agreement to finalize and execute a contract for the supply of steam turbines and generators based on Seller’s ability to provide shipments in accordance with the Buyers schedule.</w:t>
      </w:r>
    </w:p>
    <w:p>
      <w:pPr>
        <w:pStyle w:val="Normal"/>
        <w:rPr/>
      </w:pPr>
      <w:r>
        <w:rPr/>
      </w:r>
    </w:p>
    <w:p>
      <w:pPr>
        <w:pStyle w:val="Normal"/>
        <w:numPr>
          <w:ilvl w:val="0"/>
          <w:numId w:val="12"/>
        </w:numPr>
        <w:rPr/>
      </w:pPr>
      <w:r>
        <w:rPr/>
        <w:t>The Agent will cooperate with Seller to assist Seller in obtaining the Vitro 7FH2 Generator which will be replaced by the end of the second quarter of 2001 with a new 7FH2 Generator.</w:t>
      </w:r>
    </w:p>
    <w:p>
      <w:pPr>
        <w:pStyle w:val="Normal"/>
        <w:rPr/>
      </w:pPr>
      <w:r>
        <w:rPr/>
      </w:r>
    </w:p>
    <w:p>
      <w:pPr>
        <w:pStyle w:val="Normal"/>
        <w:numPr>
          <w:ilvl w:val="0"/>
          <w:numId w:val="12"/>
        </w:numPr>
        <w:rPr/>
      </w:pPr>
      <w:r>
        <w:rPr>
          <w:spacing w:val="-2"/>
        </w:rPr>
        <w:t xml:space="preserve">E-Next Generation LLC has appointed </w:t>
      </w:r>
      <w:r>
        <w:rPr/>
        <w:t>Enron North America Corporation</w:t>
      </w:r>
      <w:r>
        <w:rPr>
          <w:spacing w:val="-2"/>
        </w:rPr>
        <w:t xml:space="preserve"> as its Agent and delegated to </w:t>
      </w:r>
      <w:r>
        <w:rPr/>
        <w:t>Enron North America Corporation</w:t>
      </w:r>
      <w:r>
        <w:rPr>
          <w:spacing w:val="-2"/>
        </w:rPr>
        <w:t xml:space="preserve"> all of the rights and obligations of E-Next Generation LLC as Buyer under this Agreement, other than the obligation to pay the purchase price set forth therein and any indemnification obligations set forth therein.</w:t>
      </w:r>
    </w:p>
    <w:p>
      <w:pPr>
        <w:pStyle w:val="Normal"/>
        <w:rPr/>
      </w:pPr>
      <w:r>
        <w:rPr/>
      </w:r>
    </w:p>
    <w:p>
      <w:pPr>
        <w:pStyle w:val="Heading1"/>
        <w:ind w:hanging="0" w:start="0"/>
        <w:rPr/>
      </w:pPr>
      <w:bookmarkStart w:id="5" w:name="_Ref362852122"/>
      <w:bookmarkStart w:id="6" w:name="_Ref362852107"/>
      <w:bookmarkStart w:id="7" w:name="_Ref362852099"/>
      <w:bookmarkStart w:id="8" w:name="__RefHeading___Toc505424619"/>
      <w:bookmarkEnd w:id="8"/>
      <w:r>
        <w:rPr/>
        <w:t>Price and Payment Schedule.</w:t>
      </w:r>
      <w:bookmarkEnd w:id="5"/>
      <w:bookmarkEnd w:id="6"/>
      <w:bookmarkEnd w:id="7"/>
    </w:p>
    <w:p>
      <w:pPr>
        <w:pStyle w:val="Normal"/>
        <w:numPr>
          <w:ilvl w:val="0"/>
          <w:numId w:val="13"/>
        </w:numPr>
        <w:ind w:hanging="720" w:start="720" w:end="0"/>
        <w:rPr/>
      </w:pPr>
      <w:r>
        <w:rPr/>
        <w:t xml:space="preserve">As consideration for the Equipment and Services, Buyer agrees to pay to Seller </w:t>
      </w:r>
      <w:r>
        <w:rPr>
          <w:b/>
        </w:rPr>
        <w:t>Thirty Nine Million two hundred thousand</w:t>
      </w:r>
      <w:r>
        <w:rPr/>
        <w:t xml:space="preserve"> [United States dollars] </w:t>
      </w:r>
      <w:r>
        <w:rPr>
          <w:b/>
        </w:rPr>
        <w:t xml:space="preserve">($39,200,000.00) </w:t>
      </w:r>
      <w:r>
        <w:rPr/>
        <w:t>or such amount as may be subsequently established through scope modifications or in the Contract of Sale (the “Contract Price”).</w:t>
      </w:r>
    </w:p>
    <w:p>
      <w:pPr>
        <w:pStyle w:val="Normal"/>
        <w:rPr/>
      </w:pPr>
      <w:r>
        <w:rPr/>
      </w:r>
    </w:p>
    <w:p>
      <w:pPr>
        <w:pStyle w:val="Normal"/>
        <w:numPr>
          <w:ilvl w:val="0"/>
          <w:numId w:val="13"/>
        </w:numPr>
        <w:ind w:hanging="720" w:start="720" w:end="0"/>
        <w:rPr>
          <w:b/>
        </w:rPr>
      </w:pPr>
      <w:r>
        <w:rPr/>
        <w:t xml:space="preserve">Within three business days following signature of this Agreement, Buyer shall pay to Seller by wire transfer a non-refundable sum equal to five percent of the Contract Price (collectively the “Order Commitment Payment”).  An additional non-refundable sum equal to five percent of the Contract Price will be due February 28, 2001.  The remainder of the Contract Price shall be paid as set forth in Appendix C, </w:t>
      </w:r>
    </w:p>
    <w:p>
      <w:pPr>
        <w:pStyle w:val="Normal"/>
        <w:rPr>
          <w:b/>
        </w:rPr>
      </w:pPr>
      <w:r>
        <w:rPr>
          <w:b/>
        </w:rPr>
      </w:r>
    </w:p>
    <w:p>
      <w:pPr>
        <w:pStyle w:val="Normal"/>
        <w:rPr>
          <w:b/>
        </w:rPr>
      </w:pPr>
      <w:r>
        <w:rPr>
          <w:b/>
        </w:rPr>
      </w:r>
    </w:p>
    <w:p>
      <w:pPr>
        <w:pStyle w:val="Normal"/>
        <w:numPr>
          <w:ilvl w:val="0"/>
          <w:numId w:val="13"/>
        </w:numPr>
        <w:ind w:hanging="720" w:start="720" w:end="0"/>
        <w:rPr>
          <w:b/>
        </w:rPr>
      </w:pPr>
      <w:r>
        <w:rPr/>
        <w:t>The Equipment Price includes domestic freight to the nearest accessible rail siding if shipment is by rail and to the site if shipment is by truck.</w:t>
      </w:r>
    </w:p>
    <w:p>
      <w:pPr>
        <w:pStyle w:val="Heading1"/>
        <w:ind w:hanging="0" w:start="0"/>
        <w:rPr/>
      </w:pPr>
      <w:bookmarkStart w:id="9" w:name="__RefHeading___Toc505424620"/>
      <w:bookmarkEnd w:id="9"/>
      <w:r>
        <w:rPr/>
        <w:t>Delivery and Readiness to Ship (RTS).</w:t>
      </w:r>
    </w:p>
    <w:p>
      <w:pPr>
        <w:pStyle w:val="Normal"/>
        <w:numPr>
          <w:ilvl w:val="0"/>
          <w:numId w:val="15"/>
        </w:numPr>
        <w:rPr/>
      </w:pPr>
      <w:r>
        <w:rPr/>
        <w:t xml:space="preserve">Seller guarantees the RTS Dates set forth in Appendix D, </w:t>
      </w:r>
      <w:r>
        <w:rPr>
          <w:i/>
        </w:rPr>
        <w:t>provided</w:t>
      </w:r>
      <w:r>
        <w:rPr/>
        <w:t xml:space="preserve">: </w:t>
        <w:br/>
      </w:r>
    </w:p>
    <w:p>
      <w:pPr>
        <w:pStyle w:val="TableofAuthorities"/>
        <w:numPr>
          <w:ilvl w:val="0"/>
          <w:numId w:val="16"/>
        </w:numPr>
        <w:tabs>
          <w:tab w:val="clear" w:pos="8640"/>
          <w:tab w:val="left" w:pos="1080" w:leader="none"/>
        </w:tabs>
        <w:spacing w:before="0" w:after="120"/>
        <w:ind w:hanging="360" w:start="1080" w:end="0"/>
        <w:rPr/>
      </w:pPr>
      <w:r>
        <w:rPr/>
        <w:t>This Agreement will be executed by February 20, 2001</w:t>
      </w:r>
    </w:p>
    <w:p>
      <w:pPr>
        <w:pStyle w:val="TableofAuthorities"/>
        <w:numPr>
          <w:ilvl w:val="0"/>
          <w:numId w:val="16"/>
        </w:numPr>
        <w:tabs>
          <w:tab w:val="clear" w:pos="8640"/>
          <w:tab w:val="left" w:pos="1080" w:leader="none"/>
        </w:tabs>
        <w:spacing w:before="0" w:after="120"/>
        <w:ind w:hanging="360" w:start="1080" w:end="0"/>
        <w:rPr/>
      </w:pPr>
      <w:r>
        <w:rPr/>
        <w:t>that the Order Commitment Payment is received by Seller within three (3) business days of the execution of this Agreement;</w:t>
      </w:r>
    </w:p>
    <w:p>
      <w:pPr>
        <w:pStyle w:val="TableofAuthorities"/>
        <w:numPr>
          <w:ilvl w:val="0"/>
          <w:numId w:val="16"/>
        </w:numPr>
        <w:tabs>
          <w:tab w:val="clear" w:pos="8640"/>
          <w:tab w:val="left" w:pos="1080" w:leader="none"/>
        </w:tabs>
        <w:spacing w:before="0" w:after="120"/>
        <w:ind w:hanging="360" w:start="1080" w:end="0"/>
        <w:rPr/>
      </w:pPr>
      <w:r>
        <w:rPr/>
        <w:t>that final scope definition wil be agreed to no later than March 15, 2001.</w:t>
      </w:r>
    </w:p>
    <w:p>
      <w:pPr>
        <w:pStyle w:val="TableofAuthorities"/>
        <w:numPr>
          <w:ilvl w:val="0"/>
          <w:numId w:val="16"/>
        </w:numPr>
        <w:tabs>
          <w:tab w:val="clear" w:pos="8640"/>
          <w:tab w:val="left" w:pos="1080" w:leader="none"/>
        </w:tabs>
        <w:spacing w:before="0" w:after="120"/>
        <w:ind w:hanging="360" w:start="1080" w:end="0"/>
        <w:rPr/>
      </w:pPr>
      <w:r>
        <w:rPr/>
        <w:t>that Contract of Sale with respect to such Unit is signed by both Parties no later than March 15, 2001.</w:t>
      </w:r>
    </w:p>
    <w:p>
      <w:pPr>
        <w:pStyle w:val="Normal"/>
        <w:ind w:start="720" w:end="0"/>
        <w:rPr/>
      </w:pPr>
      <w:r>
        <w:rPr/>
        <w:t>The time within which conditions (3) and (4) above must be accomplished, may be extended by written agreement of the Parties.</w:t>
        <w:br/>
      </w:r>
    </w:p>
    <w:p>
      <w:pPr>
        <w:pStyle w:val="Normal"/>
        <w:numPr>
          <w:ilvl w:val="0"/>
          <w:numId w:val="17"/>
        </w:numPr>
        <w:rPr>
          <w:b/>
        </w:rPr>
      </w:pPr>
      <w:r>
        <w:rPr/>
        <w:t>With respect to the turbine generator unit, the “RTS Date” set forth in Appendix D means the date upon which the major components of that unit are available for shipment from the Seller’s manufacturing facility.</w:t>
      </w:r>
    </w:p>
    <w:p>
      <w:pPr>
        <w:pStyle w:val="Normal"/>
        <w:rPr>
          <w:b/>
        </w:rPr>
      </w:pPr>
      <w:r>
        <w:rPr>
          <w:b/>
        </w:rPr>
      </w:r>
    </w:p>
    <w:p>
      <w:pPr>
        <w:pStyle w:val="Normal"/>
        <w:numPr>
          <w:ilvl w:val="0"/>
          <w:numId w:val="17"/>
        </w:numPr>
        <w:rPr>
          <w:b/>
        </w:rPr>
      </w:pPr>
      <w:r>
        <w:rPr/>
        <w:t xml:space="preserve">It is expressly understood that the Seller will have the right to utilize all resources within its global manufacturing and vendor network to supply the requirements of this Agreement and resulting Contract of Sale. </w:t>
      </w:r>
    </w:p>
    <w:p>
      <w:pPr>
        <w:pStyle w:val="Normal"/>
        <w:rPr>
          <w:b/>
        </w:rPr>
      </w:pPr>
      <w:r>
        <w:rPr>
          <w:b/>
        </w:rPr>
      </w:r>
    </w:p>
    <w:p>
      <w:pPr>
        <w:pStyle w:val="Normal"/>
        <w:ind w:hanging="720" w:start="720" w:end="0"/>
        <w:rPr>
          <w:b/>
        </w:rPr>
      </w:pPr>
      <w:r>
        <w:rPr>
          <w:b/>
        </w:rPr>
        <w:t>(d)</w:t>
      </w:r>
      <w:r>
        <w:rPr/>
        <w:tab/>
        <w:t>After the conditions set forth in section 3(a) above have been fulfilled, the Buyer shall have no right to suspend or delay manufacture or delivery of the Equipment under this Agreement or the subsequent Contract of Sale.</w:t>
      </w:r>
    </w:p>
    <w:p>
      <w:pPr>
        <w:pStyle w:val="Heading1"/>
        <w:ind w:hanging="0" w:start="0"/>
        <w:rPr/>
      </w:pPr>
      <w:bookmarkStart w:id="10" w:name="__RefHeading___Toc505424621"/>
      <w:bookmarkStart w:id="11" w:name="_Ref362852147"/>
      <w:bookmarkStart w:id="12" w:name="_Ref362852138"/>
      <w:bookmarkStart w:id="13" w:name="_Ref362852131"/>
      <w:bookmarkStart w:id="14" w:name="_Ref362852115"/>
      <w:bookmarkStart w:id="15" w:name="_Ref362852091"/>
      <w:bookmarkStart w:id="16" w:name="_Ref362852063"/>
      <w:bookmarkStart w:id="17" w:name="_Ref362852051"/>
      <w:bookmarkStart w:id="18" w:name="_Ref362852073"/>
      <w:bookmarkEnd w:id="10"/>
      <w:r>
        <w:rPr/>
        <w:t>Obligation to Proceed.</w:t>
      </w:r>
      <w:bookmarkEnd w:id="11"/>
      <w:bookmarkEnd w:id="12"/>
      <w:bookmarkEnd w:id="13"/>
      <w:bookmarkEnd w:id="14"/>
      <w:bookmarkEnd w:id="15"/>
      <w:bookmarkEnd w:id="16"/>
      <w:bookmarkEnd w:id="17"/>
    </w:p>
    <w:p>
      <w:pPr>
        <w:pStyle w:val="Normal"/>
        <w:rPr/>
      </w:pPr>
      <w:r>
        <w:rPr/>
        <w:t>Seller shall have no obligation to proceed with any activities related to the design or manufacture of the Unit until fifteen months before the first RTS Date set forth in Appendix D.</w:t>
      </w:r>
    </w:p>
    <w:p>
      <w:pPr>
        <w:pStyle w:val="Heading1"/>
        <w:ind w:hanging="0" w:start="0"/>
        <w:rPr/>
      </w:pPr>
      <w:bookmarkStart w:id="19" w:name="_Ref362852073"/>
      <w:bookmarkStart w:id="20" w:name="__RefHeading___Toc505424622"/>
      <w:bookmarkEnd w:id="20"/>
      <w:r>
        <w:rPr/>
        <w:t>Termination.</w:t>
      </w:r>
      <w:bookmarkEnd w:id="19"/>
    </w:p>
    <w:p>
      <w:pPr>
        <w:pStyle w:val="BodyTextIndent"/>
        <w:rPr/>
      </w:pPr>
      <w:r>
        <w:rPr>
          <w:b/>
        </w:rPr>
        <w:t>(a)</w:t>
      </w:r>
      <w:r>
        <w:rPr/>
        <w:tab/>
        <w:t>This Agreement shall come into force and effect on the day upon which Seller receives the Order Commitment Payment from the Buyer (the “Effective Date”).</w:t>
      </w:r>
    </w:p>
    <w:p>
      <w:pPr>
        <w:pStyle w:val="Normal"/>
        <w:ind w:hanging="720" w:start="720" w:end="0"/>
        <w:rPr/>
      </w:pPr>
      <w:r>
        <w:rPr/>
      </w:r>
    </w:p>
    <w:p>
      <w:pPr>
        <w:pStyle w:val="Normal"/>
        <w:ind w:hanging="720" w:start="720" w:end="0"/>
        <w:rPr/>
      </w:pPr>
      <w:r>
        <w:rPr>
          <w:b/>
        </w:rPr>
        <w:t>(b)</w:t>
      </w:r>
      <w:r>
        <w:rPr/>
        <w:tab/>
        <w:t xml:space="preserve">This Agreement shall terminate:  </w:t>
      </w:r>
    </w:p>
    <w:p>
      <w:pPr>
        <w:pStyle w:val="Normal"/>
        <w:rPr/>
      </w:pPr>
      <w:r>
        <w:rPr/>
      </w:r>
    </w:p>
    <w:p>
      <w:pPr>
        <w:pStyle w:val="Normal"/>
        <w:ind w:start="720" w:end="0"/>
        <w:rPr/>
      </w:pPr>
      <w:r>
        <w:rPr/>
        <w:t>(1)  upon execution by the Parties of the Contract of Sale; or</w:t>
      </w:r>
    </w:p>
    <w:p>
      <w:pPr>
        <w:pStyle w:val="Normal"/>
        <w:ind w:start="720" w:end="0"/>
        <w:rPr/>
      </w:pPr>
      <w:r>
        <w:rPr/>
      </w:r>
    </w:p>
    <w:p>
      <w:pPr>
        <w:pStyle w:val="Normal"/>
        <w:ind w:hanging="360" w:start="1080" w:end="0"/>
        <w:rPr/>
      </w:pPr>
      <w:r>
        <w:rPr/>
        <w:t>(2)  fifteen days after receipt by Seller of written notice by Buyer that the Buyer wishes to terminate this Agreement; or</w:t>
      </w:r>
    </w:p>
    <w:p>
      <w:pPr>
        <w:pStyle w:val="Normal"/>
        <w:ind w:start="720" w:end="0"/>
        <w:rPr/>
      </w:pPr>
      <w:r>
        <w:rPr/>
      </w:r>
    </w:p>
    <w:p>
      <w:pPr>
        <w:pStyle w:val="Normal"/>
        <w:numPr>
          <w:ilvl w:val="0"/>
          <w:numId w:val="14"/>
        </w:numPr>
        <w:rPr/>
      </w:pPr>
      <w:r>
        <w:rPr/>
        <w:t>upon written agreement of the Parties to terminate this Agreement; or</w:t>
      </w:r>
    </w:p>
    <w:p>
      <w:pPr>
        <w:pStyle w:val="Normal"/>
        <w:ind w:start="720" w:end="0"/>
        <w:rPr/>
      </w:pPr>
      <w:r>
        <w:rPr/>
      </w:r>
    </w:p>
    <w:p>
      <w:pPr>
        <w:pStyle w:val="Normal"/>
        <w:numPr>
          <w:ilvl w:val="0"/>
          <w:numId w:val="14"/>
        </w:numPr>
        <w:rPr/>
      </w:pPr>
      <w:r>
        <w:rPr/>
        <w:t xml:space="preserve">March 15, 2001 if the Contract of Sale has not then been executed by the Parties, unless agreed otherwise by the parties, </w:t>
      </w:r>
    </w:p>
    <w:p>
      <w:pPr>
        <w:pStyle w:val="Normal"/>
        <w:rPr>
          <w:b/>
        </w:rPr>
      </w:pPr>
      <w:r>
        <w:rPr>
          <w:b/>
        </w:rPr>
      </w:r>
    </w:p>
    <w:p>
      <w:pPr>
        <w:pStyle w:val="Normal"/>
        <w:ind w:start="720" w:end="0"/>
        <w:rPr/>
      </w:pPr>
      <w:r>
        <w:rPr/>
        <w:t>whichever shall first occur.</w:t>
      </w:r>
    </w:p>
    <w:p>
      <w:pPr>
        <w:pStyle w:val="Normal"/>
        <w:ind w:start="720" w:end="0"/>
        <w:rPr/>
      </w:pPr>
      <w:r>
        <w:rPr/>
      </w:r>
    </w:p>
    <w:p>
      <w:pPr>
        <w:pStyle w:val="Normal"/>
        <w:ind w:start="720" w:end="0"/>
        <w:rPr/>
      </w:pPr>
      <w:r>
        <w:rPr/>
        <w:t>In the event of termination pursuant to clause 5(b) (other than subclause 5(b)(1)), Buyer shall pay Seller the amount determined by reference to the Payment and Termination Schedule set forth in Appendix D.  Payments, including the Order Commitment payment, made against the purchase price shall be credited against the termination payment, provided that the Seller shall in any event be entitled to retain the Order Commitment Payment.  The foregoing shall constitute Buyer’s and Seller’s sole obligation upon termination after the Effective Date.  Upon fulfillment of these obligations, neither Party shall have any liability to the other Party with respect to this Agreement or the Project whether in contract, warranty, tort (including negligence) or otherwise.</w:t>
      </w:r>
    </w:p>
    <w:p>
      <w:pPr>
        <w:pStyle w:val="Heading1"/>
        <w:ind w:hanging="0" w:start="0"/>
        <w:rPr/>
      </w:pPr>
      <w:bookmarkStart w:id="21" w:name="__RefHeading___Toc505424623"/>
      <w:bookmarkEnd w:id="21"/>
      <w:r>
        <w:rPr/>
        <w:t>Waiver of Consequential Damages.</w:t>
      </w:r>
    </w:p>
    <w:p>
      <w:pPr>
        <w:pStyle w:val="Normal"/>
        <w:rPr/>
      </w:pPr>
      <w:r>
        <w:rPr/>
        <w:t>Neither Party shall be liable to the other Party under this Agreement for any consequential, incidental or indirect damages whatsoever, including but not limited to loss of profit or revenues, loss of use of the Units or of any associated equipment, cost of capital, cost of substitute equipment, facilities, services or replacement power, downtime costs or claims of Buyer’s customers.</w:t>
      </w:r>
    </w:p>
    <w:p>
      <w:pPr>
        <w:pStyle w:val="Heading1"/>
        <w:ind w:hanging="0" w:start="0"/>
        <w:rPr/>
      </w:pPr>
      <w:bookmarkStart w:id="22" w:name="__RefHeading___Toc505424624"/>
      <w:bookmarkEnd w:id="22"/>
      <w:r>
        <w:rPr/>
        <w:t>Governing Law.</w:t>
      </w:r>
    </w:p>
    <w:p>
      <w:pPr>
        <w:pStyle w:val="Normal"/>
        <w:spacing w:lineRule="auto" w:line="300"/>
        <w:jc w:val="both"/>
        <w:rPr/>
      </w:pPr>
      <w:r>
        <w:rPr/>
        <w:t>This Agreement, its interpretation and any disputes relating to, arising out of or connected with this Agreement, shall be governed by the laws of the State of New York, without regard to its conflicts of law provisions.</w:t>
      </w:r>
    </w:p>
    <w:p>
      <w:pPr>
        <w:pStyle w:val="Normal"/>
        <w:rPr/>
      </w:pPr>
      <w:r>
        <w:rPr/>
      </w:r>
    </w:p>
    <w:p>
      <w:pPr>
        <w:pStyle w:val="Heading1"/>
        <w:ind w:hanging="0" w:start="0"/>
        <w:rPr/>
      </w:pPr>
      <w:bookmarkStart w:id="23" w:name="__RefHeading___Toc505424625"/>
      <w:bookmarkEnd w:id="23"/>
      <w:r>
        <w:rPr/>
        <w:t>Entire Agreement.</w:t>
      </w:r>
    </w:p>
    <w:p>
      <w:pPr>
        <w:pStyle w:val="Normal"/>
        <w:rPr/>
      </w:pPr>
      <w:r>
        <w:rPr/>
        <w:t>This Agreement together with the Appendices hereto contains the entire agreement of the Parties with respect to the subject matter hereof.  All prior, correspondence, negotiations and agreements, oral or written, among the Parties with respect to the subject matter hereof are superseded by this Agreement.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rPr>
        <w:tab/>
        <w:t>IN WITNESS WHEREOF,</w:t>
      </w:r>
      <w:r>
        <w:rPr/>
        <w:t xml:space="preserve"> the Parties have caused this Agreement to be executed by their respective authorized representatives as of the date first set forth above.</w:t>
      </w:r>
    </w:p>
    <w:p>
      <w:pPr>
        <w:pStyle w:val="Normal"/>
        <w:tabs>
          <w:tab w:val="clear" w:pos="720"/>
          <w:tab w:val="left" w:pos="567" w:leader="none"/>
        </w:tabs>
        <w:rPr/>
      </w:pPr>
      <w:r>
        <w:rPr/>
      </w:r>
    </w:p>
    <w:p>
      <w:pPr>
        <w:pStyle w:val="Normal"/>
        <w:tabs>
          <w:tab w:val="clear" w:pos="720"/>
          <w:tab w:val="left" w:pos="567"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GENERAL ELECTRIC COMPANY</w:t>
            </w:r>
          </w:p>
          <w:p>
            <w:pPr>
              <w:pStyle w:val="Normal"/>
              <w:rPr/>
            </w:pPr>
            <w:r>
              <w:rPr/>
            </w:r>
          </w:p>
          <w:p>
            <w:pPr>
              <w:pStyle w:val="Normal"/>
              <w:rPr/>
            </w:pPr>
            <w:r>
              <w:rPr/>
              <w:t>By:  _________________________</w:t>
            </w:r>
          </w:p>
          <w:p>
            <w:pPr>
              <w:pStyle w:val="Normal"/>
              <w:rPr/>
            </w:pPr>
            <w:r>
              <w:rPr/>
            </w:r>
          </w:p>
          <w:p>
            <w:pPr>
              <w:pStyle w:val="Normal"/>
              <w:rPr/>
            </w:pPr>
            <w:r>
              <w:rPr/>
              <w:t>Name:  _______________________</w:t>
            </w:r>
          </w:p>
          <w:p>
            <w:pPr>
              <w:pStyle w:val="Normal"/>
              <w:rPr/>
            </w:pPr>
            <w:r>
              <w:rPr/>
            </w:r>
          </w:p>
          <w:p>
            <w:pPr>
              <w:pStyle w:val="Normal"/>
              <w:rPr/>
            </w:pPr>
            <w:r>
              <w:rPr/>
              <w:t>Title:  ________________________</w:t>
            </w:r>
          </w:p>
          <w:p>
            <w:pPr>
              <w:pStyle w:val="Normal"/>
              <w:rPr/>
            </w:pPr>
            <w:r>
              <w:rPr/>
            </w:r>
          </w:p>
        </w:tc>
        <w:tc>
          <w:tcPr>
            <w:tcW w:w="4428" w:type="dxa"/>
            <w:tcBorders/>
          </w:tcPr>
          <w:p>
            <w:pPr>
              <w:pStyle w:val="Heading2"/>
              <w:spacing w:before="0" w:after="0"/>
              <w:rPr/>
            </w:pPr>
            <w:r>
              <w:rPr/>
              <w:t xml:space="preserve">ENRON NORTH AMERICA CORP. </w:t>
            </w:r>
          </w:p>
          <w:p>
            <w:pPr>
              <w:pStyle w:val="Heading2"/>
              <w:spacing w:before="0" w:after="0"/>
              <w:rPr/>
            </w:pPr>
            <w:r>
              <w:rPr/>
            </w:r>
          </w:p>
          <w:p>
            <w:pPr>
              <w:pStyle w:val="Heading2"/>
              <w:spacing w:before="0" w:after="0"/>
              <w:rPr/>
            </w:pPr>
            <w:r>
              <w:rPr/>
              <w:t>As Agent for</w:t>
            </w:r>
          </w:p>
          <w:p>
            <w:pPr>
              <w:pStyle w:val="Heading2"/>
              <w:spacing w:before="0" w:after="0"/>
              <w:rPr/>
            </w:pPr>
            <w:r>
              <w:rPr/>
            </w:r>
          </w:p>
          <w:p>
            <w:pPr>
              <w:pStyle w:val="Heading2"/>
              <w:spacing w:before="0" w:after="0"/>
              <w:rPr/>
            </w:pPr>
            <w:r>
              <w:rPr/>
              <w:t>E-NEXT GENERATION LLC</w:t>
            </w:r>
          </w:p>
          <w:p>
            <w:pPr>
              <w:pStyle w:val="EndnoteText"/>
              <w:rPr/>
            </w:pPr>
            <w:r>
              <w:rPr/>
            </w:r>
          </w:p>
          <w:p>
            <w:pPr>
              <w:pStyle w:val="Normal"/>
              <w:rPr/>
            </w:pPr>
            <w:r>
              <w:rPr/>
              <w:t>By:  ___________________________</w:t>
            </w:r>
          </w:p>
          <w:p>
            <w:pPr>
              <w:pStyle w:val="Normal"/>
              <w:rPr/>
            </w:pPr>
            <w:r>
              <w:rPr/>
            </w:r>
          </w:p>
          <w:p>
            <w:pPr>
              <w:pStyle w:val="Normal"/>
              <w:rPr/>
            </w:pPr>
            <w:r>
              <w:rPr/>
              <w:t>Name:  _________________________</w:t>
            </w:r>
          </w:p>
          <w:p>
            <w:pPr>
              <w:pStyle w:val="Normal"/>
              <w:rPr/>
            </w:pPr>
            <w:r>
              <w:rPr/>
            </w:r>
          </w:p>
          <w:p>
            <w:pPr>
              <w:pStyle w:val="Normal"/>
              <w:rPr/>
            </w:pPr>
            <w:r>
              <w:rPr/>
              <w:t>Title:  __________________________</w:t>
            </w:r>
          </w:p>
          <w:p>
            <w:pPr>
              <w:pStyle w:val="Normal"/>
              <w:rPr/>
            </w:pPr>
            <w:r>
              <w:rPr/>
            </w:r>
          </w:p>
        </w:tc>
      </w:tr>
    </w:tbl>
    <w:p>
      <w:pPr>
        <w:pStyle w:val="Normal"/>
        <w:tabs>
          <w:tab w:val="clear" w:pos="720"/>
          <w:tab w:val="left" w:pos="4500" w:leader="none"/>
        </w:tabs>
        <w:rPr/>
      </w:pPr>
      <w:r>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rPr/>
    </w:pPr>
    <w:r>
      <w:rPr/>
      <w:fldChar w:fldCharType="begin"/>
    </w:r>
    <w:r>
      <w:rPr/>
      <w:instrText xml:space="preserve"> FILENAME </w:instrText>
    </w:r>
    <w:r>
      <w:rPr/>
      <w:fldChar w:fldCharType="separate"/>
    </w:r>
    <w:r>
      <w:rPr/>
      <w:t>GETURBINEPURCHASEAGREEMENT.doc</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t>GE PROPRIETARY INFORMATION</w:t>
    </w:r>
  </w:p>
  <w:p>
    <w:pPr>
      <w:pStyle w:val="Footer"/>
      <w:tabs>
        <w:tab w:val="clear" w:pos="8640"/>
        <w:tab w:val="center" w:pos="4320" w:leader="none"/>
        <w:tab w:val="right" w:pos="9360" w:leader="none"/>
      </w:tabs>
      <w:rPr/>
    </w:pPr>
    <w:r>
      <w:rPr/>
      <w:fldChar w:fldCharType="begin"/>
    </w:r>
    <w:r>
      <w:rPr/>
      <w:instrText xml:space="preserve"> DATE \@"MMMM\ d', 'yyyy" </w:instrText>
    </w:r>
    <w:r>
      <w:rPr/>
      <w:fldChar w:fldCharType="separate"/>
    </w:r>
    <w:r>
      <w:rPr/>
      <w:t>September 28, 2025</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fldChar w:fldCharType="begin"/>
    </w:r>
    <w:r>
      <w:rPr/>
      <w:instrText xml:space="preserve"> FILENAME </w:instrText>
    </w:r>
    <w:r>
      <w:rPr/>
      <w:fldChar w:fldCharType="separate"/>
    </w:r>
    <w:r>
      <w:rPr/>
      <w:t>GETURBINEPURCHASEAGREEMENT.doc</w:t>
    </w:r>
    <w:r>
      <w:rPr/>
      <w:fldChar w:fldCharType="end"/>
    </w:r>
    <w:r>
      <w:rPr/>
      <w:tab/>
      <w:tab/>
    </w:r>
    <w:r>
      <w:rPr>
        <w:sz w:val="22"/>
      </w:rPr>
      <w:t>GE PROPRIETARY INFORMATION</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rPr/>
    </w:pPr>
    <w:r>
      <w:rPr/>
      <w:fldChar w:fldCharType="begin"/>
    </w:r>
    <w:r>
      <w:rPr/>
      <w:instrText xml:space="preserve"> DATE \@"MMMM\ d', 'yyyy" </w:instrText>
    </w:r>
    <w:r>
      <w:rPr/>
      <w:fldChar w:fldCharType="separate"/>
    </w:r>
    <w:r>
      <w:rPr/>
      <w:t>September 28, 2025</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720"/>
        </w:tabs>
        <w:ind w:start="720" w:hanging="720"/>
      </w:pPr>
      <w:rPr>
        <w:b/>
      </w:rPr>
    </w:lvl>
  </w:abstractNum>
  <w:abstractNum w:abstractNumId="13">
    <w:lvl w:ilvl="0">
      <w:start w:val="1"/>
      <w:numFmt w:val="lowerLetter"/>
      <w:lvlText w:val="(%1) "/>
      <w:lvlJc w:val="start"/>
      <w:pPr>
        <w:tabs>
          <w:tab w:val="num" w:pos="360"/>
        </w:tabs>
        <w:ind w:start="360" w:hanging="360"/>
      </w:pPr>
      <w:rPr>
        <w:sz w:val="22"/>
        <w:i w:val="false"/>
        <w:b/>
      </w:rPr>
    </w:lvl>
  </w:abstractNum>
  <w:abstractNum w:abstractNumId="14">
    <w:lvl w:ilvl="0">
      <w:start w:val="3"/>
      <w:numFmt w:val="decimal"/>
      <w:lvlText w:val="(%1) "/>
      <w:lvlJc w:val="start"/>
      <w:pPr>
        <w:tabs>
          <w:tab w:val="num" w:pos="360"/>
        </w:tabs>
        <w:ind w:start="1080" w:hanging="360"/>
      </w:pPr>
      <w:rPr>
        <w:sz w:val="22"/>
        <w:i w:val="false"/>
        <w:b w:val="false"/>
      </w:rPr>
    </w:lvl>
  </w:abstractNum>
  <w:abstractNum w:abstractNumId="15">
    <w:lvl w:ilvl="0">
      <w:start w:val="1"/>
      <w:numFmt w:val="lowerLetter"/>
      <w:lvlText w:val="(%1)"/>
      <w:lvlJc w:val="start"/>
      <w:pPr>
        <w:tabs>
          <w:tab w:val="num" w:pos="720"/>
        </w:tabs>
        <w:ind w:start="720" w:hanging="720"/>
      </w:pPr>
      <w:rPr>
        <w:i w:val="false"/>
        <w:b/>
      </w:rPr>
    </w:lvl>
  </w:abstractNum>
  <w:abstractNum w:abstractNumId="16">
    <w:lvl w:ilvl="0">
      <w:start w:val="1"/>
      <w:numFmt w:val="decimal"/>
      <w:lvlText w:val="(%1)"/>
      <w:lvlJc w:val="start"/>
      <w:pPr>
        <w:tabs>
          <w:tab w:val="num" w:pos="360"/>
        </w:tabs>
        <w:ind w:start="360" w:hanging="360"/>
      </w:pPr>
    </w:lvl>
  </w:abstractNum>
  <w:abstractNum w:abstractNumId="17">
    <w:lvl w:ilvl="0">
      <w:start w:val="2"/>
      <w:numFmt w:val="lowerLetter"/>
      <w:lvlText w:val="(%1)"/>
      <w:lvlJc w:val="start"/>
      <w:pPr>
        <w:tabs>
          <w:tab w:val="num" w:pos="720"/>
        </w:tabs>
        <w:ind w:start="72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BodyText"/>
    <w:qFormat/>
    <w:pPr>
      <w:keepNext w:val="true"/>
      <w:numPr>
        <w:ilvl w:val="0"/>
        <w:numId w:val="1"/>
      </w:numPr>
      <w:spacing w:before="200" w:after="200"/>
      <w:jc w:val="center"/>
      <w:outlineLvl w:val="0"/>
    </w:pPr>
    <w:rPr>
      <w:b/>
      <w:kern w:val="2"/>
    </w:rPr>
  </w:style>
  <w:style w:type="paragraph" w:styleId="Heading2">
    <w:name w:val="heading 2"/>
    <w:basedOn w:val="Normal"/>
    <w:next w:val="BodyText"/>
    <w:qFormat/>
    <w:pPr>
      <w:keepNext w:val="true"/>
      <w:spacing w:before="200" w:after="200"/>
      <w:outlineLvl w:val="1"/>
    </w:pPr>
    <w:rPr>
      <w:b/>
    </w:rPr>
  </w:style>
  <w:style w:type="paragraph" w:styleId="Heading3">
    <w:name w:val="heading 3"/>
    <w:basedOn w:val="Normal"/>
    <w:next w:val="BodyText"/>
    <w:qFormat/>
    <w:pPr>
      <w:keepNext w:val="true"/>
      <w:spacing w:before="200" w:after="200"/>
      <w:outlineLvl w:val="2"/>
    </w:pPr>
    <w:rPr>
      <w:i/>
    </w:rPr>
  </w:style>
  <w:style w:type="paragraph" w:styleId="Heading4">
    <w:name w:val="heading 4"/>
    <w:basedOn w:val="Normal"/>
    <w:next w:val="Normal"/>
    <w:qFormat/>
    <w:pPr>
      <w:keepNext w:val="true"/>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4z0">
    <w:name w:val="WW8Num14z0"/>
    <w:qFormat/>
    <w:rPr>
      <w:b/>
      <w:i w:val="false"/>
      <w:sz w:val="22"/>
    </w:rPr>
  </w:style>
  <w:style w:type="character" w:styleId="WW8Num15z0">
    <w:name w:val="WW8Num15z0"/>
    <w:qFormat/>
    <w:rPr>
      <w:b w:val="false"/>
      <w:i w:val="false"/>
      <w:sz w:val="22"/>
    </w:rPr>
  </w:style>
  <w:style w:type="character" w:styleId="WW8Num16z0">
    <w:name w:val="WW8Num16z0"/>
    <w:qFormat/>
    <w:rPr>
      <w:b/>
      <w:i w:val="false"/>
    </w:rPr>
  </w:style>
  <w:style w:type="character" w:styleId="WW8Num19z0">
    <w:name w:val="WW8Num19z0"/>
    <w:qFormat/>
    <w:rPr>
      <w:rFonts w:ascii="Times New Roman" w:hAnsi="Times New Roman" w:cs="Times New Roman"/>
      <w:b w:val="false"/>
      <w:i w:val="false"/>
      <w:sz w:val="22"/>
      <w:u w:val="none"/>
    </w:rPr>
  </w:style>
  <w:style w:type="character" w:styleId="WW8Num20z0">
    <w:name w:val="WW8Num20z0"/>
    <w:qFormat/>
    <w:rPr>
      <w:b/>
      <w:i w:val="false"/>
    </w:rPr>
  </w:style>
  <w:style w:type="character" w:styleId="WW8NumSt2z0">
    <w:name w:val="WW8NumSt2z0"/>
    <w:qFormat/>
    <w:rPr>
      <w:rFonts w:ascii="Times New Roman" w:hAnsi="Times New Roman" w:cs="Times New Roman"/>
      <w:b/>
      <w:i w:val="false"/>
      <w:sz w:val="22"/>
      <w:u w:val="none"/>
    </w:rPr>
  </w:style>
  <w:style w:type="character" w:styleId="WW8NumSt6z0">
    <w:name w:val="WW8NumSt6z0"/>
    <w:qFormat/>
    <w:rPr>
      <w:rFonts w:ascii="Times New Roman" w:hAnsi="Times New Roman" w:cs="Times New Roman"/>
      <w:b w:val="false"/>
      <w:i w:val="false"/>
      <w:sz w:val="22"/>
      <w:u w:val="none"/>
    </w:rPr>
  </w:style>
  <w:style w:type="character" w:styleId="WW8NumSt13z0">
    <w:name w:val="WW8NumSt13z0"/>
    <w:qFormat/>
    <w:rPr>
      <w:b/>
      <w:i w:val="fals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caps/>
      <w:kern w:val="2"/>
    </w:rPr>
  </w:style>
  <w:style w:type="paragraph" w:styleId="BodyText">
    <w:name w:val="Body Text"/>
    <w:basedOn w:val="Normal"/>
    <w:pPr/>
    <w:rPr/>
  </w:style>
  <w:style w:type="paragraph" w:styleId="List">
    <w:name w:val="List"/>
    <w:basedOn w:val="Normal"/>
    <w:pPr>
      <w:ind w:hanging="360" w:start="360" w:end="0"/>
    </w:pPr>
    <w:rPr/>
  </w:style>
  <w:style w:type="paragraph" w:styleId="Caption">
    <w:name w:val="caption"/>
    <w:basedOn w:val="Normal"/>
    <w:qFormat/>
    <w:pPr>
      <w:spacing w:before="120" w:after="160"/>
      <w:jc w:val="center"/>
    </w:pPr>
    <w:rPr>
      <w:b/>
      <w:cap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16"/>
    </w:rPr>
  </w:style>
  <w:style w:type="paragraph" w:styleId="Footer">
    <w:name w:val="footer"/>
    <w:basedOn w:val="Normal"/>
    <w:pPr>
      <w:tabs>
        <w:tab w:val="clear" w:pos="720"/>
        <w:tab w:val="center" w:pos="4320" w:leader="none"/>
        <w:tab w:val="right" w:pos="8640" w:leader="none"/>
      </w:tabs>
    </w:pPr>
    <w:rPr>
      <w:sz w:val="16"/>
    </w:rPr>
  </w:style>
  <w:style w:type="paragraph" w:styleId="cent1">
    <w:name w:val="cent1"/>
    <w:qFormat/>
    <w:pPr>
      <w:widowControl/>
      <w:suppressLineNumbers/>
      <w:bidi w:val="0"/>
      <w:jc w:val="center"/>
    </w:pPr>
    <w:rPr>
      <w:rFonts w:ascii="Times" w:hAnsi="Times" w:eastAsia="Times New Roman" w:cs="Times"/>
      <w:b/>
      <w:color w:val="auto"/>
      <w:sz w:val="24"/>
      <w:szCs w:val="20"/>
      <w:lang w:val="en-US" w:bidi="ar-SA" w:eastAsia="zh-CN"/>
    </w:rPr>
  </w:style>
  <w:style w:type="paragraph" w:styleId="para5">
    <w:name w:val="para5"/>
    <w:qFormat/>
    <w:pPr>
      <w:widowControl/>
      <w:suppressLineNumbers/>
      <w:bidi w:val="0"/>
      <w:ind w:hanging="0" w:start="760" w:end="0"/>
    </w:pPr>
    <w:rPr>
      <w:rFonts w:ascii="Times" w:hAnsi="Times" w:eastAsia="Times New Roman" w:cs="Times"/>
      <w:color w:val="auto"/>
      <w:sz w:val="20"/>
      <w:szCs w:val="20"/>
      <w:lang w:val="en-US" w:bidi="ar-SA" w:eastAsia="zh-CN"/>
    </w:rPr>
  </w:style>
  <w:style w:type="paragraph" w:styleId="para3">
    <w:name w:val="para3"/>
    <w:qFormat/>
    <w:pPr>
      <w:widowControl/>
      <w:suppressLineNumbers/>
      <w:tabs>
        <w:tab w:val="clear" w:pos="720"/>
        <w:tab w:val="left" w:pos="760" w:leader="none"/>
      </w:tabs>
      <w:bidi w:val="0"/>
      <w:ind w:hanging="760" w:start="760" w:end="0"/>
    </w:pPr>
    <w:rPr>
      <w:rFonts w:ascii="Times" w:hAnsi="Times" w:eastAsia="Times New Roman" w:cs="Times"/>
      <w:color w:val="auto"/>
      <w:sz w:val="20"/>
      <w:szCs w:val="20"/>
      <w:lang w:val="en-US" w:bidi="ar-SA" w:eastAsia="zh-CN"/>
    </w:rPr>
  </w:style>
  <w:style w:type="paragraph" w:styleId="para2">
    <w:name w:val="para2"/>
    <w:qFormat/>
    <w:pPr>
      <w:widowControl/>
      <w:suppressLineNumbers/>
      <w:bidi w:val="0"/>
    </w:pPr>
    <w:rPr>
      <w:rFonts w:ascii="Times" w:hAnsi="Times" w:eastAsia="Times New Roman" w:cs="Times"/>
      <w:color w:val="auto"/>
      <w:sz w:val="20"/>
      <w:szCs w:val="20"/>
      <w:lang w:val="en-US" w:bidi="ar-SA" w:eastAsia="zh-CN"/>
    </w:rPr>
  </w:style>
  <w:style w:type="paragraph" w:styleId="Subtitle">
    <w:name w:val="Subtitle"/>
    <w:basedOn w:val="Normal"/>
    <w:next w:val="BodyText"/>
    <w:qFormat/>
    <w:pPr>
      <w:jc w:val="center"/>
    </w:pPr>
    <w:rPr>
      <w:b/>
    </w:rPr>
  </w:style>
  <w:style w:type="paragraph" w:styleId="TableofAuthorities">
    <w:name w:val="Table of Authorities"/>
    <w:basedOn w:val="Normal"/>
    <w:qFormat/>
    <w:pPr>
      <w:tabs>
        <w:tab w:val="clear" w:pos="720"/>
        <w:tab w:val="right" w:pos="8640" w:leader="dot"/>
      </w:tabs>
      <w:ind w:hanging="360" w:start="36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2"/>
      <w:szCs w:val="20"/>
      <w:lang w:val="en-US" w:bidi="ar-SA" w:eastAsia="zh-CN"/>
    </w:rPr>
  </w:style>
  <w:style w:type="paragraph" w:styleId="MessageHeader">
    <w:name w:val="Message Header"/>
    <w:basedOn w:val="Normal"/>
    <w:next w:val="Normal"/>
    <w:qFormat/>
    <w:pPr>
      <w:ind w:hanging="1080" w:start="1080" w:end="0"/>
    </w:pPr>
    <w:rPr/>
  </w:style>
  <w:style w:type="paragraph" w:styleId="NormalIndent">
    <w:name w:val="Normal Indent"/>
    <w:basedOn w:val="Normal"/>
    <w:qFormat/>
    <w:pPr>
      <w:ind w:hanging="0" w:start="720" w:end="0"/>
    </w:pPr>
    <w:rPr/>
  </w:style>
  <w:style w:type="paragraph" w:styleId="TOAHeading">
    <w:name w:val="TOA Heading"/>
    <w:basedOn w:val="Normal"/>
    <w:qFormat/>
    <w:pPr>
      <w:keepNext w:val="true"/>
      <w:keepLines/>
      <w:tabs>
        <w:tab w:val="clear" w:pos="720"/>
        <w:tab w:val="right" w:pos="9360" w:leader="dot"/>
      </w:tabs>
      <w:ind w:hanging="504" w:start="504" w:end="0"/>
    </w:pPr>
    <w:rPr>
      <w:b/>
      <w:kern w:val="2"/>
    </w:rPr>
  </w:style>
  <w:style w:type="paragraph" w:styleId="TOC9">
    <w:name w:val="toc 9"/>
    <w:basedOn w:val="Normal"/>
    <w:next w:val="Normal"/>
    <w:pPr>
      <w:tabs>
        <w:tab w:val="clear" w:pos="720"/>
        <w:tab w:val="right" w:pos="9360" w:leader="dot"/>
      </w:tabs>
      <w:ind w:hanging="0" w:start="1540" w:end="0"/>
    </w:pPr>
    <w:rPr>
      <w:sz w:val="18"/>
    </w:rPr>
  </w:style>
  <w:style w:type="paragraph" w:styleId="BodyText2">
    <w:name w:val="Body Text 2"/>
    <w:basedOn w:val="Normal"/>
    <w:qFormat/>
    <w:pPr/>
    <w:rPr/>
  </w:style>
  <w:style w:type="paragraph" w:styleId="EndnoteText">
    <w:name w:val="endnote text"/>
    <w:basedOn w:val="Normal"/>
    <w:pPr/>
    <w:rPr/>
  </w:style>
  <w:style w:type="paragraph" w:styleId="TOC1">
    <w:name w:val="toc 1"/>
    <w:basedOn w:val="Normal"/>
    <w:pPr>
      <w:tabs>
        <w:tab w:val="clear" w:pos="720"/>
        <w:tab w:val="right" w:pos="9360" w:leader="dot"/>
      </w:tabs>
      <w:spacing w:before="120" w:after="120"/>
    </w:pPr>
    <w:rPr>
      <w:b/>
      <w:caps/>
      <w:sz w:val="20"/>
    </w:rPr>
  </w:style>
  <w:style w:type="paragraph" w:styleId="TOC2">
    <w:name w:val="toc 2"/>
    <w:basedOn w:val="Normal"/>
    <w:pPr>
      <w:tabs>
        <w:tab w:val="clear" w:pos="720"/>
        <w:tab w:val="right" w:pos="9360" w:leader="dot"/>
      </w:tabs>
    </w:pPr>
    <w:rPr>
      <w:smallCaps/>
      <w:sz w:val="20"/>
    </w:rPr>
  </w:style>
  <w:style w:type="paragraph" w:styleId="TOC3">
    <w:name w:val="toc 3"/>
    <w:basedOn w:val="Normal"/>
    <w:pPr>
      <w:tabs>
        <w:tab w:val="clear" w:pos="720"/>
        <w:tab w:val="right" w:pos="9360" w:leader="dot"/>
      </w:tabs>
      <w:ind w:hanging="0" w:start="220" w:end="0"/>
    </w:pPr>
    <w:rPr>
      <w:i/>
      <w:sz w:val="20"/>
    </w:rPr>
  </w:style>
  <w:style w:type="paragraph" w:styleId="TOC4">
    <w:name w:val="toc 4"/>
    <w:basedOn w:val="Normal"/>
    <w:next w:val="Normal"/>
    <w:pPr>
      <w:tabs>
        <w:tab w:val="clear" w:pos="720"/>
        <w:tab w:val="right" w:pos="9360" w:leader="dot"/>
      </w:tabs>
      <w:ind w:hanging="0" w:start="440" w:end="0"/>
    </w:pPr>
    <w:rPr>
      <w:sz w:val="18"/>
    </w:rPr>
  </w:style>
  <w:style w:type="paragraph" w:styleId="TOC5">
    <w:name w:val="toc 5"/>
    <w:basedOn w:val="Normal"/>
    <w:next w:val="Normal"/>
    <w:pPr>
      <w:tabs>
        <w:tab w:val="clear" w:pos="720"/>
        <w:tab w:val="right" w:pos="9360" w:leader="dot"/>
      </w:tabs>
      <w:ind w:hanging="0" w:start="660" w:end="0"/>
    </w:pPr>
    <w:rPr>
      <w:sz w:val="18"/>
    </w:rPr>
  </w:style>
  <w:style w:type="paragraph" w:styleId="TOC6">
    <w:name w:val="toc 6"/>
    <w:basedOn w:val="Normal"/>
    <w:next w:val="Normal"/>
    <w:pPr>
      <w:tabs>
        <w:tab w:val="clear" w:pos="720"/>
        <w:tab w:val="right" w:pos="9360" w:leader="dot"/>
      </w:tabs>
      <w:ind w:hanging="0" w:start="880" w:end="0"/>
    </w:pPr>
    <w:rPr>
      <w:sz w:val="18"/>
    </w:rPr>
  </w:style>
  <w:style w:type="paragraph" w:styleId="TOC7">
    <w:name w:val="toc 7"/>
    <w:basedOn w:val="Normal"/>
    <w:next w:val="Normal"/>
    <w:pPr>
      <w:tabs>
        <w:tab w:val="clear" w:pos="720"/>
        <w:tab w:val="right" w:pos="9360" w:leader="dot"/>
      </w:tabs>
      <w:ind w:hanging="0" w:start="1100" w:end="0"/>
    </w:pPr>
    <w:rPr>
      <w:sz w:val="18"/>
    </w:rPr>
  </w:style>
  <w:style w:type="paragraph" w:styleId="TOC8">
    <w:name w:val="toc 8"/>
    <w:basedOn w:val="Normal"/>
    <w:next w:val="Normal"/>
    <w:pPr>
      <w:tabs>
        <w:tab w:val="clear" w:pos="720"/>
        <w:tab w:val="right" w:pos="9360" w:leader="dot"/>
      </w:tabs>
      <w:ind w:hanging="0" w:start="1320" w:end="0"/>
    </w:pPr>
    <w:rPr>
      <w:sz w:val="18"/>
    </w:rPr>
  </w:style>
  <w:style w:type="paragraph" w:styleId="TableofFigures">
    <w:name w:val="Table of Figures"/>
    <w:basedOn w:val="Normal"/>
    <w:next w:val="Normal"/>
    <w:qFormat/>
    <w:pPr>
      <w:tabs>
        <w:tab w:val="clear" w:pos="720"/>
        <w:tab w:val="right" w:pos="9360" w:leader="dot"/>
      </w:tabs>
      <w:ind w:hanging="440" w:start="440" w:end="0"/>
    </w:pPr>
    <w:rPr/>
  </w:style>
  <w:style w:type="paragraph" w:styleId="List1">
    <w:name w:val="List:1"/>
    <w:basedOn w:val="Normal"/>
    <w:qFormat/>
    <w:pPr>
      <w:tabs>
        <w:tab w:val="clear" w:pos="720"/>
        <w:tab w:val="left" w:pos="2952" w:leader="none"/>
      </w:tabs>
      <w:jc w:val="both"/>
    </w:pPr>
    <w:rPr>
      <w:rFonts w:ascii="Times" w:hAnsi="Times" w:cs="Times"/>
    </w:rPr>
  </w:style>
  <w:style w:type="paragraph" w:styleId="Style11">
    <w:name w:val="Style1"/>
    <w:basedOn w:val="Normal"/>
    <w:qFormat/>
    <w:pPr/>
    <w:rPr/>
  </w:style>
  <w:style w:type="paragraph" w:styleId="BodyTextIndent2">
    <w:name w:val="Body Text Indent 2"/>
    <w:basedOn w:val="Normal"/>
    <w:qFormat/>
    <w:pPr>
      <w:ind w:hanging="360" w:start="1080" w:end="0"/>
    </w:pPr>
    <w:rPr/>
  </w:style>
  <w:style w:type="paragraph" w:styleId="BodyTextIndent">
    <w:name w:val="Body Text Indent"/>
    <w:basedOn w:val="Normal"/>
    <w:pPr>
      <w:ind w:hanging="720" w:start="720" w:end="0"/>
    </w:pPr>
    <w:rPr/>
  </w:style>
  <w:style w:type="paragraph" w:styleId="BodyTextIndent3">
    <w:name w:val="Body Text Indent 3"/>
    <w:basedOn w:val="Normal"/>
    <w:qFormat/>
    <w:pPr>
      <w:ind w:hanging="0" w:start="1440" w:end="0"/>
    </w:pPr>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spacing w:before="0" w:after="120"/>
      <w:ind w:firstLine="210" w:start="0" w:end="0"/>
    </w:pPr>
    <w:rPr/>
  </w:style>
  <w:style w:type="paragraph" w:styleId="BodyTextFirstIndent2">
    <w:name w:val="Body Text First Indent 2"/>
    <w:basedOn w:val="BodyTextIndent"/>
    <w:qFormat/>
    <w:pPr>
      <w:spacing w:before="0" w:after="120"/>
      <w:ind w:firstLine="210" w:start="360" w:end="0"/>
    </w:pPr>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20" w:start="220" w:end="0"/>
    </w:pPr>
    <w:rPr/>
  </w:style>
  <w:style w:type="paragraph" w:styleId="Index2">
    <w:name w:val="index 2"/>
    <w:basedOn w:val="Normal"/>
    <w:next w:val="Normal"/>
    <w:pPr>
      <w:ind w:hanging="220" w:start="440" w:end="0"/>
    </w:pPr>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2001-02-16T11:56:00Z</dcterms:created>
  <dc:creator>GE</dc:creator>
  <dc:description/>
  <dc:language>en-CA</dc:language>
  <cp:lastModifiedBy>sadams</cp:lastModifiedBy>
  <cp:lastPrinted>2001-02-16T10:01:00Z</cp:lastPrinted>
  <dcterms:modified xsi:type="dcterms:W3CDTF">2001-02-16T13:32:00Z</dcterms:modified>
  <cp:revision>3</cp:revision>
  <dc:subject/>
  <dc:title>MEMORANDUM OF UNDERSTANDING</dc:title>
</cp:coreProperties>
</file>