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GENERAL COMMENTS – QUESTIONS ON THE REVISED</w:t>
      </w:r>
    </w:p>
    <w:p>
      <w:pPr>
        <w:pStyle w:val="Normal"/>
        <w:jc w:val="center"/>
        <w:rPr>
          <w:b/>
          <w:bCs/>
        </w:rPr>
      </w:pPr>
      <w:r>
        <w:rPr>
          <w:b/>
          <w:bCs/>
        </w:rPr>
        <w:t>PURCHASE AND SALE AGREEMENT FOR THE EVEREST 2 TRANSACTION</w:t>
      </w:r>
    </w:p>
    <w:p>
      <w:pPr>
        <w:pStyle w:val="Normal"/>
        <w:rPr>
          <w:b/>
          <w:bCs/>
        </w:rPr>
      </w:pPr>
      <w:r>
        <w:rPr>
          <w:b/>
          <w:bCs/>
        </w:rPr>
      </w:r>
    </w:p>
    <w:p>
      <w:pPr>
        <w:pStyle w:val="Normal"/>
        <w:rPr/>
      </w:pPr>
      <w:r>
        <w:rPr/>
      </w:r>
    </w:p>
    <w:p>
      <w:pPr>
        <w:pStyle w:val="Heading1"/>
        <w:ind w:hanging="0" w:start="0"/>
        <w:rPr/>
      </w:pPr>
      <w:r>
        <w:rPr/>
        <w:t xml:space="preserve">Tax Issues </w:t>
      </w:r>
    </w:p>
    <w:p>
      <w:pPr>
        <w:pStyle w:val="Normal"/>
        <w:rPr/>
      </w:pPr>
      <w:r>
        <w:rPr/>
      </w:r>
    </w:p>
    <w:p>
      <w:pPr>
        <w:pStyle w:val="Normal"/>
        <w:numPr>
          <w:ilvl w:val="0"/>
          <w:numId w:val="4"/>
        </w:numPr>
        <w:rPr/>
      </w:pPr>
      <w:r>
        <w:rPr/>
        <w:t>In the tax representation (Section 4.1(o)), Allegheny proposed adding two different representations that did not appear (from a lay person’s perspective) to be problematic.  They were (vii) [no election by LLC’s to be treated as a taxable association] and (x) [not a party to any tax sharing agreement] in Allegheny’s mark up.  Please consider whether we might be able to add either one of these representations without increasing Enron’s exposure.</w:t>
      </w:r>
    </w:p>
    <w:p>
      <w:pPr>
        <w:pStyle w:val="Normal"/>
        <w:numPr>
          <w:ilvl w:val="0"/>
          <w:numId w:val="4"/>
        </w:numPr>
        <w:rPr/>
      </w:pPr>
      <w:r>
        <w:rPr/>
        <w:t>How do you feel about making the indemnity in the tax section mirror the indemnity provisions contained in Section 11.4 with respect to delayed notification of claim for indemnity.  Section 11.4, as revised, provides that the obligation to indemnify is only reduced to the extent that a delayed claim harms the indemnifying party’s position.  The tax indemnity (as it is currently written) provides for a total loss of claim to indemnity under the same circumstances.</w:t>
      </w:r>
    </w:p>
    <w:p>
      <w:pPr>
        <w:pStyle w:val="Normal"/>
        <w:numPr>
          <w:ilvl w:val="0"/>
          <w:numId w:val="4"/>
        </w:numPr>
        <w:rPr/>
      </w:pPr>
      <w:r>
        <w:rPr/>
        <w:t>What about transfer taxes?  I believe that A&amp;K did extensive diligence to determine if any transfer taxes will be due and payable upon the disposition of the peakers.  My recollection is that none will be due.  If this is the case, can we not agree that Seller will pay all transfer taxes (i.e. make a concession that has no value but may be well received by the bidders).</w:t>
      </w:r>
    </w:p>
    <w:p>
      <w:pPr>
        <w:pStyle w:val="Normal"/>
        <w:rPr/>
      </w:pPr>
      <w:r>
        <w:rPr/>
      </w:r>
    </w:p>
    <w:p>
      <w:pPr>
        <w:pStyle w:val="BodyText"/>
        <w:rPr/>
      </w:pPr>
      <w:r>
        <w:rPr/>
        <w:t>[THE FOREGOING ISSUES SHOULD BE CONSIDERED BY GOCKERMAN, JACKSON AND MALOY (WITH POPPEWELL’S ASSISTANCE IF SO DESIRED).  THE RESPONSES SHOULD BE PROMPTLY COMMUNICATED TO HAL HALTOM (AT A&amp;K) AND MYSELF.]</w:t>
      </w:r>
    </w:p>
    <w:p>
      <w:pPr>
        <w:pStyle w:val="Normal"/>
        <w:rPr/>
      </w:pPr>
      <w:r>
        <w:rPr/>
      </w:r>
    </w:p>
    <w:p>
      <w:pPr>
        <w:pStyle w:val="Heading1"/>
        <w:ind w:hanging="0" w:start="0"/>
        <w:rPr/>
      </w:pPr>
      <w:r>
        <w:rPr/>
        <w:t>Labor Issues</w:t>
      </w:r>
    </w:p>
    <w:p>
      <w:pPr>
        <w:pStyle w:val="Normal"/>
        <w:rPr/>
      </w:pPr>
      <w:r>
        <w:rPr/>
      </w:r>
    </w:p>
    <w:p>
      <w:pPr>
        <w:pStyle w:val="Normal"/>
        <w:numPr>
          <w:ilvl w:val="0"/>
          <w:numId w:val="6"/>
        </w:numPr>
        <w:rPr/>
      </w:pPr>
      <w:r>
        <w:rPr/>
        <w:t xml:space="preserve">Two different bidders made reference to different parts of Section 414 of the Internal Revenue Code of 1986, as amended.  One was Section 414(t) dealing with being treated as a “single employer” with another party and the other was Section 414(n) dealing with “leased employees.”  I have to assume that the two are somehow related.  Is there something that we can concede in this area to provide our bidders some level of comfort without increasing Enron’s exposure??  </w:t>
      </w:r>
    </w:p>
    <w:p>
      <w:pPr>
        <w:pStyle w:val="Normal"/>
        <w:rPr/>
      </w:pPr>
      <w:r>
        <w:rPr/>
      </w:r>
    </w:p>
    <w:p>
      <w:pPr>
        <w:pStyle w:val="BodyText"/>
        <w:rPr/>
      </w:pPr>
      <w:r>
        <w:rPr/>
        <w:t>[THIS ISSUE SHOULD BE CONSIDERED BY MICHELLE CASH.  HER RESPONSE SHOULD BE PROMPTLY COMMUNICATED TO HAL HALTOM (AT A&amp;K) AND MYSELF]</w:t>
      </w:r>
    </w:p>
    <w:p>
      <w:pPr>
        <w:pStyle w:val="Normal"/>
        <w:rPr/>
      </w:pPr>
      <w:r>
        <w:rPr/>
      </w:r>
    </w:p>
    <w:p>
      <w:pPr>
        <w:pStyle w:val="Heading1"/>
        <w:ind w:hanging="0" w:start="0"/>
        <w:rPr/>
      </w:pPr>
      <w:r>
        <w:rPr/>
        <w:t>Business Issues</w:t>
      </w:r>
    </w:p>
    <w:p>
      <w:pPr>
        <w:pStyle w:val="Normal"/>
        <w:rPr/>
      </w:pPr>
      <w:r>
        <w:rPr/>
      </w:r>
    </w:p>
    <w:p>
      <w:pPr>
        <w:pStyle w:val="Normal"/>
        <w:numPr>
          <w:ilvl w:val="0"/>
          <w:numId w:val="5"/>
        </w:numPr>
        <w:rPr/>
      </w:pPr>
      <w:r>
        <w:rPr/>
        <w:t>Need to quickly resolve the issue regarding whether we want to have an effective date and then a closing date or rather just a closing date.  A related issue is whether Enron will be under some obligation to operate during the pre-closing period.</w:t>
      </w:r>
    </w:p>
    <w:p>
      <w:pPr>
        <w:pStyle w:val="Normal"/>
        <w:numPr>
          <w:ilvl w:val="0"/>
          <w:numId w:val="5"/>
        </w:numPr>
        <w:rPr/>
      </w:pPr>
      <w:r>
        <w:rPr/>
        <w:t>Consider agreeing to split the HSR filing fees in the revised draft.  Most bidders deleted this provision and if we agree to split the fee (of $45,000) the second round bidders are likely to accept the revised provision.  This is likely to simplify a comparison of final offers.</w:t>
      </w:r>
    </w:p>
    <w:p>
      <w:pPr>
        <w:pStyle w:val="Normal"/>
        <w:rPr>
          <w:b/>
          <w:bCs/>
        </w:rPr>
      </w:pPr>
      <w:r>
        <w:rPr>
          <w:b/>
          <w:bCs/>
        </w:rPr>
      </w:r>
    </w:p>
    <w:p>
      <w:pPr>
        <w:pStyle w:val="Normal"/>
        <w:rPr>
          <w:b/>
          <w:bCs/>
        </w:rPr>
      </w:pPr>
      <w:r>
        <w:rPr>
          <w:b/>
          <w:bCs/>
        </w:rPr>
        <w:t>[THESE ISSUES SHOULD BE DECIDED BY DON MILLER WITH THE RESULTS COMMUNICATED TO ME.  I WILL COORDINATE WITH HAL.]</w:t>
      </w:r>
    </w:p>
    <w:p>
      <w:pPr>
        <w:pStyle w:val="Normal"/>
        <w:rPr/>
      </w:pPr>
      <w:r>
        <w:rPr/>
      </w:r>
    </w:p>
    <w:p>
      <w:pPr>
        <w:pStyle w:val="Heading1"/>
        <w:ind w:hanging="0" w:start="0"/>
        <w:rPr/>
      </w:pPr>
      <w:r>
        <w:rPr/>
        <w:t>Environmental Issues</w:t>
      </w:r>
    </w:p>
    <w:p>
      <w:pPr>
        <w:pStyle w:val="Normal"/>
        <w:rPr/>
      </w:pPr>
      <w:r>
        <w:rPr/>
      </w:r>
    </w:p>
    <w:p>
      <w:pPr>
        <w:pStyle w:val="Normal"/>
        <w:numPr>
          <w:ilvl w:val="0"/>
          <w:numId w:val="3"/>
        </w:numPr>
        <w:rPr/>
      </w:pPr>
      <w:r>
        <w:rPr/>
        <w:t>In the definition of “Environmental Laws” – can we add “human health or the environment, including,” as proposed by Duke?</w:t>
      </w:r>
    </w:p>
    <w:p>
      <w:pPr>
        <w:pStyle w:val="Normal"/>
        <w:numPr>
          <w:ilvl w:val="0"/>
          <w:numId w:val="3"/>
        </w:numPr>
        <w:rPr/>
      </w:pPr>
      <w:r>
        <w:rPr/>
        <w:t>The environmental representation contains a new lead in which states that 4.1(n) is the only representation dealing with environmental.  Why was this done?  Presumably we intended the representation regarding permits to cover any required environmental permits.  Let’s discuss.</w:t>
      </w:r>
    </w:p>
    <w:p>
      <w:pPr>
        <w:pStyle w:val="Normal"/>
        <w:numPr>
          <w:ilvl w:val="0"/>
          <w:numId w:val="3"/>
        </w:numPr>
        <w:rPr/>
      </w:pPr>
      <w:r>
        <w:rPr/>
        <w:t>Is it possible to add Section 4.1(n)(v) proposed by Allegheny and/or Sections 4.1(n)(iii) and 4.1(n)(iv) proposed by Duke?  I would like to consider these concessions if they are not likely to add to Enron’s exposure.</w:t>
      </w:r>
    </w:p>
    <w:p>
      <w:pPr>
        <w:pStyle w:val="Normal"/>
        <w:rPr>
          <w:b/>
          <w:bCs/>
        </w:rPr>
      </w:pPr>
      <w:r>
        <w:rPr>
          <w:b/>
          <w:bCs/>
        </w:rPr>
      </w:r>
    </w:p>
    <w:p>
      <w:pPr>
        <w:pStyle w:val="Normal"/>
        <w:rPr>
          <w:b/>
          <w:bCs/>
        </w:rPr>
      </w:pPr>
      <w:r>
        <w:rPr>
          <w:b/>
          <w:bCs/>
        </w:rPr>
        <w:t>[THESE ISSUES SHOULD BE DISCUSSED BY AND AMONG HAL HALTOM, PAUL BOHANNON AND MYSELF]</w:t>
      </w:r>
    </w:p>
    <w:p>
      <w:pPr>
        <w:pStyle w:val="Normal"/>
        <w:rPr/>
      </w:pPr>
      <w:r>
        <w:rPr/>
      </w:r>
    </w:p>
    <w:p>
      <w:pPr>
        <w:pStyle w:val="Heading1"/>
        <w:ind w:hanging="0" w:start="0"/>
        <w:rPr/>
      </w:pPr>
      <w:r>
        <w:rPr/>
        <w:t>Other Legal Issues</w:t>
      </w:r>
    </w:p>
    <w:p>
      <w:pPr>
        <w:pStyle w:val="Normal"/>
        <w:rPr/>
      </w:pPr>
      <w:r>
        <w:rPr/>
      </w:r>
    </w:p>
    <w:p>
      <w:pPr>
        <w:pStyle w:val="Normal"/>
        <w:numPr>
          <w:ilvl w:val="0"/>
          <w:numId w:val="2"/>
        </w:numPr>
        <w:rPr/>
      </w:pPr>
      <w:r>
        <w:rPr/>
        <w:t>We should discuss the new representation under 4.1(y).  I believe that this new section will provide some comfort for bidders but that it may fall materially short of where buyers will need to be.</w:t>
      </w:r>
    </w:p>
    <w:p>
      <w:pPr>
        <w:pStyle w:val="Normal"/>
        <w:numPr>
          <w:ilvl w:val="0"/>
          <w:numId w:val="2"/>
        </w:numPr>
        <w:rPr/>
      </w:pPr>
      <w:r>
        <w:rPr/>
        <w:t>Consider adding Section 4.1(ee) proposed by Duke regarding receipt of advance payments (they might be seeking this assurance in the context of the ComEd transaction).</w:t>
      </w:r>
    </w:p>
    <w:p>
      <w:pPr>
        <w:pStyle w:val="Normal"/>
        <w:numPr>
          <w:ilvl w:val="0"/>
          <w:numId w:val="2"/>
        </w:numPr>
        <w:rPr/>
      </w:pPr>
      <w:r>
        <w:rPr/>
        <w:t>What about adding a prohibition on future indebtedness and guarantees in Section 7.1 (See the Cinergy mark-up in Section 7.1(a)(v)).  The Cinergy wording is obviously a bit much but maybe we can offer something similar to provide comfort to other bidders without giving too much away.  None of the LLCs will be incurring any debt or providing any guarantees so it should be easy to give an assurance of the same.</w:t>
      </w:r>
    </w:p>
    <w:p>
      <w:pPr>
        <w:pStyle w:val="Normal"/>
        <w:numPr>
          <w:ilvl w:val="0"/>
          <w:numId w:val="2"/>
        </w:numPr>
        <w:rPr/>
      </w:pPr>
      <w:r>
        <w:rPr/>
        <w:t>What did we decide to do on Section 7.8 – Assumption of LLC Liabilities?  I noticed that the Section is now bracketed.</w:t>
      </w:r>
    </w:p>
    <w:p>
      <w:pPr>
        <w:pStyle w:val="Normal"/>
        <w:numPr>
          <w:ilvl w:val="0"/>
          <w:numId w:val="2"/>
        </w:numPr>
        <w:rPr/>
      </w:pPr>
      <w:r>
        <w:rPr/>
        <w:t>Let’s discuss Section 11.2 with respect to pre-closing liabilities.   As I read it now, Enron would be exposed for most pre-closing liabilities.</w:t>
      </w:r>
    </w:p>
    <w:p>
      <w:pPr>
        <w:pStyle w:val="Normal"/>
        <w:rPr>
          <w:b/>
          <w:bCs/>
        </w:rPr>
      </w:pPr>
      <w:r>
        <w:rPr>
          <w:b/>
          <w:bCs/>
        </w:rPr>
      </w:r>
    </w:p>
    <w:p>
      <w:pPr>
        <w:pStyle w:val="Normal"/>
        <w:rPr>
          <w:b/>
          <w:bCs/>
        </w:rPr>
      </w:pPr>
      <w:r>
        <w:rPr>
          <w:b/>
          <w:bCs/>
        </w:rPr>
        <w:t>[TO BE DISCUSSED BY HAL HALTOM AND ME]</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2000-10-30T05:01:00Z</dcterms:created>
  <dc:creator>Stuart Richard Zisma</dc:creator>
  <dc:description/>
  <dc:language>en-CA</dc:language>
  <cp:lastModifiedBy>Stuart Richard Zisma</cp:lastModifiedBy>
  <dcterms:modified xsi:type="dcterms:W3CDTF">2000-10-30T05:43:00Z</dcterms:modified>
  <cp:revision>2</cp:revision>
  <dc:subject/>
  <dc:title>GENERAL COMMENTS – QUESTIONS ON THE REVISED</dc:title>
</cp:coreProperties>
</file>