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pPr>
      <w:r>
        <w:rPr/>
        <w:t>April       , 2001</w:t>
        <w:br/>
      </w:r>
    </w:p>
    <w:p>
      <w:pPr>
        <w:pStyle w:val="BodyText"/>
        <w:spacing w:before="0" w:after="0"/>
        <w:jc w:val="start"/>
        <w:rPr/>
      </w:pPr>
      <w:r>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pPr>
      <w:r>
        <w:rPr/>
        <w:t>And (II) the Initial Purchaser under the Unit Purchase Agreement</w:t>
      </w:r>
    </w:p>
    <w:p>
      <w:pPr>
        <w:pStyle w:val="BodyText"/>
        <w:spacing w:before="0" w:after="0"/>
        <w:jc w:val="start"/>
        <w:rPr/>
      </w:pPr>
      <w:r>
        <w:rPr/>
        <w:t>referred to below</w:t>
      </w:r>
    </w:p>
    <w:p>
      <w:pPr>
        <w:pStyle w:val="BodyText"/>
        <w:spacing w:lineRule="auto" w:line="278" w:before="280" w:after="280"/>
        <w:jc w:val="start"/>
        <w:rPr/>
      </w:pPr>
      <w:r>
        <w:rPr/>
        <w:t>Ladies and Gentlemen:</w:t>
      </w:r>
    </w:p>
    <w:p>
      <w:pPr>
        <w:pStyle w:val="BodyText"/>
        <w:rPr/>
      </w:pPr>
      <w:bookmarkStart w:id="0" w:name="Start"/>
      <w:bookmarkEnd w:id="0"/>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(i) Note Purchase Agreement (the </w:t>
      </w:r>
      <w:r>
        <w:rPr>
          <w:b/>
          <w:bCs/>
          <w:i/>
          <w:iCs/>
        </w:rPr>
        <w:t>Note Purchase Agreement</w:t>
      </w:r>
      <w:r>
        <w:rPr/>
        <w:t>) between Pegasus Power, LLC, a Delaware limited liability company (</w:t>
      </w:r>
      <w:r>
        <w:rPr>
          <w:b/>
          <w:bCs/>
          <w:i/>
          <w:iCs/>
        </w:rPr>
        <w:t>Pegasus</w:t>
      </w:r>
      <w:r>
        <w:rPr/>
        <w:t xml:space="preserve">) and the Purchasers party thereto (the </w:t>
      </w:r>
      <w:r>
        <w:rPr>
          <w:b/>
          <w:bCs/>
          <w:i/>
          <w:iCs/>
        </w:rPr>
        <w:t>Purchasers</w:t>
      </w:r>
      <w:r>
        <w:rPr/>
        <w:t xml:space="preserve">) and (ii) a Unit Purchase Agreement (the </w:t>
      </w:r>
      <w:r>
        <w:rPr>
          <w:b/>
          <w:bCs/>
          <w:i/>
          <w:iCs/>
        </w:rPr>
        <w:t>Unit Purchase Agreement</w:t>
      </w:r>
      <w:r>
        <w:rPr/>
        <w:t>) between Pegasus and John Hancock Life Insurance Company (</w:t>
      </w:r>
      <w:r>
        <w:rPr>
          <w:b/>
          <w:bCs/>
          <w:i/>
          <w:iCs/>
        </w:rPr>
        <w:t>John Hancock</w:t>
      </w:r>
      <w:r>
        <w:rPr/>
        <w:t>) as Initial Purchaser, Pegasus has agreed to sell, and the Purchasers and John Hancock have agreed, subject to the terms and conditions set forth therein, to purchase, the Notes (as defined in the Note Purchase Agreement) and Class D Units (as defined in the Unit Purchase Agreement), the proceeds of which will be used to finance the Turbine Acquisition.</w:t>
      </w:r>
    </w:p>
    <w:p>
      <w:pPr>
        <w:pStyle w:val="BodyText"/>
        <w:rPr/>
      </w:pPr>
      <w:r>
        <w:rPr/>
        <w:t>In rendering the opinions expressed below, I have examined originals or copies, certified or otherwise identified to my satisfaction, of the following agreements and other documents:</w:t>
      </w:r>
    </w:p>
    <w:p>
      <w:pPr>
        <w:pStyle w:val="a"/>
        <w:rPr/>
      </w:pPr>
      <w:r>
        <w:rPr/>
        <w:t>(a)</w:t>
        <w:tab/>
        <w:t xml:space="preserve">the turbine contract for the purchase and sale of the Turbines dated [     ], 2001 (the </w:t>
      </w:r>
      <w:r>
        <w:rPr>
          <w:b/>
          <w:bCs/>
          <w:i/>
          <w:iCs/>
        </w:rPr>
        <w:t>Turbine Contract</w:t>
      </w:r>
      <w:r>
        <w:rPr/>
        <w:t xml:space="preserve">) between Salmon Energy and GE Packaged Power; </w:t>
      </w:r>
    </w:p>
    <w:p>
      <w:pPr>
        <w:pStyle w:val="a"/>
        <w:rPr/>
      </w:pPr>
      <w:r>
        <w:rPr/>
        <w:t>(b)</w:t>
        <w:tab/>
        <w:t xml:space="preserve">the consent and agreement dated [     ], 2001 (the </w:t>
      </w:r>
      <w:r>
        <w:rPr>
          <w:b/>
          <w:bCs/>
          <w:i/>
          <w:iCs/>
        </w:rPr>
        <w:t>Consent and Agreement</w:t>
      </w:r>
      <w:r>
        <w:rPr/>
        <w:t xml:space="preserve">) between GE Packaged Power, Salmon Energy and U.S. Bank Trust National Association, as Collateral Agent for the Purchasers; </w:t>
      </w:r>
    </w:p>
    <w:p>
      <w:pPr>
        <w:pStyle w:val="a"/>
        <w:rPr/>
      </w:pPr>
      <w:r>
        <w:rPr/>
        <w:t>(c)</w:t>
        <w:tab/>
        <w:t>the guarantee by General Electric Company (</w:t>
      </w:r>
      <w:r>
        <w:rPr>
          <w:b/>
          <w:bCs/>
          <w:i/>
          <w:iCs/>
        </w:rPr>
        <w:t>GE</w:t>
      </w:r>
      <w:r>
        <w:rPr/>
        <w:t xml:space="preserve">) of the obligations of GE Packaged Power under the Turbine Contract (the </w:t>
      </w:r>
      <w:r>
        <w:rPr>
          <w:b/>
          <w:bCs/>
          <w:i/>
          <w:iCs/>
        </w:rPr>
        <w:t>GE Guarantee</w:t>
      </w:r>
      <w:r>
        <w:rPr/>
        <w:t>); and</w:t>
      </w:r>
    </w:p>
    <w:p>
      <w:pPr>
        <w:pStyle w:val="a"/>
        <w:rPr/>
      </w:pPr>
      <w:r>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r>
        <w:rPr/>
        <w:t xml:space="preserve">The documents listed in (a) - (c) above are together referred to in this opinion as the </w:t>
      </w:r>
      <w:r>
        <w:rPr>
          <w:b/>
          <w:bCs/>
          <w:i/>
          <w:iCs/>
        </w:rPr>
        <w:t>Documents</w:t>
      </w:r>
      <w:r>
        <w:rPr/>
        <w:t xml:space="preserve">.  GE Packaged Power and GE are together referred to in this opinion as the </w:t>
      </w:r>
      <w:r>
        <w:rPr>
          <w:b/>
          <w:bCs/>
          <w:i/>
          <w:iCs/>
        </w:rPr>
        <w:t>GE Obligors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r>
        <w:rPr/>
        <w:t>1.</w:t>
        <w:tab/>
        <w:t xml:space="preserve">GE Packaged Power is a corporation duly organized, validly existing and in good standing under the law of the State of Delaware; GE is a corporation duly organized, validly existing and in good standing under the law of the State of [        ]. </w:t>
      </w:r>
    </w:p>
    <w:p>
      <w:pPr>
        <w:pStyle w:val="BodyText"/>
        <w:rPr/>
      </w:pPr>
      <w:r>
        <w:rPr/>
        <w:t>2.</w:t>
        <w:tab/>
        <w:t>Each of GE Obligors has all requisite corporate power to execute and deliver, and to perform its obligations under, the Documents to which such GE Obligor is party.</w:t>
      </w:r>
    </w:p>
    <w:p>
      <w:pPr>
        <w:pStyle w:val="BodyText"/>
        <w:rPr/>
      </w:pPr>
      <w:r>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pPr>
      <w:r>
        <w:rPr/>
        <w:t>4.</w:t>
        <w:tab/>
        <w:t>Each of the Documents has been duly executed and delivered by the GE Obligors.</w:t>
      </w:r>
    </w:p>
    <w:p>
      <w:pPr>
        <w:pStyle w:val="BodyText"/>
        <w:rPr/>
      </w:pPr>
      <w:r>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r>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rPr>
        <w:t>,</w:t>
      </w:r>
      <w:r>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pPr>
      <w:r>
        <w:rPr/>
        <w:t>The foregoing opinions are subject to the following additional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pPr>
      <w:r>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BodyText"/>
        <w:jc w:val="start"/>
        <w:rPr/>
      </w:pPr>
      <w:bookmarkStart w:id="3" w:name="FFLockDate"/>
      <w:bookmarkEnd w:id="3"/>
      <w:r>
        <w:rPr/>
        <w:t xml:space="preserve">Daniel Rowley, Esq. </w:t>
      </w:r>
      <w:r>
        <w:br w:type="page"/>
      </w:r>
    </w:p>
    <w:p>
      <w:pPr>
        <w:pStyle w:val="BodyText"/>
        <w:spacing w:before="0" w:after="240"/>
        <w:jc w:val="start"/>
        <w:rPr/>
      </w:pPr>
      <w:r>
        <w:rPr/>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GE.LegalOpin.DOC</w:t>
    </w:r>
    <w:r>
      <w:rPr/>
      <w:fldChar w:fldCharType="end"/>
    </w:r>
    <w:r>
      <w:rPr/>
      <w:t>/</w:t>
    </w:r>
    <w:r>
      <w:rPr/>
      <w:fldChar w:fldCharType="begin"/>
    </w:r>
    <w:r>
      <w:rPr/>
      <w:instrText xml:space="preserve"> SUBJECT </w:instrText>
    </w:r>
    <w:r>
      <w:rPr/>
      <w:fldChar w:fldCharType="separate"/>
    </w:r>
    <w:r>
      <w:rPr/>
      <w:t>10+</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GE.LegalOpin.DOC</w:t>
    </w:r>
    <w:r>
      <w:rPr/>
      <w:fldChar w:fldCharType="end"/>
    </w:r>
    <w:r>
      <w:rPr/>
      <w:t>/</w:t>
    </w:r>
    <w:r>
      <w:rPr/>
      <w:fldChar w:fldCharType="begin"/>
    </w:r>
    <w:r>
      <w:rPr/>
      <w:instrText xml:space="preserve"> SUBJECT </w:instrText>
    </w:r>
    <w:r>
      <w:rPr/>
      <w:fldChar w:fldCharType="separate"/>
    </w:r>
    <w:r>
      <w:rPr/>
      <w:t>10+</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 w:hAnsi="Bembo" w:cs="Bembo"/>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rFonts w:ascii="Bembo" w:hAnsi="Bembo" w:cs="Bembo"/>
      <w:b w:val="false"/>
      <w:i w:val="false"/>
      <w:sz w:val="26"/>
    </w:rPr>
  </w:style>
  <w:style w:type="character" w:styleId="WW8Num27z0">
    <w:name w:val="WW8Num27z0"/>
    <w:qFormat/>
    <w:rPr/>
  </w:style>
  <w:style w:type="character" w:styleId="WW8Num30z0">
    <w:name w:val="WW8Num30z0"/>
    <w:qFormat/>
    <w:rPr>
      <w:rFonts w:ascii="Bembo" w:hAnsi="Bembo" w:cs="Bembo"/>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 w:hAnsi="Bembo" w:cs="Bembo"/>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 w:hAnsi="Bembo" w:cs="Bembo"/>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2001-04-23T11:19:00Z</dcterms:created>
  <dc:creator>Cairns, Alison</dc:creator>
  <dc:description>RANCE, BRIANÿþFINANCEýüûúùDocumentsøIN÷öõFINANCEôSTANDARDó49òFF-DOC.DOTñ</dc:description>
  <dc:language>en-CA</dc:language>
  <cp:lastModifiedBy>Freshfields Bruckhaus Deringer LLP</cp:lastModifiedBy>
  <cp:lastPrinted>2001-04-19T12:28:00Z</cp:lastPrinted>
  <dcterms:modified xsi:type="dcterms:W3CDTF">2001-04-23T11:19:00Z</dcterms:modified>
  <cp:revision>2</cp:revision>
  <dc:subject>10+</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ClearView~NY003700033~~117784-0002~</vt:lpwstr>
  </property>
  <property fmtid="{D5CDD505-2E9C-101B-9397-08002B2CF9AE}" pid="3" name="ClearView IsDirty">
    <vt:lpwstr>YES</vt:lpwstr>
  </property>
</Properties>
</file>