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Wed., Feb. 13, 2002  ( Henley, Spain, Monden, Muntz)</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0745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Corn Belt dispatcher Lance Tankin called to do the outage for their electrical grid starting at 0900 until 1600.  HP limit for Hubbard will be 4000 HP.  I called and spoke with Pierre and informed him of the outage, that it was still planned to be done this morning and through the day.  He is going to have an outage himself at the station to combine it with their outage.  He will have it down for approx. 4-5 hours today.</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0952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Pierre is taking the unit down there to do his work.  At this time I’ve started Waterloo.  Have four units on line until I break the spread of 100.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Lamar Power Plant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Dwight Reynolds called in and said he would be doing testing at the Lamar plant today.</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ANR Janesville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Gary had informed me that we owe them around 100 million in payback.  With LS Power being down I asked ANR dispatcher Bob if they could take an extra 10 million in payback.  He said he had no problem with that, as of today and we’d do it on a day to day basis according to each pipeline operation.</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SoCal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spoke with Nelson. They are doing some testing there.  They are ramping up and down with one of their units.  They are going anywhere from 375 flow up to 700.  He said they are going to be doing this for a couple of hours.  It doesn’t look like it’s affecting us too much.  Pressure is of course fluctuating but it doesn’t look like it’s affecting it all that much.  I’m going to let them do that testing and get it out of the way.</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lost station 5, unit 503.  I just with Eugene.  He was going to have them take it down anyway and let the pressure build up behind them.  We’re kind of at that point where we’re taking the unit off and on due to demand.  At any rate Eugene is there.  He said if we need it on later on today just to give him a call.</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Trailblazer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After speaking with Spraggins, he said that we have a 30 million imbalance that’s to NNG from Trailblazer.  I spoke with NGPL gas control Juan.  He’s going to try to do 10 million payback to us.</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1306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Beaver Continental</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Ronnie Ashloch called and said they had finished with their work at Beaver Continental plant and we can bring the suction back to normal operating pressure.  I contacted Randy at the Beaver plant.  He’s going to let it start building back up towards 630#.</w:t>
            </w:r>
          </w:p>
          <w:p>
            <w:pPr>
              <w:pStyle w:val="Normal"/>
              <w:tabs>
                <w:tab w:val="clear" w:pos="720"/>
                <w:tab w:val="center" w:pos="10224" w:leader="none"/>
              </w:tabs>
              <w:jc w:val="both"/>
              <w:rPr>
                <w:rFonts w:ascii="Arial" w:hAnsi="Arial" w:cs="Arial"/>
              </w:rPr>
            </w:pPr>
            <w:r>
              <w:rPr>
                <w:rFonts w:cs="Arial" w:ascii="Arial" w:hAnsi="Arial"/>
              </w:rPr>
              <w:t>Muntz</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down unit #6, a 2000 HP, to help relieve on the suction side of North Branch.  Hugo has a 754.</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Minnegasco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McCray called and said that they have a 14 million receipt nom with Glenwood that they are taking to zero.  At Grundy there is a 56 nom on the receipt that they are going to take to 28.  He’s sending me the paperwork.</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Pierre has got Hubbard back on line.  He called Corn Belt and they told him that the outage was over and brought it up to it’s usual HP rating of 7500.</w:t>
            </w:r>
          </w:p>
          <w:p>
            <w:pPr>
              <w:pStyle w:val="Normal"/>
              <w:tabs>
                <w:tab w:val="clear" w:pos="720"/>
                <w:tab w:val="center" w:pos="10224" w:leader="none"/>
              </w:tabs>
              <w:jc w:val="both"/>
              <w:rPr>
                <w:rFonts w:ascii="Arial" w:hAnsi="Arial" w:cs="Arial"/>
              </w:rPr>
            </w:pPr>
            <w:r>
              <w:rPr>
                <w:rFonts w:cs="Arial" w:ascii="Arial" w:hAnsi="Arial"/>
              </w:rPr>
              <w:t>Monden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Maljamar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#2.  Tried to remote restart twice and it didn’t work.  Randy is watching it from the station.  He is going to go out there.</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1727</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LaPlata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Received a station alarm.  For some reason the discharge pressure on the station went up and kind of spiked, then it went right back down.  This happened once before.  David is going to go check it for us.</w:t>
            </w:r>
          </w:p>
          <w:p>
            <w:pPr>
              <w:pStyle w:val="Normal"/>
              <w:tabs>
                <w:tab w:val="clear" w:pos="720"/>
                <w:tab w:val="center" w:pos="10224" w:leader="none"/>
              </w:tabs>
              <w:jc w:val="both"/>
              <w:rPr>
                <w:rFonts w:ascii="Arial" w:hAnsi="Arial" w:cs="Arial"/>
              </w:rPr>
            </w:pPr>
            <w:r>
              <w:rPr>
                <w:rFonts w:cs="Arial" w:ascii="Arial" w:hAnsi="Arial"/>
              </w:rPr>
              <w:t>Henley</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rFonts w:eastAsia="Arial"/>
        </w:rPr>
        <w:t xml:space="preserve"> </w:t>
      </w:r>
      <w:r>
        <w:rPr/>
        <w:t>1830 to 0630 Shift Wed., Feb. 13, 2002  (Braswell, Armitage, Barry, Hall)</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1820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Meridian called and said that El Paso had shut in on them, that they could use our help in taking some extra gas right now until they can get things lined out.  I told him we had the room right now, that he could probably give us an additional 50 million until they get things lined out.  Told him to keep me informed as to the situation with El Paso.  Right now line pack is 3156.5.  Moving about 792 million out of Bloomfield.  Told him as soon as he hears anything to let us know so we can get him back on rate.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back from Jeff.  He got the unit on line.  He said everything is fine and they are headed home.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Randy called from Maljamar.  He informed me that he was still having problems with the #2 unit out there.  I believe it was the turbo charger that is giving him the problems, it’s not even turning.  They ended up putting the #1 unit on out there.  He did contact Conoco Maljamar to let them know what was going on and that they would probably have to do something else with the gas.  They say they don’t have any problems right now with it.  They will look at this unit first thing in the morning, get right on it and see if they can get #2 fixed.</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2214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Stevens 6</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back from Jeff.  They put #3 on in place of #4.  Couldn’t keep #4 on.  He’s headed back home.</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0530</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at P3 is down.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2002-02-14T09:01:00Z</cp:lastPrinted>
  <dcterms:modified xsi:type="dcterms:W3CDTF">2002-02-14T13:16:00Z</dcterms:modified>
  <cp:revision>2292</cp:revision>
  <dc:subject/>
  <dc:title>  Services provided by Northern Natural Gas</dc:title>
</cp:coreProperties>
</file>