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both"/>
        <w:rPr>
          <w:b w:val="false"/>
          <w:u w:val="none"/>
        </w:rPr>
      </w:pPr>
      <w:r>
        <w:rPr>
          <w:b w:val="false"/>
          <w:u w:val="none"/>
        </w:rPr>
        <w:t xml:space="preserve">The purpose of this Technical Corner article is to provide a case study in country risk analysis with special focus on the British pound.   The case study combines an analysis of global and domestic macroeconomic conditions, world commodity prices, and central bank decision-making with the final objective of forecasting the future direction of foreign exchange rates. </w:t>
      </w:r>
    </w:p>
    <w:p>
      <w:pPr>
        <w:pStyle w:val="Heading4"/>
        <w:ind w:hanging="0" w:start="0"/>
        <w:jc w:val="both"/>
        <w:rPr>
          <w:b w:val="false"/>
          <w:u w:val="none"/>
        </w:rPr>
      </w:pPr>
      <w:r>
        <w:rPr>
          <w:b w:val="false"/>
          <w:u w:val="none"/>
        </w:rPr>
      </w:r>
    </w:p>
    <w:p>
      <w:pPr>
        <w:pStyle w:val="Heading4"/>
        <w:ind w:hanging="0" w:start="0"/>
        <w:jc w:val="both"/>
        <w:rPr/>
      </w:pPr>
      <w:r>
        <w:rPr/>
        <w:t>Exchange Rate Outlook</w:t>
      </w:r>
    </w:p>
    <w:p>
      <w:pPr>
        <w:pStyle w:val="Normal"/>
        <w:jc w:val="both"/>
        <w:rPr/>
      </w:pPr>
      <w:r>
        <w:rPr/>
      </w:r>
    </w:p>
    <w:p>
      <w:pPr>
        <w:pStyle w:val="Header"/>
        <w:tabs>
          <w:tab w:val="clear" w:pos="4320"/>
          <w:tab w:val="clear" w:pos="8640"/>
        </w:tabs>
        <w:jc w:val="both"/>
        <w:rPr/>
      </w:pPr>
      <w:r>
        <w:rPr/>
        <w:t xml:space="preserve">The strength of the US economy, which has steadily outpaced GDP growth in the UK and in the </w:t>
      </w:r>
      <w:r>
        <w:rPr>
          <w:color w:val="FF00FF"/>
        </w:rPr>
        <w:t>European Union</w:t>
      </w:r>
      <w:r>
        <w:rPr/>
        <w:t xml:space="preserve"> by a large margin, has been the primary driving force in the continued weakness of the euro and the recent depreciation in UK sterling (</w:t>
      </w:r>
      <w:r>
        <w:rPr>
          <w:i/>
          <w:iCs/>
          <w:color w:val="FF00FF"/>
        </w:rPr>
        <w:t>with respect to what?</w:t>
      </w:r>
      <w:r>
        <w:rPr/>
        <w:t>).  Also, persistently high world oil prices have threatened price stability globally.  Countries that have weak currencies against the US dollar are especially exposed to higher inflation because oil is priced in US dollars.  While the outlook for economic growth conditions in Europe and the UK are favorable, upward pressures on inflation and protracted weak exchange rates in both markets pose difficult challenges to both the European Central Bank (ECB) and the Bank of England (BOE).</w:t>
      </w:r>
    </w:p>
    <w:p>
      <w:pPr>
        <w:pStyle w:val="Header"/>
        <w:tabs>
          <w:tab w:val="clear" w:pos="4320"/>
          <w:tab w:val="clear" w:pos="8640"/>
        </w:tabs>
        <w:jc w:val="both"/>
        <w:rPr/>
      </w:pPr>
      <w:r>
        <w:rPr/>
      </w:r>
    </w:p>
    <w:p>
      <w:pPr>
        <w:pStyle w:val="Header"/>
        <w:tabs>
          <w:tab w:val="clear" w:pos="4320"/>
          <w:tab w:val="clear" w:pos="8640"/>
        </w:tabs>
        <w:jc w:val="both"/>
        <w:rPr/>
      </w:pPr>
      <w:r>
        <w:rPr/>
        <w:t>In view of these economic factors, we expect the ECB to raise rates on August 31</w:t>
      </w:r>
      <w:r>
        <w:rPr>
          <w:vertAlign w:val="superscript"/>
        </w:rPr>
        <w:t>st</w:t>
      </w:r>
      <w:r>
        <w:rPr/>
        <w:t xml:space="preserve"> </w:t>
      </w:r>
      <w:r>
        <w:rPr>
          <w:i/>
          <w:iCs/>
          <w:color w:val="FF00FF"/>
        </w:rPr>
        <w:t>(modify, old story)</w:t>
      </w:r>
      <w:r>
        <w:rPr/>
        <w:t xml:space="preserve"> by 25 basis points (bps) and possibly another 25 bps by the end of the year to attempt to stabilize the weak currency and establish central bank credibility.  </w:t>
      </w:r>
      <w:r>
        <w:rPr>
          <w:b/>
        </w:rPr>
        <w:t>The 25 bps increase in interest rates by the ECB will not be sufficient to strengthen the euro relative to the US dollar, however, it will cause the euro to appreciate against the pound.  We expect the BOE’s Monetary Policy Committee (MPC) to hold interest rates steady at 6.0 percent on September 7</w:t>
      </w:r>
      <w:r>
        <w:rPr>
          <w:b/>
          <w:vertAlign w:val="superscript"/>
        </w:rPr>
        <w:t xml:space="preserve">th </w:t>
      </w:r>
      <w:r>
        <w:rPr>
          <w:i/>
          <w:iCs/>
          <w:color w:val="FF00FF"/>
        </w:rPr>
        <w:t>(modify, old story)</w:t>
      </w:r>
      <w:r>
        <w:rPr>
          <w:b/>
        </w:rPr>
        <w:t>.  With the BOE at the top of its interest rate cycle, and with both the Fed and the ECB having more upward maneuverability to raise interest rates, sterling will continue to weaken towards the low $1.40’s.  The new trading range will be between $1.52-1.42 over the next six months.  The BOE will allow the pound to weaken to regain some of the loss competitiveness.  Also, we expect the Fed to hold rates at the present level of 6.5 percent due to a moderation of demand growth in the interest rate sensitive sectors of the U.S. economy and the proximity of the presidential elections.</w:t>
      </w:r>
      <w:r>
        <w:rPr/>
        <w:t xml:space="preserve">  More likely than not, all three central banks could be forced to raise interest rates as early as the end of the year as the effects of higher oil prices start to feed through other components of consumer prices.</w:t>
      </w:r>
    </w:p>
    <w:p>
      <w:pPr>
        <w:pStyle w:val="Heading4"/>
        <w:ind w:hanging="0" w:start="0"/>
        <w:jc w:val="both"/>
        <w:rPr/>
      </w:pPr>
      <w:r>
        <w:rPr/>
      </w:r>
    </w:p>
    <w:p>
      <w:pPr>
        <w:pStyle w:val="Heading4"/>
        <w:ind w:hanging="0" w:start="0"/>
        <w:jc w:val="both"/>
        <w:rPr/>
      </w:pPr>
      <w:r>
        <w:rPr/>
        <w:t>Introduction</w:t>
      </w:r>
    </w:p>
    <w:p>
      <w:pPr>
        <w:pStyle w:val="Normal"/>
        <w:jc w:val="both"/>
        <w:rPr/>
      </w:pPr>
      <w:r>
        <w:rPr/>
      </w:r>
    </w:p>
    <w:p>
      <w:pPr>
        <w:pStyle w:val="Normal"/>
        <w:jc w:val="both"/>
        <w:rPr/>
      </w:pPr>
      <w:r>
        <w:rPr/>
        <w:t>In order to analyze the relative strength or weakness of the UK sterling exchange rate against the US dollar, one needs to analyze not only the UK economy, but also the EU and US economies as well.  The key drivers of exchange rates are interest and growth rate differentials for developed countries.  In order to anticipate future interest rate differentials, one needs to analyze the ECB, the BOE, and the U.S. Federal Reserve (Fed).</w:t>
      </w:r>
    </w:p>
    <w:p>
      <w:pPr>
        <w:pStyle w:val="Normal"/>
        <w:jc w:val="both"/>
        <w:rPr/>
      </w:pPr>
      <w:r>
        <w:rPr/>
      </w:r>
    </w:p>
    <w:p>
      <w:pPr>
        <w:pStyle w:val="Header"/>
        <w:tabs>
          <w:tab w:val="clear" w:pos="4320"/>
          <w:tab w:val="clear" w:pos="8640"/>
        </w:tabs>
        <w:jc w:val="both"/>
        <w:rPr>
          <w:b/>
          <w:u w:val="single"/>
        </w:rPr>
      </w:pPr>
      <w:r>
        <w:rPr>
          <w:b/>
          <w:u w:val="single"/>
        </w:rPr>
        <w:t xml:space="preserve">European Central Bank (ECB) Decision </w:t>
      </w:r>
    </w:p>
    <w:p>
      <w:pPr>
        <w:pStyle w:val="Header"/>
        <w:tabs>
          <w:tab w:val="clear" w:pos="4320"/>
          <w:tab w:val="clear" w:pos="8640"/>
        </w:tabs>
        <w:jc w:val="both"/>
        <w:rPr>
          <w:b/>
          <w:u w:val="single"/>
        </w:rPr>
      </w:pPr>
      <w:r>
        <w:rPr>
          <w:b/>
          <w:u w:val="single"/>
        </w:rPr>
      </w:r>
    </w:p>
    <w:p>
      <w:pPr>
        <w:pStyle w:val="Normal"/>
        <w:jc w:val="both"/>
        <w:rPr/>
      </w:pPr>
      <w:r>
        <w:rPr/>
        <w:t>The ECB will meet tomorrow and it will meet again on September 14</w:t>
      </w:r>
      <w:r>
        <w:rPr>
          <w:vertAlign w:val="superscript"/>
        </w:rPr>
        <w:t>th</w:t>
      </w:r>
      <w:r>
        <w:rPr/>
        <w:t xml:space="preserve"> to decide the future direction of interest rates </w:t>
      </w:r>
      <w:r>
        <w:rPr>
          <w:i/>
          <w:iCs/>
          <w:color w:val="FF00FF"/>
        </w:rPr>
        <w:t>(modify, old story)</w:t>
      </w:r>
      <w:r>
        <w:rPr/>
        <w:t xml:space="preserve">.  In order to anticipate the ECB’s next move, it is necessary to analyze a number of indicators: world oil prices, inflation, money supply, GDP growth, and capacity constraints.  Two of the ECB’s major concerns now are the weak euro and inflationary pressures.  Since its launch on January 1, 1999, the euro has depreciated about 14 percent on a nominal basis against UK sterling and about 26 percent against the US dollar.  The Euro area’s 2.4 percent inflation rate in June and July 2000 exceeds the ECB inflation ceiling of 2.0 percent.  Continued higher oil prices coupled with euro weakness have caused inflation to move above the ECB’s inflation target.  A weak euro makes the price of imports (especially oil, which is priced in $US) more expensive causing import inflation.  The continued strength of Euro-zone domestic demand will allow companies to raise prices to recuperate their higher energy costs, causing consumer prices to rise further.  The ECB is also very concerned that </w:t>
      </w:r>
      <w:r>
        <w:rPr>
          <w:i/>
        </w:rPr>
        <w:t>expectations</w:t>
      </w:r>
      <w:r>
        <w:rPr/>
        <w:t xml:space="preserve"> of higher inflation may feed into wage settlements next year.  Higher wages would exacerbate already high labor costs in Europe.</w:t>
      </w:r>
    </w:p>
    <w:p>
      <w:pPr>
        <w:pStyle w:val="Header"/>
        <w:tabs>
          <w:tab w:val="clear" w:pos="4320"/>
          <w:tab w:val="clear" w:pos="8640"/>
        </w:tabs>
        <w:jc w:val="both"/>
        <w:rPr/>
      </w:pPr>
      <w:r>
        <w:rPr/>
      </w:r>
    </w:p>
    <w:p>
      <w:pPr>
        <w:pStyle w:val="Header"/>
        <w:tabs>
          <w:tab w:val="clear" w:pos="4320"/>
          <w:tab w:val="clear" w:pos="8640"/>
        </w:tabs>
        <w:jc w:val="both"/>
        <w:rPr/>
      </w:pPr>
      <w:r>
        <w:rPr/>
        <w:t>The ECB made the following statements subsequent to its latest monthly report:</w:t>
      </w:r>
    </w:p>
    <w:p>
      <w:pPr>
        <w:pStyle w:val="Header"/>
        <w:tabs>
          <w:tab w:val="clear" w:pos="4320"/>
          <w:tab w:val="clear" w:pos="8640"/>
        </w:tabs>
        <w:jc w:val="both"/>
        <w:rPr>
          <w:b/>
          <w:sz w:val="18"/>
        </w:rPr>
      </w:pPr>
      <w:r>
        <w:rPr>
          <w:b/>
          <w:sz w:val="18"/>
        </w:rPr>
      </w:r>
    </w:p>
    <w:p>
      <w:pPr>
        <w:pStyle w:val="Header"/>
        <w:tabs>
          <w:tab w:val="clear" w:pos="4320"/>
          <w:tab w:val="clear" w:pos="8640"/>
        </w:tabs>
        <w:jc w:val="both"/>
        <w:rPr>
          <w:b/>
        </w:rPr>
      </w:pPr>
      <w:r>
        <w:rPr>
          <w:b/>
        </w:rPr>
        <w:t>“</w:t>
      </w:r>
      <w:r>
        <w:rPr>
          <w:b/>
        </w:rPr>
        <w:t>Risks to price stability over the medium term continue to be on the upside”</w:t>
      </w:r>
    </w:p>
    <w:p>
      <w:pPr>
        <w:pStyle w:val="Header"/>
        <w:tabs>
          <w:tab w:val="clear" w:pos="4320"/>
          <w:tab w:val="clear" w:pos="8640"/>
        </w:tabs>
        <w:jc w:val="both"/>
        <w:rPr>
          <w:b/>
          <w:sz w:val="18"/>
        </w:rPr>
      </w:pPr>
      <w:r>
        <w:rPr>
          <w:b/>
          <w:sz w:val="18"/>
        </w:rPr>
      </w:r>
    </w:p>
    <w:p>
      <w:pPr>
        <w:pStyle w:val="Header"/>
        <w:tabs>
          <w:tab w:val="clear" w:pos="4320"/>
          <w:tab w:val="clear" w:pos="8640"/>
        </w:tabs>
        <w:jc w:val="both"/>
        <w:rPr>
          <w:b/>
        </w:rPr>
      </w:pPr>
      <w:r>
        <w:rPr>
          <w:b/>
        </w:rPr>
        <w:t>“</w:t>
      </w:r>
      <w:r>
        <w:rPr>
          <w:b/>
        </w:rPr>
        <w:t>The recent decline in the exchange rate of the euro has reinforced concerns of possible future inflationary consequences, particularly in a phase of strong economic growth.”</w:t>
      </w:r>
    </w:p>
    <w:p>
      <w:pPr>
        <w:pStyle w:val="Header"/>
        <w:tabs>
          <w:tab w:val="clear" w:pos="4320"/>
          <w:tab w:val="clear" w:pos="8640"/>
        </w:tabs>
        <w:jc w:val="both"/>
        <w:rPr>
          <w:b/>
        </w:rPr>
      </w:pPr>
      <w:r>
        <w:rPr>
          <w:b/>
        </w:rPr>
      </w:r>
    </w:p>
    <w:p>
      <w:pPr>
        <w:pStyle w:val="Header"/>
        <w:tabs>
          <w:tab w:val="clear" w:pos="4320"/>
          <w:tab w:val="clear" w:pos="8640"/>
        </w:tabs>
        <w:jc w:val="both"/>
        <w:rPr/>
      </w:pPr>
      <w:r>
        <w:rPr/>
        <w:t xml:space="preserve">According to a recent Bloomberg survey of 42 economists, 39 predict that the ECB will raise the benchmark interest rate tomorrow </w:t>
      </w:r>
      <w:r>
        <w:rPr>
          <w:i/>
          <w:iCs/>
          <w:color w:val="FF00FF"/>
        </w:rPr>
        <w:t>(modify, old story)</w:t>
      </w:r>
      <w:r>
        <w:rPr/>
        <w:t xml:space="preserve">, with the majority predicting a 25 bps increase, and possibly 50 bps, from 4.25 percent.  The ECB has raised interest rates five times in the last 10 months, from 3.0 percent in November 1999 to 4.25 percent in June 2000, yet the euro has continued to weaken vis-à-vis US dollar.  The euro remains weak largely because of the strength of the US economy, which has led to </w:t>
      </w:r>
      <w:r>
        <w:rPr>
          <w:i/>
        </w:rPr>
        <w:t>expectations</w:t>
      </w:r>
      <w:r>
        <w:rPr/>
        <w:t xml:space="preserve"> of higher US interest rates.  The large GDP growth differential between the US and Euroland allows the Fed more maneuverability than the ECB to raise interest rates (</w:t>
      </w:r>
      <w:r>
        <w:rPr>
          <w:i/>
        </w:rPr>
        <w:t>refer to Chart 1</w:t>
      </w:r>
      <w:r>
        <w:rPr/>
        <w:t xml:space="preserve">).  </w:t>
      </w:r>
      <w:r>
        <w:rPr>
          <w:b/>
        </w:rPr>
        <w:t xml:space="preserve">We expect the ECB to raise rates tomorrow by at least 25 bps and possibly another 25 bps by the end of the year to stabilize the weak currency and establish central bank credibility </w:t>
      </w:r>
      <w:r>
        <w:rPr>
          <w:i/>
          <w:iCs/>
          <w:color w:val="FF00FF"/>
        </w:rPr>
        <w:t>(modify, old story, repetitions)</w:t>
      </w:r>
      <w:r>
        <w:rPr>
          <w:b/>
        </w:rPr>
        <w:t>.</w:t>
      </w:r>
    </w:p>
    <w:p>
      <w:pPr>
        <w:pStyle w:val="Header"/>
        <w:tabs>
          <w:tab w:val="clear" w:pos="4320"/>
          <w:tab w:val="clear" w:pos="8640"/>
        </w:tabs>
        <w:jc w:val="both"/>
        <w:rPr>
          <w:b/>
        </w:rPr>
      </w:pPr>
      <w:r>
        <w:rPr>
          <w:b/>
        </w:rPr>
      </w:r>
    </w:p>
    <w:p>
      <w:pPr>
        <w:pStyle w:val="Header"/>
        <w:tabs>
          <w:tab w:val="clear" w:pos="4320"/>
          <w:tab w:val="clear" w:pos="8640"/>
        </w:tabs>
        <w:jc w:val="both"/>
        <w:rPr>
          <w:b/>
          <w:u w:val="single"/>
        </w:rPr>
      </w:pPr>
      <w:r>
        <w:rPr>
          <w:b/>
          <w:u w:val="single"/>
        </w:rPr>
        <w:t>Bank of England (BOE) Decision</w:t>
      </w:r>
    </w:p>
    <w:p>
      <w:pPr>
        <w:pStyle w:val="Normal"/>
        <w:jc w:val="both"/>
        <w:rPr>
          <w:b/>
          <w:u w:val="single"/>
        </w:rPr>
      </w:pPr>
      <w:r>
        <w:rPr>
          <w:b/>
          <w:u w:val="single"/>
        </w:rPr>
      </w:r>
    </w:p>
    <w:p>
      <w:pPr>
        <w:pStyle w:val="Header"/>
        <w:tabs>
          <w:tab w:val="clear" w:pos="4320"/>
          <w:tab w:val="clear" w:pos="8640"/>
        </w:tabs>
        <w:jc w:val="both"/>
        <w:rPr/>
      </w:pPr>
      <w:r>
        <w:rPr/>
        <w:t>The BOE’s MPC will meet on September 7</w:t>
      </w:r>
      <w:r>
        <w:rPr>
          <w:vertAlign w:val="superscript"/>
        </w:rPr>
        <w:t>th</w:t>
      </w:r>
      <w:r>
        <w:rPr/>
        <w:t xml:space="preserve"> to decide the appropriate monetary stance for the U.K.  The minutes of the last MPC meeting held on August 2-3 revealed a 5-to-4 split with the Governor of the BOE using his tie-breaking vote to keep interest rates on hold.  The four dissenting members voted for a 25 bps hike because there appeared to be little evidence to suggest a significant slowdown in economic growth, especially in a tight labor market, which would continue to fuel strong domestic demand.  In addition, higher oil prices have put upward pressure on UK manufacturers input prices, and the current monetary stance is unlikely to be sufficient to guarantee meeting the government’s inflation target (RPIX-retail prices excluding mortgage interest payments) of 2.5 percent.</w:t>
      </w:r>
    </w:p>
    <w:p>
      <w:pPr>
        <w:pStyle w:val="Header"/>
        <w:tabs>
          <w:tab w:val="clear" w:pos="4320"/>
          <w:tab w:val="clear" w:pos="8640"/>
        </w:tabs>
        <w:jc w:val="both"/>
        <w:rPr/>
      </w:pPr>
      <w:r>
        <w:rPr/>
      </w:r>
    </w:p>
    <w:p>
      <w:pPr>
        <w:pStyle w:val="Normal"/>
        <w:jc w:val="both"/>
        <w:rPr/>
      </w:pPr>
      <w:r>
        <w:rPr/>
        <w:t xml:space="preserve">The euro’s weakness or sterling’s strength has complicated policy decisions of the BOE’s MPC.  The weakness of the Euro vis-à-vis pound sterling has reduced the UK’s competitiveness.  Some policy makers believe that if the Committee attempts to slow strong domestic demand by raising interest rates this will only exacerbate the strong sterling problem by further appreciating sterling and put downward pressure on output and inflation.  The already weak manufacturing sector would take the brunt of the increase in interest rates.  Japanese manufacturers located in the UK are already pressuring the UK government and are threatening to relocate their operations to the European Continent. </w:t>
      </w:r>
    </w:p>
    <w:p>
      <w:pPr>
        <w:pStyle w:val="Header"/>
        <w:tabs>
          <w:tab w:val="clear" w:pos="4320"/>
          <w:tab w:val="clear" w:pos="8640"/>
        </w:tabs>
        <w:jc w:val="both"/>
        <w:rPr/>
      </w:pPr>
      <w:r>
        <w:rPr/>
      </w:r>
    </w:p>
    <w:p>
      <w:pPr>
        <w:pStyle w:val="Header"/>
        <w:tabs>
          <w:tab w:val="clear" w:pos="4320"/>
          <w:tab w:val="clear" w:pos="8640"/>
        </w:tabs>
        <w:jc w:val="both"/>
        <w:rPr/>
      </w:pPr>
      <w:r>
        <w:rPr/>
        <w:t>Most analysts believe interest rates in the UK have peaked and there are some signs to suggest that the UK economy is no longer heating up. Several macroeconomic indicators show some moderation of economic activity, including slow growth in retail sales and wages.  The MPC has increased interest rates by 100 bps since September 1999, with the key question being whether these past increases are sufficient to moderate economic activity to a non-inflationary growth path. Surging housing prices, which had MPC members worried, have decelerated faster than expected, and domestic equity prices have also fallen since the beginning of the year (</w:t>
      </w:r>
      <w:r>
        <w:rPr>
          <w:i/>
        </w:rPr>
        <w:t>refer to Chart 2</w:t>
      </w:r>
      <w:r>
        <w:rPr/>
        <w:t xml:space="preserve">).  Therefore, wealth </w:t>
      </w:r>
      <w:r>
        <w:rPr>
          <w:i/>
          <w:iCs/>
          <w:color w:val="FF00FF"/>
        </w:rPr>
        <w:t xml:space="preserve">(what is wealth?) </w:t>
      </w:r>
      <w:r>
        <w:rPr/>
        <w:t>is no longer rising at a rapid pace.  The level of wealth is still high, however, and household borrowing remains strong.</w:t>
      </w:r>
    </w:p>
    <w:p>
      <w:pPr>
        <w:pStyle w:val="Header"/>
        <w:tabs>
          <w:tab w:val="clear" w:pos="4320"/>
          <w:tab w:val="clear" w:pos="8640"/>
        </w:tabs>
        <w:jc w:val="both"/>
        <w:rPr/>
      </w:pPr>
      <w:r>
        <w:rPr/>
      </w:r>
    </w:p>
    <w:p>
      <w:pPr>
        <w:pStyle w:val="Header"/>
        <w:tabs>
          <w:tab w:val="clear" w:pos="4320"/>
          <w:tab w:val="clear" w:pos="8640"/>
        </w:tabs>
        <w:jc w:val="both"/>
        <w:rPr/>
      </w:pPr>
      <w:r>
        <w:rPr/>
        <w:t xml:space="preserve">The BOE published an inflation report, which was released after the early August MPC meeting.  For the first time since the MPC was given responsibility of controlling interest rates in June 1998, it has produced a forecast for inflation, which indicates that not only will inflation exceed the MPC target, but also inflation will be above its target for an entire year.  Past expectations of an upside risk of hitting the inflation target has caused the MPC to increase interest rates.  It is clear that the MPC has moved away from its preemptive stance.  In a recent Bloomberg survey, 15 of 22 economists expect the UK base rate to hold at 6.0 percent while 7 economists forecast that the BOE will raise rates 25 bps to 6.25 percent at the September meeting.  </w:t>
      </w:r>
      <w:r>
        <w:rPr>
          <w:b/>
        </w:rPr>
        <w:t>We expect the MPC to</w:t>
      </w:r>
      <w:r>
        <w:rPr/>
        <w:t xml:space="preserve"> </w:t>
      </w:r>
      <w:r>
        <w:rPr>
          <w:b/>
        </w:rPr>
        <w:t>hold interest rates steady at 6.0 percent in September</w:t>
      </w:r>
      <w:r>
        <w:rPr>
          <w:i/>
          <w:iCs/>
          <w:color w:val="FF00FF"/>
        </w:rPr>
        <w:t>(modify, old story)</w:t>
      </w:r>
      <w:r>
        <w:rPr>
          <w:b/>
        </w:rPr>
        <w:t>.</w:t>
      </w:r>
    </w:p>
    <w:p>
      <w:pPr>
        <w:pStyle w:val="Header"/>
        <w:tabs>
          <w:tab w:val="clear" w:pos="4320"/>
          <w:tab w:val="clear" w:pos="8640"/>
        </w:tabs>
        <w:jc w:val="both"/>
        <w:rPr>
          <w:b/>
        </w:rPr>
      </w:pPr>
      <w:r>
        <w:rPr>
          <w:b/>
        </w:rPr>
      </w:r>
    </w:p>
    <w:p>
      <w:pPr>
        <w:pStyle w:val="Header"/>
        <w:tabs>
          <w:tab w:val="clear" w:pos="4320"/>
          <w:tab w:val="clear" w:pos="8640"/>
        </w:tabs>
        <w:jc w:val="both"/>
        <w:rPr>
          <w:b/>
          <w:u w:val="single"/>
        </w:rPr>
      </w:pPr>
      <w:r>
        <w:rPr>
          <w:b/>
          <w:u w:val="single"/>
        </w:rPr>
        <w:t>U.S. Federal Reserve (Fed) Decision</w:t>
      </w:r>
    </w:p>
    <w:p>
      <w:pPr>
        <w:pStyle w:val="Normal"/>
        <w:jc w:val="both"/>
        <w:rPr>
          <w:b/>
          <w:u w:val="single"/>
        </w:rPr>
      </w:pPr>
      <w:r>
        <w:rPr>
          <w:b/>
          <w:u w:val="single"/>
        </w:rPr>
      </w:r>
    </w:p>
    <w:p>
      <w:pPr>
        <w:pStyle w:val="Normal"/>
        <w:jc w:val="both"/>
        <w:rPr/>
      </w:pPr>
      <w:r>
        <w:rPr/>
        <w:t>The Fed decided to leave interest rates unchanged at 6.5 percent at its August 22</w:t>
      </w:r>
      <w:r>
        <w:rPr>
          <w:vertAlign w:val="superscript"/>
        </w:rPr>
        <w:t>nd</w:t>
      </w:r>
      <w:r>
        <w:rPr/>
        <w:t xml:space="preserve"> Federal Open Market Committee (FOMC) meeting on indications of rapid productivity advances and signs that the growth in aggregate demand is moderating toward a pace closer to the rate of growth of the economy’s potential to produce.  The Committee remains concerned about the combination of tight labor markets and the persistent gap between growth of demand and potential supply.  The FOMC believes that the risks are still weighted toward conditions that may generate heightened inflationary pressures in the future.  The Fed will meet again throughout the fall to decide on interest rates.  </w:t>
      </w:r>
      <w:r>
        <w:rPr>
          <w:b/>
        </w:rPr>
        <w:t>We expect the Fed to hold rates at the present level of 6.5 percent due to a moderation of demand growth in interest rate-sensitive sectors of the U.S. economy and the proximity of the presidential elections.</w:t>
      </w:r>
    </w:p>
    <w:p>
      <w:pPr>
        <w:pStyle w:val="Header"/>
        <w:tabs>
          <w:tab w:val="clear" w:pos="4320"/>
          <w:tab w:val="clear" w:pos="8640"/>
        </w:tabs>
        <w:jc w:val="both"/>
        <w:rPr>
          <w:b/>
        </w:rPr>
      </w:pPr>
      <w:r>
        <w:rPr>
          <w:b/>
        </w:rPr>
      </w:r>
    </w:p>
    <w:p>
      <w:pPr>
        <w:pStyle w:val="Header"/>
        <w:tabs>
          <w:tab w:val="clear" w:pos="4320"/>
          <w:tab w:val="clear" w:pos="8640"/>
        </w:tabs>
        <w:jc w:val="both"/>
        <w:rPr>
          <w:b/>
        </w:rPr>
      </w:pPr>
      <w:r>
        <w:rPr>
          <w:b/>
          <w:u w:val="single"/>
        </w:rPr>
        <w:t xml:space="preserve">Narrowing Investor’s Premium Puts Pressure on Sterling </w:t>
      </w:r>
    </w:p>
    <w:p>
      <w:pPr>
        <w:pStyle w:val="Header"/>
        <w:tabs>
          <w:tab w:val="clear" w:pos="4320"/>
          <w:tab w:val="clear" w:pos="8640"/>
        </w:tabs>
        <w:jc w:val="both"/>
        <w:rPr>
          <w:b/>
        </w:rPr>
      </w:pPr>
      <w:r>
        <w:rPr>
          <w:b/>
        </w:rPr>
      </w:r>
    </w:p>
    <w:p>
      <w:pPr>
        <w:pStyle w:val="Header"/>
        <w:tabs>
          <w:tab w:val="clear" w:pos="4320"/>
          <w:tab w:val="clear" w:pos="8640"/>
        </w:tabs>
        <w:jc w:val="both"/>
        <w:rPr/>
      </w:pPr>
      <w:r>
        <w:rPr/>
        <w:t>While the Fed has raised interest rates by 150 bps since June 1999, the investor’s premium of US interest rates over those of euro- and pound sterling-denominated assets has widened (</w:t>
      </w:r>
      <w:r>
        <w:rPr>
          <w:i/>
        </w:rPr>
        <w:t>refer to Charts 3 &amp; 4</w:t>
      </w:r>
      <w:r>
        <w:rPr/>
        <w:t>).  Higher US interest rates and a stronger US economy make US dollar-denominated assets more attractive than euro- and sterling assets</w:t>
      </w:r>
      <w:r>
        <w:rPr>
          <w:color w:val="000000"/>
        </w:rPr>
        <w:t xml:space="preserve">.  As the return on US dollar assets rises, the demand for US dollars increases, </w:t>
      </w:r>
      <w:r>
        <w:rPr>
          <w:i/>
          <w:iCs/>
          <w:color w:val="FF00FF"/>
        </w:rPr>
        <w:t xml:space="preserve">causing </w:t>
      </w:r>
      <w:r>
        <w:rPr>
          <w:color w:val="FF00FF"/>
        </w:rPr>
        <w:t xml:space="preserve">appreciation of </w:t>
      </w:r>
      <w:r>
        <w:rPr>
          <w:color w:val="000000"/>
        </w:rPr>
        <w:t>the US dollar.</w:t>
      </w:r>
      <w:r>
        <w:rPr/>
        <w:t xml:space="preserve">  Since the first Fed rate hike in June 1999, the dollar has appreciated by 8.3 percent relative to the pound sterling and by nearly 16 percent relative to the euro.  U.S. GDP growth at 6 percent in the second quarter is significantly stronger than </w:t>
      </w:r>
      <w:r>
        <w:rPr>
          <w:color w:val="FF00FF"/>
        </w:rPr>
        <w:t>European Union</w:t>
      </w:r>
      <w:r>
        <w:rPr/>
        <w:t xml:space="preserve"> and the UK, which both grew just above 3 percent over the same period (</w:t>
      </w:r>
      <w:r>
        <w:rPr>
          <w:i/>
        </w:rPr>
        <w:t>see chart 1</w:t>
      </w:r>
      <w:r>
        <w:rPr/>
        <w:t xml:space="preserve">).  The 3 percent GDP growth differential gives the Fed much more maneuverability to raise rates than either the ECB or the BOE.  </w:t>
      </w:r>
    </w:p>
    <w:p>
      <w:pPr>
        <w:pStyle w:val="Header"/>
        <w:tabs>
          <w:tab w:val="clear" w:pos="4320"/>
          <w:tab w:val="clear" w:pos="8640"/>
        </w:tabs>
        <w:jc w:val="both"/>
        <w:rPr/>
      </w:pPr>
      <w:r>
        <w:rPr/>
      </w:r>
    </w:p>
    <w:p>
      <w:pPr>
        <w:pStyle w:val="Header"/>
        <w:tabs>
          <w:tab w:val="clear" w:pos="4320"/>
          <w:tab w:val="clear" w:pos="8640"/>
        </w:tabs>
        <w:jc w:val="both"/>
        <w:rPr/>
      </w:pPr>
      <w:r>
        <w:rPr/>
        <w:t xml:space="preserve">Because of the strong pound vis-à-vis the euro, UK manufacturers have lost substantial competitiveness.  Although sterling has depreciated 3.8 percent versus the euro and 6.6 percent against the US dollar since May 2000, the BOE’s MPC may still be trigger shy, waiting for the ECB to make the next increase in interest rates.  </w:t>
      </w:r>
      <w:r>
        <w:rPr>
          <w:b/>
        </w:rPr>
        <w:t xml:space="preserve">If the ECB increases interest rates by 25 to 50 bps between August 31, 2000 and/or the September 14 meetings </w:t>
      </w:r>
      <w:r>
        <w:rPr>
          <w:i/>
          <w:iCs/>
          <w:color w:val="FF00FF"/>
        </w:rPr>
        <w:t>(modify, old story)</w:t>
      </w:r>
      <w:r>
        <w:rPr>
          <w:b/>
        </w:rPr>
        <w:t xml:space="preserve">, this gives the BOE more maneuverability to increase interest rates without further erosion in competitiveness. Even though the BOE’s MPC will gain some breathing room if the ECB raises </w:t>
      </w:r>
      <w:r>
        <w:rPr>
          <w:i/>
          <w:iCs/>
          <w:color w:val="FF00FF"/>
        </w:rPr>
        <w:t>(what?)</w:t>
      </w:r>
      <w:r>
        <w:rPr>
          <w:b/>
        </w:rPr>
        <w:t>, the BOE is likely to remain on hold until after the Fed October meeting.  This will cause further weakness in sterling in the near term. The Fed will not raise interest rates on October 3, in anticipation of the November US presidential elections.</w:t>
      </w:r>
    </w:p>
    <w:p>
      <w:pPr>
        <w:pStyle w:val="Header"/>
        <w:tabs>
          <w:tab w:val="clear" w:pos="4320"/>
          <w:tab w:val="clear" w:pos="8640"/>
        </w:tabs>
        <w:jc w:val="both"/>
        <w:rPr/>
      </w:pPr>
      <w:r>
        <w:rPr/>
      </w:r>
    </w:p>
    <w:p>
      <w:pPr>
        <w:pStyle w:val="Header"/>
        <w:tabs>
          <w:tab w:val="clear" w:pos="4320"/>
          <w:tab w:val="clear" w:pos="8640"/>
        </w:tabs>
        <w:jc w:val="both"/>
        <w:rPr/>
      </w:pPr>
      <w:r>
        <w:rPr/>
        <w:t>This scenario supports the outlook of a weaker pound as the investor’s premium will continue to favor the US dollar in the near-term.  Since the pound fell out of the European Exchange Rate Mechanism (ERM) in 1992, it has been range bound between $1.70-$1.50 per pound sterling.  Sterling has now broken out of this range, which had been stable over the past seven years.  Sterling breached this important floor and hit a bottom of $1.443 overnight on August 30</w:t>
      </w:r>
      <w:r>
        <w:rPr>
          <w:vertAlign w:val="superscript"/>
        </w:rPr>
        <w:t xml:space="preserve">th </w:t>
      </w:r>
      <w:r>
        <w:rPr>
          <w:i/>
          <w:iCs/>
          <w:color w:val="FF00FF"/>
        </w:rPr>
        <w:t>(modify, old story)</w:t>
      </w:r>
      <w:r>
        <w:rPr/>
        <w:t>.  It’s weakness is related to an expected ECB rate hike</w:t>
      </w:r>
      <w:r>
        <w:rPr>
          <w:i/>
          <w:iCs/>
          <w:color w:val="FF00FF"/>
        </w:rPr>
        <w:t>(modify, old story)</w:t>
      </w:r>
      <w:r>
        <w:rPr/>
        <w:t>.  The short-term sterling-euro and sterling-dollar interest rate differentials have been narrowing since late 1998 (</w:t>
      </w:r>
      <w:r>
        <w:rPr>
          <w:i/>
        </w:rPr>
        <w:t>see Charts 3, 4 and 5</w:t>
      </w:r>
      <w:r>
        <w:rPr/>
        <w:t xml:space="preserve">).  Higher oil prices only exacerbate the situation.  Because oil is priced internationally in US dollars, it makes the fight against inflation more difficult for the BOE and the ECB.  </w:t>
      </w:r>
      <w:r>
        <w:rPr>
          <w:b/>
        </w:rPr>
        <w:t>More likely than not, all three central banks will be forced to raise interest rates before the end of the year as the effects of higher oil prices start to feed through other components of consumer prices.  With the BOE at the top of its interest rate cycle, and with both the Fed and the ECB having more upward maneuverability, sterling will continue to weaken towards the low $1.40’s.</w:t>
      </w:r>
      <w:r>
        <w:rPr/>
        <w:t xml:space="preserve">  </w:t>
      </w:r>
      <w:r>
        <w:rPr>
          <w:b/>
        </w:rPr>
        <w:t>The new trading range will be between $1.52-1.42 over the next six months.  The BOE will allow the pound to weaken to regain some of the loss competitiveness and support the manufacturing and export sectors, which will take pressure off the UK government.</w:t>
      </w:r>
      <w:r>
        <w:rPr/>
        <w:t xml:space="preserve"> </w:t>
      </w:r>
      <w:r>
        <w:br w:type="page"/>
      </w:r>
    </w:p>
    <w:p>
      <w:pPr>
        <w:pStyle w:val="Header"/>
        <w:tabs>
          <w:tab w:val="clear" w:pos="4320"/>
          <w:tab w:val="clear" w:pos="8640"/>
        </w:tabs>
        <w:jc w:val="center"/>
        <w:rPr>
          <w:i/>
          <w:i/>
        </w:rPr>
      </w:pPr>
      <w:r>
        <w:rPr>
          <w:i/>
        </w:rPr>
        <w:t xml:space="preserve"> </w:t>
      </w:r>
      <w:r>
        <w:rPr>
          <w:i/>
        </w:rPr>
        <w:t>Charts</w:t>
      </w:r>
    </w:p>
    <w:p>
      <w:pPr>
        <w:pStyle w:val="Header"/>
        <w:tabs>
          <w:tab w:val="clear" w:pos="4320"/>
          <w:tab w:val="clear" w:pos="8640"/>
        </w:tabs>
        <w:rPr>
          <w:i/>
          <w:i/>
          <w:lang w:val="en-CA" w:eastAsia="en-CA"/>
        </w:rPr>
      </w:pPr>
      <w:r>
        <w:rPr>
          <w:i/>
          <w:lang w:val="en-CA" w:eastAsia="en-CA"/>
        </w:rPr>
        <w:object w:dxaOrig="7681" w:dyaOrig="46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36.6pt;width:367.9pt;height:228pt;mso-wrap-distance-left:9.05pt;mso-wrap-distance-right:9.05pt;mso-position-horizontal-relative:text;mso-position-vertical-relative:text" filled="f" o:ole="">
            <v:imagedata r:id="rId3" o:title=""/>
            <w10:wrap type="topAndBottom"/>
          </v:shape>
          <o:OLEObject Type="Embed" ProgID="Excel.Sheet.12" ShapeID="ole_rId2" DrawAspect="Content" ObjectID="_1344580888" r:id="rId2"/>
        </w:object>
      </w:r>
    </w:p>
    <w:p>
      <w:pPr>
        <w:pStyle w:val="Header"/>
        <w:tabs>
          <w:tab w:val="clear" w:pos="4320"/>
          <w:tab w:val="clear" w:pos="8640"/>
        </w:tabs>
        <w:rPr>
          <w:i/>
          <w:i/>
        </w:rPr>
      </w:pPr>
      <w:r>
        <w:rPr>
          <w:i/>
        </w:rPr>
      </w:r>
    </w:p>
    <w:p>
      <w:pPr>
        <w:pStyle w:val="Header"/>
        <w:numPr>
          <w:ilvl w:val="0"/>
          <w:numId w:val="0"/>
        </w:numPr>
        <w:tabs>
          <w:tab w:val="clear" w:pos="4320"/>
          <w:tab w:val="clear" w:pos="8640"/>
        </w:tabs>
        <w:rPr/>
      </w:pPr>
      <w:r>
        <w:rPr/>
        <w:object w:dxaOrig="7681" w:dyaOrig="460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9.6pt;margin-top:268.2pt;width:368.6pt;height:228pt;mso-wrap-distance-left:9.05pt;mso-wrap-distance-right:9.05pt;mso-position-horizontal-relative:text;mso-position-vertical-relative:text" filled="f" o:ole="">
            <v:imagedata r:id="rId5" o:title=""/>
            <w10:wrap type="topAndBottom"/>
          </v:shape>
          <o:OLEObject Type="Embed" ProgID="Excel.Sheet.12" ShapeID="ole_rId4" DrawAspect="Content" ObjectID="_1104954652" r:id="rId4"/>
        </w:object>
      </w:r>
      <w:r>
        <w:br w:type="page"/>
      </w:r>
    </w:p>
    <w:p>
      <w:pPr>
        <w:pStyle w:val="Header"/>
        <w:tabs>
          <w:tab w:val="clear" w:pos="4320"/>
          <w:tab w:val="clear" w:pos="8640"/>
        </w:tabs>
        <w:rPr/>
      </w:pPr>
      <w:r>
        <w:rPr/>
      </w:r>
    </w:p>
    <w:p>
      <w:pPr>
        <w:pStyle w:val="Header"/>
        <w:tabs>
          <w:tab w:val="clear" w:pos="4320"/>
          <w:tab w:val="clear" w:pos="8640"/>
        </w:tabs>
        <w:rPr/>
      </w:pPr>
      <w:r>
        <w:rPr/>
        <w:object w:dxaOrig="8960" w:dyaOrig="563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2.4pt;margin-top:-13.8pt;width:360pt;height:216pt;mso-wrap-distance-left:9.05pt;mso-wrap-distance-right:9.05pt;mso-position-horizontal-relative:text;mso-position-vertical-relative:text" filled="f" o:ole="">
            <v:imagedata r:id="rId7" o:title=""/>
            <w10:wrap type="topAndBottom"/>
          </v:shape>
          <o:OLEObject Type="Embed" ProgID="Excel.Sheet.12" ShapeID="ole_rId6" DrawAspect="Content" ObjectID="_1940353973" r:id="rId6"/>
        </w:object>
        <w:object w:dxaOrig="8960" w:dyaOrig="563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2.4pt;margin-top:432.6pt;width:360.15pt;height:201.8pt;mso-wrap-distance-left:9.05pt;mso-wrap-distance-right:9.05pt;mso-position-horizontal-relative:text;mso-position-vertical-relative:text" filled="f" o:ole="">
            <v:imagedata r:id="rId9" o:title=""/>
            <w10:wrap type="topAndBottom"/>
          </v:shape>
          <o:OLEObject Type="Embed" ProgID="Excel.Sheet.12" ShapeID="ole_rId8" DrawAspect="Content" ObjectID="_560349079" r:id="rId8"/>
        </w:object>
        <w:object w:dxaOrig="8960" w:dyaOrig="563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2.4pt;margin-top:209.4pt;width:357.55pt;height:212.4pt;mso-wrap-distance-left:9.05pt;mso-wrap-distance-right:9.05pt;mso-position-horizontal-relative:text;mso-position-vertical-relative:text" filled="f" o:ole="">
            <v:imagedata r:id="rId11" o:title=""/>
            <w10:wrap type="topAndBottom"/>
          </v:shape>
          <o:OLEObject Type="Embed" ProgID="Excel.Sheet.12" ShapeID="ole_rId10" DrawAspect="Content" ObjectID="_1919934586" r:id="rId10"/>
        </w:object>
      </w:r>
    </w:p>
    <w:sectPr>
      <w:headerReference w:type="default" r:id="rId12"/>
      <w:footerReference w:type="defaul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7</w:t>
    </w:r>
    <w:r>
      <w:rPr>
        <w:rStyle w:val="PageNumber"/>
        <w:sz w:val="20"/>
      </w:rPr>
      <w:fldChar w:fldCharType="end"/>
    </w:r>
    <w:r>
      <w:rPr>
        <w:rStyle w:val="PageNumber"/>
        <w:sz w:val="20"/>
      </w:rPr>
      <w:tab/>
      <w:tab/>
      <w:t>August 30, 2000</w:t>
    </w:r>
  </w:p>
  <w:p>
    <w:pPr>
      <w:pStyle w:val="Footer"/>
      <w:rPr/>
    </w:pPr>
    <w:r>
      <w:rPr>
        <w:rStyle w:val="PageNumber"/>
        <w:sz w:val="20"/>
      </w:rPr>
      <w:t xml:space="preserve">Prepared by Maureen Raymond-Castañeda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u w:val="single"/>
      </w:rPr>
    </w:pPr>
    <w:r>
      <w:rPr>
        <w:b/>
        <w:color w:val="000000"/>
        <w:u w:val="single"/>
      </w:rPr>
      <w:t>Technical Corner</w:t>
    </w:r>
  </w:p>
  <w:p>
    <w:pPr>
      <w:pStyle w:val="Header"/>
      <w:jc w:val="center"/>
      <w:rPr>
        <w:b/>
        <w:color w:val="000000"/>
        <w:u w:val="single"/>
      </w:rPr>
    </w:pPr>
    <w:r>
      <w:rPr>
        <w:b/>
        <w:color w:val="000000"/>
        <w:u w:val="single"/>
      </w:rPr>
      <w:t>Country Risk Analysis Case Study - British Pound Sterling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jc w:val="center"/>
      <w:outlineLvl w:val="1"/>
    </w:pPr>
    <w:rPr>
      <w:i/>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u w:val="single"/>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2000-08-31T19:25:00Z</dcterms:created>
  <dc:creator>gkoepke</dc:creator>
  <dc:description/>
  <dc:language>en-CA</dc:language>
  <cp:lastModifiedBy>Vince Kaminski</cp:lastModifiedBy>
  <cp:lastPrinted>2000-08-31T10:28:00Z</cp:lastPrinted>
  <dcterms:modified xsi:type="dcterms:W3CDTF">2000-09-17T18:32:00Z</dcterms:modified>
  <cp:revision>5</cp:revision>
  <dc:subject/>
  <dc:title>$ per GBP Forecasts</dc:title>
</cp:coreProperties>
</file>