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4"/>
        </w:rPr>
      </w:pPr>
      <w:r>
        <w:rPr>
          <w:sz w:val="24"/>
        </w:rPr>
        <w:t xml:space="preserve">Gas Accord II Data Book </w:t>
      </w:r>
    </w:p>
    <w:p>
      <w:pPr>
        <w:pStyle w:val="Heading1"/>
        <w:ind w:hanging="0" w:start="0"/>
        <w:jc w:val="center"/>
        <w:rPr>
          <w:sz w:val="24"/>
        </w:rPr>
      </w:pPr>
      <w:r>
        <w:rPr>
          <w:sz w:val="24"/>
        </w:rPr>
        <w:t>FOLLOW-UP TO OCTOBER 11, 2000 WORKSHOP</w:t>
      </w:r>
    </w:p>
    <w:p>
      <w:pPr>
        <w:pStyle w:val="Heading1"/>
        <w:ind w:hanging="0" w:start="0"/>
        <w:jc w:val="center"/>
        <w:rPr>
          <w:sz w:val="24"/>
        </w:rPr>
      </w:pPr>
      <w:r>
        <w:rPr>
          <w:sz w:val="24"/>
        </w:rPr>
        <w:t>QUESTIONS and ANSWERS</w:t>
      </w:r>
    </w:p>
    <w:p>
      <w:pPr>
        <w:pStyle w:val="Normal"/>
        <w:rPr>
          <w:sz w:val="24"/>
        </w:rPr>
      </w:pPr>
      <w:r>
        <w:rPr>
          <w:sz w:val="24"/>
        </w:rPr>
      </w:r>
    </w:p>
    <w:p>
      <w:pPr>
        <w:pStyle w:val="Normal"/>
        <w:rPr>
          <w:sz w:val="24"/>
        </w:rPr>
      </w:pPr>
      <w:r>
        <w:rPr>
          <w:sz w:val="24"/>
        </w:rPr>
      </w:r>
    </w:p>
    <w:p>
      <w:pPr>
        <w:pStyle w:val="Heading1"/>
        <w:ind w:hanging="0" w:start="0"/>
        <w:rPr>
          <w:i/>
          <w:i/>
          <w:sz w:val="24"/>
        </w:rPr>
      </w:pPr>
      <w:r>
        <w:rPr>
          <w:i/>
          <w:sz w:val="24"/>
        </w:rPr>
        <w:t>Item 1 – Firm Capacity Sold by Path</w:t>
      </w:r>
    </w:p>
    <w:p>
      <w:pPr>
        <w:pStyle w:val="BodyText"/>
        <w:spacing w:before="60" w:after="120"/>
        <w:ind w:hanging="432" w:start="432" w:end="0"/>
        <w:rPr>
          <w:sz w:val="24"/>
        </w:rPr>
      </w:pPr>
      <w:r>
        <w:rPr>
          <w:sz w:val="24"/>
        </w:rPr>
        <w:t>Q.</w:t>
        <w:tab/>
        <w:t>What are the (annual) firm capacities for the three paths?</w:t>
      </w:r>
    </w:p>
    <w:p>
      <w:pPr>
        <w:pStyle w:val="BodyText"/>
        <w:spacing w:before="60" w:after="120"/>
        <w:ind w:hanging="432" w:start="432" w:end="0"/>
        <w:rPr>
          <w:sz w:val="24"/>
        </w:rPr>
      </w:pPr>
      <w:r>
        <w:rPr>
          <w:sz w:val="24"/>
        </w:rPr>
        <w:t>A.</w:t>
        <w:tab/>
        <w:t>From the Gas Accord Settlement Agreement, page 17:</w:t>
      </w:r>
    </w:p>
    <w:p>
      <w:pPr>
        <w:pStyle w:val="Normal"/>
        <w:tabs>
          <w:tab w:val="clear" w:pos="720"/>
          <w:tab w:val="right" w:pos="4770" w:leader="none"/>
          <w:tab w:val="right" w:pos="6930" w:leader="none"/>
        </w:tabs>
        <w:ind w:firstLine="720" w:end="0"/>
        <w:rPr>
          <w:sz w:val="24"/>
        </w:rPr>
      </w:pPr>
      <w:r>
        <w:rPr>
          <w:sz w:val="24"/>
        </w:rPr>
        <w:t xml:space="preserve">Redwood (Malin): </w:t>
        <w:tab/>
        <w:t>1830 Dth/d</w:t>
        <w:tab/>
        <w:t>1803 MMcf/d</w:t>
      </w:r>
    </w:p>
    <w:p>
      <w:pPr>
        <w:pStyle w:val="Normal"/>
        <w:tabs>
          <w:tab w:val="clear" w:pos="720"/>
          <w:tab w:val="right" w:pos="4770" w:leader="none"/>
          <w:tab w:val="right" w:pos="6930" w:leader="none"/>
        </w:tabs>
        <w:ind w:firstLine="720" w:end="0"/>
        <w:rPr>
          <w:i/>
          <w:i/>
          <w:sz w:val="24"/>
        </w:rPr>
      </w:pPr>
      <w:r>
        <w:rPr>
          <w:sz w:val="24"/>
        </w:rPr>
        <w:t>Topock (Baja):</w:t>
        <w:tab/>
        <w:t>1174 Dth/d</w:t>
        <w:tab/>
        <w:t>1140 MMcf/d</w:t>
      </w:r>
    </w:p>
    <w:p>
      <w:pPr>
        <w:pStyle w:val="Heading3"/>
        <w:tabs>
          <w:tab w:val="clear" w:pos="7830"/>
          <w:tab w:val="right" w:pos="4770" w:leader="none"/>
          <w:tab w:val="right" w:pos="6930" w:leader="none"/>
        </w:tabs>
        <w:rPr>
          <w:sz w:val="24"/>
        </w:rPr>
      </w:pPr>
      <w:r>
        <w:rPr>
          <w:sz w:val="24"/>
        </w:rPr>
        <w:t>California (Silverado)</w:t>
        <w:tab/>
        <w:t>192 Dth/d</w:t>
        <w:tab/>
        <w:t>200 MMcf/d</w:t>
      </w:r>
    </w:p>
    <w:p>
      <w:pPr>
        <w:pStyle w:val="Normal"/>
        <w:ind w:firstLine="720" w:end="0"/>
        <w:rPr>
          <w:sz w:val="24"/>
        </w:rPr>
      </w:pPr>
      <w:r>
        <w:rPr>
          <w:sz w:val="24"/>
        </w:rPr>
      </w:r>
    </w:p>
    <w:p>
      <w:pPr>
        <w:pStyle w:val="BodyTextIndent"/>
        <w:rPr>
          <w:sz w:val="24"/>
        </w:rPr>
      </w:pPr>
      <w:r>
        <w:rPr>
          <w:sz w:val="24"/>
        </w:rPr>
        <w:t>Also, these firm capacities are receipt point capacities, which would have to be reduced by the relevant shrinkage to establish delivered volumes.</w:t>
      </w:r>
    </w:p>
    <w:p>
      <w:pPr>
        <w:pStyle w:val="Heading2"/>
        <w:ind w:hanging="0" w:start="0"/>
        <w:rPr>
          <w:rFonts w:ascii="Times New Roman" w:hAnsi="Times New Roman" w:cs="Times New Roman"/>
        </w:rPr>
      </w:pPr>
      <w:r>
        <w:rPr>
          <w:rFonts w:cs="Times New Roman" w:ascii="Times New Roman" w:hAnsi="Times New Roman"/>
        </w:rPr>
        <w:t>Item 3 – Daily Transport Flow by Path</w:t>
      </w:r>
    </w:p>
    <w:p>
      <w:pPr>
        <w:pStyle w:val="BodyText"/>
        <w:spacing w:before="60" w:after="120"/>
        <w:ind w:hanging="432" w:start="432" w:end="0"/>
        <w:rPr>
          <w:sz w:val="24"/>
        </w:rPr>
      </w:pPr>
      <w:r>
        <w:rPr>
          <w:sz w:val="24"/>
        </w:rPr>
        <w:t>Q.</w:t>
        <w:tab/>
        <w:t>Are the “Citygate” volumes duplicative of what moved on other paths?</w:t>
      </w:r>
    </w:p>
    <w:p>
      <w:pPr>
        <w:pStyle w:val="BodyText"/>
        <w:ind w:hanging="432" w:start="432" w:end="0"/>
        <w:rPr>
          <w:sz w:val="24"/>
        </w:rPr>
      </w:pPr>
      <w:r>
        <w:rPr>
          <w:sz w:val="24"/>
        </w:rPr>
        <w:t>A.</w:t>
        <w:tab/>
        <w:t>Yes.  The Citygate volumes reflect nominations where the “Citygate” is the receipt point.  The gas itself would have traveled either from storage or along one of the transport paths to a citygate pool and then sold to someone else.  This entity then transports the gas to another destination such as storage injection.</w:t>
      </w:r>
    </w:p>
    <w:p>
      <w:pPr>
        <w:pStyle w:val="Heading2"/>
        <w:ind w:hanging="0" w:start="0"/>
        <w:rPr>
          <w:rFonts w:ascii="Times New Roman" w:hAnsi="Times New Roman" w:cs="Times New Roman"/>
          <w:i w:val="false"/>
          <w:i w:val="false"/>
        </w:rPr>
      </w:pPr>
      <w:r>
        <w:rPr>
          <w:rFonts w:cs="Times New Roman" w:ascii="Times New Roman" w:hAnsi="Times New Roman"/>
        </w:rPr>
        <w:t>Item 5 – Daily Transport Flow by Service Type</w:t>
      </w:r>
    </w:p>
    <w:p>
      <w:pPr>
        <w:pStyle w:val="BodyText"/>
        <w:spacing w:before="60" w:after="120"/>
        <w:ind w:hanging="432" w:start="432" w:end="0"/>
        <w:rPr>
          <w:sz w:val="24"/>
        </w:rPr>
      </w:pPr>
      <w:r>
        <w:rPr>
          <w:sz w:val="24"/>
        </w:rPr>
        <w:t>Q.</w:t>
        <w:tab/>
        <w:t>Does PG&amp;E know which end-users received gas utilizing firm backbone contracts, and which received gas utilizing as-available backbone contracts?</w:t>
      </w:r>
    </w:p>
    <w:p>
      <w:pPr>
        <w:pStyle w:val="BodyText"/>
        <w:spacing w:before="60" w:after="120"/>
        <w:ind w:hanging="432" w:start="432" w:end="0"/>
        <w:rPr>
          <w:sz w:val="24"/>
        </w:rPr>
      </w:pPr>
      <w:r>
        <w:rPr>
          <w:sz w:val="24"/>
        </w:rPr>
        <w:t>A.</w:t>
        <w:tab/>
        <w:t>No.  Shippers/marketers often hold the capacity and deliver gas into “Citygate  pools” from which gas is nominated to end-users.  A pool can reflect a mix of gas supply and transport contract sources.  If a shipper used a firm pool rather than a normal pool, PG&amp;E could verify that the source into the firm pool was from storage or a firm backbone contract.</w:t>
      </w:r>
    </w:p>
    <w:p>
      <w:pPr>
        <w:pStyle w:val="Heading2"/>
        <w:ind w:hanging="0" w:start="0"/>
        <w:rPr>
          <w:rFonts w:ascii="Times New Roman" w:hAnsi="Times New Roman" w:cs="Times New Roman"/>
        </w:rPr>
      </w:pPr>
      <w:r>
        <w:rPr>
          <w:rFonts w:cs="Times New Roman" w:ascii="Times New Roman" w:hAnsi="Times New Roman"/>
        </w:rPr>
        <w:t>Item 6A – Contract Flows by Path (Firm Contracts)</w:t>
      </w:r>
    </w:p>
    <w:p>
      <w:pPr>
        <w:pStyle w:val="BodyText"/>
        <w:spacing w:before="60" w:after="120"/>
        <w:ind w:hanging="432" w:start="432" w:end="0"/>
        <w:rPr>
          <w:sz w:val="24"/>
        </w:rPr>
      </w:pPr>
      <w:r>
        <w:rPr>
          <w:sz w:val="24"/>
        </w:rPr>
        <w:t>Q.</w:t>
        <w:tab/>
        <w:t>Do the firm contract flows include shrinkage?</w:t>
      </w:r>
    </w:p>
    <w:p>
      <w:pPr>
        <w:pStyle w:val="BodyText"/>
        <w:spacing w:before="60" w:after="120"/>
        <w:ind w:hanging="432" w:start="432" w:end="0"/>
        <w:rPr>
          <w:sz w:val="24"/>
        </w:rPr>
      </w:pPr>
      <w:r>
        <w:rPr>
          <w:sz w:val="24"/>
        </w:rPr>
        <w:t>A.</w:t>
        <w:tab/>
        <w:t>Yes.</w:t>
      </w:r>
    </w:p>
    <w:p>
      <w:pPr>
        <w:pStyle w:val="BodyText"/>
        <w:spacing w:before="240" w:after="120"/>
        <w:ind w:hanging="432" w:start="432" w:end="0"/>
        <w:rPr>
          <w:sz w:val="24"/>
        </w:rPr>
      </w:pPr>
      <w:r>
        <w:rPr>
          <w:sz w:val="24"/>
        </w:rPr>
        <w:t>Q.</w:t>
        <w:tab/>
        <w:t>Are Market Center transactions reflected?</w:t>
      </w:r>
    </w:p>
    <w:p>
      <w:pPr>
        <w:pStyle w:val="BodyText"/>
        <w:spacing w:before="60" w:after="120"/>
        <w:ind w:hanging="432" w:start="432" w:end="0"/>
        <w:rPr>
          <w:sz w:val="24"/>
        </w:rPr>
      </w:pPr>
      <w:r>
        <w:rPr>
          <w:sz w:val="24"/>
        </w:rPr>
        <w:t>A.</w:t>
        <w:tab/>
        <w:t>No.  They are included in the PG&amp;E Storage/Market Center data in Items 3 &amp; 4B.</w:t>
      </w:r>
    </w:p>
    <w:p>
      <w:pPr>
        <w:pStyle w:val="Heading2"/>
        <w:ind w:hanging="0" w:start="0"/>
        <w:rPr>
          <w:rFonts w:ascii="Times New Roman" w:hAnsi="Times New Roman" w:cs="Times New Roman"/>
        </w:rPr>
      </w:pPr>
      <w:r>
        <w:rPr>
          <w:rFonts w:cs="Times New Roman" w:ascii="Times New Roman" w:hAnsi="Times New Roman"/>
        </w:rPr>
        <w:t>Item 7 – Daily Demand by Category: Electric Generation (EG), Noncore, Core, Storage Injection</w:t>
      </w:r>
    </w:p>
    <w:p>
      <w:pPr>
        <w:pStyle w:val="BodyText"/>
        <w:keepNext w:val="true"/>
        <w:keepLines/>
        <w:spacing w:before="60" w:after="120"/>
        <w:ind w:hanging="432" w:start="432" w:end="0"/>
        <w:rPr>
          <w:sz w:val="24"/>
        </w:rPr>
      </w:pPr>
      <w:r>
        <w:rPr>
          <w:sz w:val="24"/>
        </w:rPr>
        <w:t>Q.</w:t>
        <w:tab/>
        <w:t>Do the Core, Noncore and EG values represent burns or scheduled flows?</w:t>
      </w:r>
    </w:p>
    <w:p>
      <w:pPr>
        <w:pStyle w:val="BodyText"/>
        <w:spacing w:before="60" w:after="120"/>
        <w:ind w:hanging="432" w:start="432" w:end="0"/>
        <w:rPr>
          <w:sz w:val="24"/>
        </w:rPr>
      </w:pPr>
      <w:r>
        <w:rPr>
          <w:sz w:val="24"/>
        </w:rPr>
        <w:t>A.</w:t>
        <w:tab/>
        <w:t xml:space="preserve">The noncore value represents a burn based on metering data.   The EG value reflects metering information for the power plants and billing data from the cogenerators.  The Core value is the burn remaining after subtracting the noncore/EG usage from the total.  Also, a revised Item 7 is attached that corrects numbers in the EG column. </w:t>
      </w:r>
    </w:p>
    <w:p>
      <w:pPr>
        <w:pStyle w:val="BodyText"/>
        <w:spacing w:before="240" w:after="120"/>
        <w:ind w:hanging="432" w:start="432" w:end="0"/>
        <w:rPr>
          <w:sz w:val="24"/>
        </w:rPr>
      </w:pPr>
      <w:r>
        <w:rPr>
          <w:sz w:val="24"/>
        </w:rPr>
        <w:t>Q.</w:t>
        <w:tab/>
        <w:t>Does the cogeneration portion of the EG column represent all cogeneration load or just the part attributed to power generation?</w:t>
      </w:r>
    </w:p>
    <w:p>
      <w:pPr>
        <w:pStyle w:val="BodyText"/>
        <w:spacing w:before="60" w:after="120"/>
        <w:ind w:hanging="432" w:start="432" w:end="0"/>
        <w:rPr>
          <w:sz w:val="24"/>
        </w:rPr>
      </w:pPr>
      <w:r>
        <w:rPr>
          <w:sz w:val="24"/>
        </w:rPr>
        <w:t>A.</w:t>
        <w:tab/>
        <w:t>The cogeneration portion reflects the part attributable to power generation, not the total cogeneration load.  The balance of the cogeneration load would be included in the noncore column.</w:t>
      </w:r>
    </w:p>
    <w:p>
      <w:pPr>
        <w:pStyle w:val="BodyText"/>
        <w:numPr>
          <w:ilvl w:val="0"/>
          <w:numId w:val="11"/>
        </w:numPr>
        <w:spacing w:before="240" w:after="120"/>
        <w:ind w:hanging="432" w:start="432" w:end="0"/>
        <w:rPr>
          <w:sz w:val="24"/>
        </w:rPr>
      </w:pPr>
      <w:r>
        <w:rPr>
          <w:sz w:val="24"/>
        </w:rPr>
        <w:t>Are imbalances reflected?</w:t>
      </w:r>
    </w:p>
    <w:p>
      <w:pPr>
        <w:pStyle w:val="BodyText"/>
        <w:numPr>
          <w:ilvl w:val="0"/>
          <w:numId w:val="19"/>
        </w:numPr>
        <w:rPr>
          <w:sz w:val="24"/>
        </w:rPr>
      </w:pPr>
      <w:r>
        <w:rPr>
          <w:sz w:val="24"/>
        </w:rPr>
        <w:t>No.  These are usage values and don’t give any information as to how close the scheduled volumes for the customer matched the actual usage.</w:t>
      </w:r>
    </w:p>
    <w:p>
      <w:pPr>
        <w:pStyle w:val="BodyText"/>
        <w:numPr>
          <w:ilvl w:val="0"/>
          <w:numId w:val="13"/>
        </w:numPr>
        <w:spacing w:before="240" w:after="120"/>
        <w:ind w:hanging="432" w:start="432" w:end="0"/>
        <w:rPr>
          <w:sz w:val="24"/>
        </w:rPr>
      </w:pPr>
      <w:r>
        <w:rPr>
          <w:sz w:val="24"/>
        </w:rPr>
        <w:t>Do the storage values include Wild Goose?</w:t>
      </w:r>
    </w:p>
    <w:p>
      <w:pPr>
        <w:pStyle w:val="BodyText"/>
        <w:numPr>
          <w:ilvl w:val="0"/>
          <w:numId w:val="5"/>
        </w:numPr>
        <w:rPr>
          <w:sz w:val="24"/>
        </w:rPr>
      </w:pPr>
      <w:r>
        <w:rPr>
          <w:sz w:val="24"/>
        </w:rPr>
        <w:t>No.  These represent injections to PG&amp;E facilities only.</w:t>
      </w:r>
    </w:p>
    <w:p>
      <w:pPr>
        <w:pStyle w:val="Heading2"/>
        <w:ind w:hanging="0" w:start="0"/>
        <w:rPr>
          <w:rFonts w:ascii="Times New Roman" w:hAnsi="Times New Roman" w:cs="Times New Roman"/>
        </w:rPr>
      </w:pPr>
      <w:r>
        <w:rPr>
          <w:rFonts w:cs="Times New Roman" w:ascii="Times New Roman" w:hAnsi="Times New Roman"/>
        </w:rPr>
        <w:t>Item 8A – Market Concentration by Annual Firm Capacity Holders  (Baja Path)</w:t>
      </w:r>
    </w:p>
    <w:p>
      <w:pPr>
        <w:pStyle w:val="BodyText"/>
        <w:spacing w:before="60" w:after="120"/>
        <w:ind w:hanging="432" w:start="432" w:end="0"/>
        <w:rPr>
          <w:sz w:val="24"/>
        </w:rPr>
      </w:pPr>
      <w:r>
        <w:rPr>
          <w:sz w:val="24"/>
        </w:rPr>
        <w:t>Q.</w:t>
        <w:tab/>
        <w:t>Do these contracts include any seasonal or multi-year deals?</w:t>
      </w:r>
    </w:p>
    <w:p>
      <w:pPr>
        <w:pStyle w:val="BodyText"/>
        <w:numPr>
          <w:ilvl w:val="0"/>
          <w:numId w:val="2"/>
        </w:numPr>
        <w:rPr>
          <w:sz w:val="24"/>
        </w:rPr>
      </w:pPr>
      <w:r>
        <w:rPr>
          <w:sz w:val="24"/>
        </w:rPr>
        <w:t xml:space="preserve">No seasonal deals are reflected.  Seasonal deals might show up more in the winter; for example, PG&amp;E’s Gas Procurement has additional Baja winter allocations.  To the extent a multi-year deal existed, it </w:t>
      </w:r>
      <w:r>
        <w:rPr>
          <w:b/>
          <w:i/>
          <w:sz w:val="24"/>
        </w:rPr>
        <w:t>is</w:t>
      </w:r>
      <w:r>
        <w:rPr>
          <w:sz w:val="24"/>
        </w:rPr>
        <w:t xml:space="preserve"> reflected (similar to the inclusion of PG&amp;E Gas Procurement’s holdings).  </w:t>
      </w:r>
    </w:p>
    <w:p>
      <w:pPr>
        <w:pStyle w:val="Heading2"/>
        <w:ind w:hanging="0" w:start="0"/>
        <w:rPr>
          <w:rFonts w:ascii="Times New Roman" w:hAnsi="Times New Roman" w:cs="Times New Roman"/>
        </w:rPr>
      </w:pPr>
      <w:r>
        <w:rPr>
          <w:rFonts w:cs="Times New Roman" w:ascii="Times New Roman" w:hAnsi="Times New Roman"/>
        </w:rPr>
        <w:t>Item 8B – Market Concentration by Annual Firm Capacity Holders  (Redwood Path)</w:t>
      </w:r>
    </w:p>
    <w:p>
      <w:pPr>
        <w:pStyle w:val="BodyText"/>
        <w:spacing w:before="60" w:after="120"/>
        <w:ind w:hanging="432" w:start="432" w:end="0"/>
        <w:rPr>
          <w:sz w:val="24"/>
        </w:rPr>
      </w:pPr>
      <w:r>
        <w:rPr>
          <w:sz w:val="24"/>
        </w:rPr>
        <w:t>Q.</w:t>
        <w:tab/>
        <w:t>What is the significance of using April?  Would the percentages be different if we had used August?</w:t>
      </w:r>
    </w:p>
    <w:p>
      <w:pPr>
        <w:pStyle w:val="BodyText"/>
        <w:numPr>
          <w:ilvl w:val="0"/>
          <w:numId w:val="20"/>
        </w:numPr>
        <w:rPr>
          <w:sz w:val="24"/>
        </w:rPr>
      </w:pPr>
      <w:r>
        <w:rPr>
          <w:sz w:val="24"/>
        </w:rPr>
        <w:t>We had April data for the Baja path readily available so elected to use it in the interest of saving time.  The answer would not be much different if August data was used.</w:t>
      </w:r>
      <w:r>
        <w:br w:type="page"/>
      </w:r>
    </w:p>
    <w:p>
      <w:pPr>
        <w:pStyle w:val="Heading2"/>
        <w:ind w:hanging="0" w:start="0"/>
        <w:rPr>
          <w:rFonts w:ascii="Times New Roman" w:hAnsi="Times New Roman" w:cs="Times New Roman"/>
        </w:rPr>
      </w:pPr>
      <w:r>
        <w:rPr>
          <w:rFonts w:cs="Times New Roman" w:ascii="Times New Roman" w:hAnsi="Times New Roman"/>
        </w:rPr>
        <w:t>Item 9 – Number of Balancing Entities</w:t>
      </w:r>
    </w:p>
    <w:p>
      <w:pPr>
        <w:pStyle w:val="BodyText"/>
        <w:spacing w:before="60" w:after="120"/>
        <w:ind w:hanging="432" w:start="432" w:end="0"/>
        <w:rPr>
          <w:sz w:val="24"/>
        </w:rPr>
      </w:pPr>
      <w:r>
        <w:rPr>
          <w:sz w:val="24"/>
        </w:rPr>
        <w:t>Q.</w:t>
        <w:tab/>
        <w:t>Are the numbers for each category current?</w:t>
      </w:r>
    </w:p>
    <w:p>
      <w:pPr>
        <w:pStyle w:val="BodyText"/>
        <w:numPr>
          <w:ilvl w:val="0"/>
          <w:numId w:val="10"/>
        </w:numPr>
        <w:spacing w:before="0" w:after="0"/>
        <w:ind w:hanging="374" w:start="374" w:end="0"/>
        <w:rPr>
          <w:sz w:val="24"/>
        </w:rPr>
      </w:pPr>
      <w:r>
        <w:rPr>
          <w:sz w:val="24"/>
        </w:rPr>
        <w:t xml:space="preserve"> </w:t>
      </w:r>
      <w:r>
        <w:rPr>
          <w:sz w:val="24"/>
        </w:rPr>
        <w:t xml:space="preserve">As of today, the number of open or active accounts is: </w:t>
      </w:r>
    </w:p>
    <w:p>
      <w:pPr>
        <w:pStyle w:val="BodyText"/>
        <w:numPr>
          <w:ilvl w:val="0"/>
          <w:numId w:val="22"/>
        </w:numPr>
        <w:tabs>
          <w:tab w:val="clear" w:pos="720"/>
          <w:tab w:val="left" w:pos="735" w:leader="none"/>
        </w:tabs>
        <w:spacing w:before="0" w:after="0"/>
        <w:ind w:hanging="360" w:start="734" w:end="0"/>
        <w:rPr>
          <w:sz w:val="24"/>
        </w:rPr>
      </w:pPr>
      <w:r>
        <w:rPr>
          <w:sz w:val="24"/>
        </w:rPr>
        <w:t>24 NBAAs</w:t>
      </w:r>
    </w:p>
    <w:p>
      <w:pPr>
        <w:pStyle w:val="BodyText"/>
        <w:numPr>
          <w:ilvl w:val="0"/>
          <w:numId w:val="22"/>
        </w:numPr>
        <w:tabs>
          <w:tab w:val="clear" w:pos="720"/>
          <w:tab w:val="left" w:pos="735" w:leader="none"/>
        </w:tabs>
        <w:spacing w:before="0" w:after="0"/>
        <w:ind w:hanging="360" w:start="734" w:end="0"/>
        <w:rPr>
          <w:sz w:val="24"/>
        </w:rPr>
      </w:pPr>
      <w:r>
        <w:rPr>
          <w:sz w:val="24"/>
        </w:rPr>
        <w:t>22 CPBAs</w:t>
      </w:r>
    </w:p>
    <w:p>
      <w:pPr>
        <w:pStyle w:val="BodyText"/>
        <w:numPr>
          <w:ilvl w:val="0"/>
          <w:numId w:val="22"/>
        </w:numPr>
        <w:tabs>
          <w:tab w:val="clear" w:pos="720"/>
          <w:tab w:val="left" w:pos="735" w:leader="none"/>
        </w:tabs>
        <w:spacing w:before="0" w:after="0"/>
        <w:ind w:hanging="360" w:start="734" w:end="0"/>
        <w:rPr>
          <w:sz w:val="24"/>
        </w:rPr>
      </w:pPr>
      <w:r>
        <w:rPr>
          <w:sz w:val="24"/>
        </w:rPr>
        <w:t>15 CPGs (Core Procurement Groups—which include CTAs and PG&amp;E’s Gas Procurement)</w:t>
      </w:r>
    </w:p>
    <w:p>
      <w:pPr>
        <w:pStyle w:val="BodyText"/>
        <w:numPr>
          <w:ilvl w:val="0"/>
          <w:numId w:val="22"/>
        </w:numPr>
        <w:tabs>
          <w:tab w:val="clear" w:pos="720"/>
          <w:tab w:val="left" w:pos="735" w:leader="none"/>
        </w:tabs>
        <w:spacing w:before="0" w:after="0"/>
        <w:ind w:hanging="360" w:start="734" w:end="0"/>
        <w:rPr>
          <w:sz w:val="24"/>
        </w:rPr>
      </w:pPr>
      <w:r>
        <w:rPr>
          <w:sz w:val="24"/>
        </w:rPr>
        <w:t>18 End Users</w:t>
      </w:r>
    </w:p>
    <w:p>
      <w:pPr>
        <w:pStyle w:val="Heading2"/>
        <w:ind w:hanging="0" w:start="0"/>
        <w:rPr>
          <w:rFonts w:ascii="Times New Roman" w:hAnsi="Times New Roman" w:cs="Times New Roman"/>
        </w:rPr>
      </w:pPr>
      <w:r>
        <w:rPr>
          <w:rFonts w:cs="Times New Roman" w:ascii="Times New Roman" w:hAnsi="Times New Roman"/>
        </w:rPr>
        <w:t>Item 10 – Imbalance Trades</w:t>
      </w:r>
    </w:p>
    <w:p>
      <w:pPr>
        <w:pStyle w:val="BodyText"/>
        <w:spacing w:before="60" w:after="120"/>
        <w:ind w:hanging="432" w:start="432" w:end="0"/>
        <w:rPr>
          <w:sz w:val="24"/>
        </w:rPr>
      </w:pPr>
      <w:r>
        <w:rPr>
          <w:sz w:val="24"/>
        </w:rPr>
        <w:t>Q.</w:t>
        <w:tab/>
        <w:t>When did the OFO Settlement go into effect?</w:t>
      </w:r>
    </w:p>
    <w:p>
      <w:pPr>
        <w:pStyle w:val="BodyText"/>
        <w:numPr>
          <w:ilvl w:val="0"/>
          <w:numId w:val="18"/>
        </w:numPr>
        <w:rPr>
          <w:sz w:val="24"/>
        </w:rPr>
      </w:pPr>
      <w:r>
        <w:rPr>
          <w:sz w:val="24"/>
        </w:rPr>
        <w:t>April 1, 2000.</w:t>
      </w:r>
    </w:p>
    <w:p>
      <w:pPr>
        <w:pStyle w:val="Heading2"/>
        <w:ind w:hanging="0" w:start="0"/>
        <w:rPr>
          <w:rFonts w:ascii="Times New Roman" w:hAnsi="Times New Roman" w:cs="Times New Roman"/>
        </w:rPr>
      </w:pPr>
      <w:r>
        <w:rPr>
          <w:rFonts w:cs="Times New Roman" w:ascii="Times New Roman" w:hAnsi="Times New Roman"/>
        </w:rPr>
        <w:t>Item 11 – Secondary Market Activity by Path</w:t>
      </w:r>
    </w:p>
    <w:p>
      <w:pPr>
        <w:pStyle w:val="BodyText"/>
        <w:rPr>
          <w:sz w:val="24"/>
        </w:rPr>
      </w:pPr>
      <w:r>
        <w:rPr>
          <w:sz w:val="24"/>
        </w:rPr>
        <w:t>Observation by PG&amp;E:  These assignments represent cases in which the parties ask PG&amp;E to transfer billing responsibility.  There are very likely other assignments taking place that PG&amp;E is unaware of if the parties handled the billing between themselves.  When a party nominates its gas,  PG&amp;E has no way of knowing whether the holder of the capacity is moving gas for itself or for someone else.  Hence, these numbers can be viewed as a conservative indication of secondary market activity.</w:t>
      </w:r>
    </w:p>
    <w:p>
      <w:pPr>
        <w:pStyle w:val="Heading2"/>
        <w:ind w:hanging="0" w:start="0"/>
        <w:rPr>
          <w:rFonts w:ascii="Times New Roman" w:hAnsi="Times New Roman" w:cs="Times New Roman"/>
        </w:rPr>
      </w:pPr>
      <w:r>
        <w:rPr>
          <w:rFonts w:cs="Times New Roman" w:ascii="Times New Roman" w:hAnsi="Times New Roman"/>
        </w:rPr>
        <w:t>Item 12 – Core Gas Customer Choice in Northern California</w:t>
      </w:r>
    </w:p>
    <w:p>
      <w:pPr>
        <w:pStyle w:val="BodyText"/>
        <w:keepNext w:val="true"/>
        <w:spacing w:before="60" w:after="120"/>
        <w:ind w:hanging="432" w:start="432" w:end="0"/>
        <w:rPr>
          <w:sz w:val="24"/>
        </w:rPr>
      </w:pPr>
      <w:r>
        <w:rPr>
          <w:sz w:val="24"/>
        </w:rPr>
        <w:t>Q.</w:t>
        <w:tab/>
        <w:t>How many customers do the percentages represent?</w:t>
      </w:r>
    </w:p>
    <w:p>
      <w:pPr>
        <w:pStyle w:val="BodyText"/>
        <w:keepNext w:val="true"/>
        <w:numPr>
          <w:ilvl w:val="0"/>
          <w:numId w:val="12"/>
        </w:numPr>
        <w:tabs>
          <w:tab w:val="clear" w:pos="720"/>
          <w:tab w:val="right" w:pos="5850" w:leader="none"/>
        </w:tabs>
        <w:spacing w:before="0" w:after="0"/>
        <w:rPr>
          <w:sz w:val="24"/>
        </w:rPr>
      </w:pPr>
      <w:r>
        <w:rPr>
          <w:sz w:val="24"/>
        </w:rPr>
        <w:t>Residential—single family:</w:t>
        <w:tab/>
        <w:t>~20,000 customers</w:t>
      </w:r>
    </w:p>
    <w:p>
      <w:pPr>
        <w:pStyle w:val="BodyText"/>
        <w:tabs>
          <w:tab w:val="clear" w:pos="720"/>
          <w:tab w:val="right" w:pos="5850" w:leader="none"/>
        </w:tabs>
        <w:spacing w:before="0" w:after="0"/>
        <w:ind w:start="450" w:end="0"/>
        <w:rPr>
          <w:sz w:val="24"/>
        </w:rPr>
      </w:pPr>
      <w:r>
        <w:rPr>
          <w:sz w:val="24"/>
        </w:rPr>
        <w:t>Residential---multi family:</w:t>
        <w:tab/>
        <w:t>~1,000 customers</w:t>
      </w:r>
    </w:p>
    <w:p>
      <w:pPr>
        <w:pStyle w:val="BodyText"/>
        <w:tabs>
          <w:tab w:val="clear" w:pos="720"/>
          <w:tab w:val="right" w:pos="5850" w:leader="none"/>
        </w:tabs>
        <w:spacing w:before="0" w:after="0"/>
        <w:ind w:firstLine="450" w:end="0"/>
        <w:rPr>
          <w:sz w:val="24"/>
        </w:rPr>
      </w:pPr>
      <w:r>
        <w:rPr>
          <w:sz w:val="24"/>
        </w:rPr>
        <w:t>Commercial:</w:t>
        <w:tab/>
        <w:t>~10,000 customers</w:t>
      </w:r>
    </w:p>
    <w:p>
      <w:pPr>
        <w:pStyle w:val="BodyText"/>
        <w:keepNext w:val="true"/>
        <w:numPr>
          <w:ilvl w:val="0"/>
          <w:numId w:val="29"/>
        </w:numPr>
        <w:spacing w:before="240" w:after="120"/>
        <w:ind w:hanging="432" w:start="432" w:end="0"/>
        <w:rPr>
          <w:sz w:val="24"/>
        </w:rPr>
      </w:pPr>
      <w:r>
        <w:rPr>
          <w:sz w:val="24"/>
        </w:rPr>
        <w:t>Which way are the percentages headed?</w:t>
      </w:r>
    </w:p>
    <w:p>
      <w:pPr>
        <w:pStyle w:val="BodyText"/>
        <w:numPr>
          <w:ilvl w:val="0"/>
          <w:numId w:val="15"/>
        </w:numPr>
        <w:rPr>
          <w:sz w:val="24"/>
        </w:rPr>
      </w:pPr>
      <w:r>
        <w:rPr>
          <w:sz w:val="24"/>
        </w:rPr>
        <w:t>We saw a peak several months ago and a decline since then, primarily in the residential categories.  However, the 5.7% total is higher than the 5.0% reported in the July 1998, Market Conditions Report.</w:t>
      </w:r>
    </w:p>
    <w:p>
      <w:pPr>
        <w:pStyle w:val="Heading2"/>
        <w:keepLines/>
        <w:ind w:hanging="0" w:start="0"/>
        <w:rPr>
          <w:rFonts w:ascii="Times New Roman" w:hAnsi="Times New Roman" w:cs="Times New Roman"/>
        </w:rPr>
      </w:pPr>
      <w:r>
        <w:rPr>
          <w:rFonts w:cs="Times New Roman" w:ascii="Times New Roman" w:hAnsi="Times New Roman"/>
        </w:rPr>
        <w:t xml:space="preserve">Item 13A – CTAs (Accounts Billed By) </w:t>
      </w:r>
    </w:p>
    <w:p>
      <w:pPr>
        <w:pStyle w:val="BodyText"/>
        <w:keepNext w:val="true"/>
        <w:keepLines/>
        <w:spacing w:before="60" w:after="120"/>
        <w:ind w:hanging="432" w:start="432" w:end="0"/>
        <w:rPr>
          <w:sz w:val="24"/>
        </w:rPr>
      </w:pPr>
      <w:r>
        <w:rPr>
          <w:sz w:val="24"/>
        </w:rPr>
        <w:t>Q.</w:t>
        <w:tab/>
        <w:t>Do the percentages shown reflect a percent of just the customers represented in Item 12?</w:t>
      </w:r>
    </w:p>
    <w:p>
      <w:pPr>
        <w:pStyle w:val="BodyText"/>
        <w:keepLines/>
        <w:numPr>
          <w:ilvl w:val="0"/>
          <w:numId w:val="31"/>
        </w:numPr>
        <w:rPr>
          <w:sz w:val="24"/>
        </w:rPr>
      </w:pPr>
      <w:r>
        <w:rPr>
          <w:sz w:val="24"/>
        </w:rPr>
        <w:t>Yes.  This item shows by percentage the distribution of the different billing procedures for the CTA accounts.</w:t>
      </w:r>
    </w:p>
    <w:p>
      <w:pPr>
        <w:pStyle w:val="Heading2"/>
        <w:ind w:hanging="0" w:start="0"/>
        <w:rPr>
          <w:rFonts w:ascii="Times New Roman" w:hAnsi="Times New Roman" w:cs="Times New Roman"/>
        </w:rPr>
      </w:pPr>
      <w:r>
        <w:rPr>
          <w:rFonts w:cs="Times New Roman" w:ascii="Times New Roman" w:hAnsi="Times New Roman"/>
        </w:rPr>
        <w:t>Item 13B – CTAs (CTA Pipeline Capacity Choices)</w:t>
      </w:r>
    </w:p>
    <w:p>
      <w:pPr>
        <w:pStyle w:val="BodyText"/>
        <w:spacing w:before="60" w:after="120"/>
        <w:ind w:hanging="432" w:start="432" w:end="0"/>
        <w:rPr>
          <w:sz w:val="24"/>
        </w:rPr>
      </w:pPr>
      <w:r>
        <w:rPr>
          <w:sz w:val="24"/>
        </w:rPr>
        <w:t>Q.</w:t>
        <w:tab/>
        <w:t>Why did the CTA acceptance of PG&amp;E GT-NW capacity decline so much beginning in May 1999?</w:t>
      </w:r>
    </w:p>
    <w:p>
      <w:pPr>
        <w:pStyle w:val="BodyText"/>
        <w:numPr>
          <w:ilvl w:val="0"/>
          <w:numId w:val="3"/>
        </w:numPr>
        <w:rPr>
          <w:sz w:val="24"/>
        </w:rPr>
      </w:pPr>
      <w:r>
        <w:rPr>
          <w:sz w:val="24"/>
        </w:rPr>
        <w:t>PG&amp;E does not know specifically</w:t>
      </w:r>
      <w:r>
        <w:rPr>
          <w:i/>
          <w:sz w:val="24"/>
        </w:rPr>
        <w:t>,</w:t>
      </w:r>
      <w:r>
        <w:rPr>
          <w:sz w:val="24"/>
        </w:rPr>
        <w:t xml:space="preserve"> but it may have been related to an assessment of the value of holding upstream capacity.  CTAs may have found that it was more economic to buy gas at Malin or the PG&amp;E Citygate rather than purchase upstream PG&amp;E GT-NW capacity.   Item 16B includes data on prices at the AECO–C Hub in Canada and at Malin.</w:t>
      </w:r>
    </w:p>
    <w:p>
      <w:pPr>
        <w:pStyle w:val="Heading2"/>
        <w:ind w:hanging="0" w:start="0"/>
        <w:rPr>
          <w:rFonts w:ascii="Times New Roman" w:hAnsi="Times New Roman" w:cs="Times New Roman"/>
        </w:rPr>
      </w:pPr>
      <w:r>
        <w:rPr>
          <w:rFonts w:cs="Times New Roman" w:ascii="Times New Roman" w:hAnsi="Times New Roman"/>
        </w:rPr>
        <w:t>Item 14B – Operational Flow Orders (OFOs) (Penalties By Month)</w:t>
      </w:r>
    </w:p>
    <w:p>
      <w:pPr>
        <w:pStyle w:val="BodyText"/>
        <w:numPr>
          <w:ilvl w:val="0"/>
          <w:numId w:val="25"/>
        </w:numPr>
        <w:spacing w:before="60" w:after="120"/>
        <w:rPr>
          <w:sz w:val="24"/>
        </w:rPr>
      </w:pPr>
      <w:r>
        <w:rPr>
          <w:sz w:val="24"/>
        </w:rPr>
        <w:t>For the month of December 1998, were any RMR (regulatory must run) electric generators assessed OFO penalties?</w:t>
      </w:r>
    </w:p>
    <w:p>
      <w:pPr>
        <w:pStyle w:val="BodyText"/>
        <w:spacing w:before="60" w:after="120"/>
        <w:ind w:hanging="432" w:start="432" w:end="0"/>
        <w:rPr>
          <w:sz w:val="24"/>
        </w:rPr>
      </w:pPr>
      <w:r>
        <w:rPr>
          <w:sz w:val="24"/>
        </w:rPr>
        <w:t>A.</w:t>
        <w:tab/>
        <w:t xml:space="preserve">PG&amp;E is not able to easily track whether any RMR generators were assessed OFO penalties for this month.  </w:t>
      </w:r>
    </w:p>
    <w:p>
      <w:pPr>
        <w:pStyle w:val="BodyText"/>
        <w:numPr>
          <w:ilvl w:val="0"/>
          <w:numId w:val="24"/>
        </w:numPr>
        <w:spacing w:before="240" w:after="120"/>
        <w:ind w:hanging="432" w:start="432" w:end="0"/>
        <w:rPr>
          <w:sz w:val="24"/>
        </w:rPr>
      </w:pPr>
      <w:r>
        <w:rPr>
          <w:sz w:val="24"/>
        </w:rPr>
        <w:t>Do the exemptions represent money that PG&amp;E would have otherwise collected?</w:t>
      </w:r>
    </w:p>
    <w:p>
      <w:pPr>
        <w:pStyle w:val="BodyText"/>
        <w:numPr>
          <w:ilvl w:val="0"/>
          <w:numId w:val="8"/>
        </w:numPr>
        <w:rPr>
          <w:sz w:val="24"/>
        </w:rPr>
      </w:pPr>
      <w:r>
        <w:rPr>
          <w:sz w:val="24"/>
        </w:rPr>
        <w:t>Yes.</w:t>
      </w:r>
    </w:p>
    <w:p>
      <w:pPr>
        <w:pStyle w:val="BodyText"/>
        <w:numPr>
          <w:ilvl w:val="0"/>
          <w:numId w:val="23"/>
        </w:numPr>
        <w:spacing w:before="240" w:after="120"/>
        <w:ind w:hanging="432" w:start="432" w:end="0"/>
        <w:rPr>
          <w:sz w:val="24"/>
        </w:rPr>
      </w:pPr>
      <w:r>
        <w:rPr>
          <w:sz w:val="24"/>
        </w:rPr>
        <w:t>What happens to OFO penalty revenues?</w:t>
      </w:r>
    </w:p>
    <w:p>
      <w:pPr>
        <w:pStyle w:val="BodyText"/>
        <w:numPr>
          <w:ilvl w:val="0"/>
          <w:numId w:val="26"/>
        </w:numPr>
        <w:rPr>
          <w:sz w:val="24"/>
        </w:rPr>
      </w:pPr>
      <w:r>
        <w:rPr>
          <w:sz w:val="24"/>
        </w:rPr>
        <w:t>OFO noncompliance charges are booked to the Balancing Charge Account (BCA) along with other entries.  The allocation of the balance in the BCA will be determined in the current BCAP proceeding.</w:t>
      </w:r>
    </w:p>
    <w:p>
      <w:pPr>
        <w:pStyle w:val="BodyText"/>
        <w:numPr>
          <w:ilvl w:val="0"/>
          <w:numId w:val="7"/>
        </w:numPr>
        <w:spacing w:before="240" w:after="120"/>
        <w:ind w:hanging="432" w:start="432" w:end="0"/>
        <w:rPr>
          <w:sz w:val="24"/>
        </w:rPr>
      </w:pPr>
      <w:r>
        <w:rPr>
          <w:sz w:val="24"/>
        </w:rPr>
        <w:t>How much penalty money is currently in the BCA?</w:t>
      </w:r>
    </w:p>
    <w:p>
      <w:pPr>
        <w:pStyle w:val="BodyText"/>
        <w:numPr>
          <w:ilvl w:val="0"/>
          <w:numId w:val="6"/>
        </w:numPr>
        <w:rPr>
          <w:b/>
          <w:sz w:val="24"/>
        </w:rPr>
      </w:pPr>
      <w:r>
        <w:rPr>
          <w:sz w:val="24"/>
        </w:rPr>
        <w:t>The recorded balance in the BCA as of August 31, 2000, is a credit (overcollection) of $5.6 million.  Of that balance, $1.5 million is from OFO and EFO penalties accumulated from the beginning of the Gas Accord.</w:t>
      </w:r>
    </w:p>
    <w:p>
      <w:pPr>
        <w:pStyle w:val="Heading2"/>
        <w:ind w:hanging="0" w:start="0"/>
        <w:rPr>
          <w:rFonts w:ascii="Times New Roman" w:hAnsi="Times New Roman" w:cs="Times New Roman"/>
        </w:rPr>
      </w:pPr>
      <w:r>
        <w:rPr>
          <w:rFonts w:cs="Times New Roman" w:ascii="Times New Roman" w:hAnsi="Times New Roman"/>
        </w:rPr>
        <w:t>Item 15 – Gas Procurement’s Canadian and US Interstate Capacity Holdings</w:t>
      </w:r>
    </w:p>
    <w:p>
      <w:pPr>
        <w:pStyle w:val="BodyText"/>
        <w:spacing w:before="60" w:after="120"/>
        <w:ind w:hanging="432" w:start="432" w:end="0"/>
        <w:rPr>
          <w:sz w:val="24"/>
        </w:rPr>
      </w:pPr>
      <w:r>
        <w:rPr>
          <w:sz w:val="24"/>
        </w:rPr>
        <w:t>Q.</w:t>
        <w:tab/>
        <w:t>Do the capacity holdings of Core Gas Procurement on interstate and Canadian pipelines include seasonal capacity?</w:t>
      </w:r>
    </w:p>
    <w:p>
      <w:pPr>
        <w:pStyle w:val="BodyText"/>
        <w:numPr>
          <w:ilvl w:val="0"/>
          <w:numId w:val="28"/>
        </w:numPr>
        <w:rPr>
          <w:sz w:val="24"/>
        </w:rPr>
      </w:pPr>
      <w:r>
        <w:rPr>
          <w:sz w:val="24"/>
        </w:rPr>
        <w:t>No.  Core’s holdings are annual on these pipelines.</w:t>
      </w:r>
    </w:p>
    <w:p>
      <w:pPr>
        <w:pStyle w:val="BodyText"/>
        <w:numPr>
          <w:ilvl w:val="0"/>
          <w:numId w:val="30"/>
        </w:numPr>
        <w:spacing w:before="240" w:after="120"/>
        <w:ind w:hanging="432" w:start="432" w:end="0"/>
        <w:rPr>
          <w:sz w:val="24"/>
        </w:rPr>
      </w:pPr>
      <w:r>
        <w:rPr>
          <w:sz w:val="24"/>
        </w:rPr>
        <w:t>Do the capacities represent receipt or delivery capacity?</w:t>
      </w:r>
    </w:p>
    <w:p>
      <w:pPr>
        <w:pStyle w:val="BodyText"/>
        <w:spacing w:before="60" w:after="120"/>
        <w:ind w:hanging="432" w:start="432" w:end="0"/>
        <w:rPr>
          <w:sz w:val="24"/>
        </w:rPr>
      </w:pPr>
      <w:r>
        <w:rPr>
          <w:sz w:val="24"/>
        </w:rPr>
        <w:t>A.</w:t>
        <w:tab/>
        <w:t>NOVA does not assess a shrinkage factor on a volumetric basis.  As a result, receipt and delivery capacity are the same.  ANG is delivery capacity.  TW and PG&amp;E GT-NW are both receipt capacity.</w:t>
      </w:r>
    </w:p>
    <w:p>
      <w:pPr>
        <w:pStyle w:val="Heading2"/>
        <w:ind w:hanging="0" w:start="0"/>
        <w:rPr>
          <w:rFonts w:ascii="Times New Roman" w:hAnsi="Times New Roman" w:cs="Times New Roman"/>
        </w:rPr>
      </w:pPr>
      <w:r>
        <w:rPr>
          <w:rFonts w:cs="Times New Roman" w:ascii="Times New Roman" w:hAnsi="Times New Roman"/>
        </w:rPr>
        <w:t>Item 17A – Firm and As-Available Storage Injections and Withdrawals (Injections to PG&amp;E Facilities)</w:t>
      </w:r>
    </w:p>
    <w:p>
      <w:pPr>
        <w:pStyle w:val="BodyText"/>
        <w:spacing w:before="60" w:after="120"/>
        <w:ind w:hanging="432" w:start="432" w:end="0"/>
        <w:rPr>
          <w:sz w:val="24"/>
        </w:rPr>
      </w:pPr>
      <w:r>
        <w:rPr>
          <w:sz w:val="24"/>
        </w:rPr>
        <w:t>Q.</w:t>
        <w:tab/>
        <w:t>Do these values include market center parks and lends?</w:t>
      </w:r>
    </w:p>
    <w:p>
      <w:pPr>
        <w:pStyle w:val="BodyText"/>
        <w:numPr>
          <w:ilvl w:val="0"/>
          <w:numId w:val="9"/>
        </w:numPr>
        <w:rPr>
          <w:sz w:val="24"/>
        </w:rPr>
      </w:pPr>
      <w:r>
        <w:rPr>
          <w:sz w:val="24"/>
        </w:rPr>
        <w:t>No.</w:t>
      </w:r>
    </w:p>
    <w:p>
      <w:pPr>
        <w:pStyle w:val="BodyText"/>
        <w:spacing w:before="240" w:after="120"/>
        <w:ind w:hanging="432" w:start="432" w:end="0"/>
        <w:rPr>
          <w:sz w:val="24"/>
        </w:rPr>
      </w:pPr>
      <w:r>
        <w:rPr>
          <w:sz w:val="24"/>
        </w:rPr>
        <w:t>Q.</w:t>
        <w:tab/>
        <w:t>Do these values represent actual flows, nominations or scheduled volumes?</w:t>
      </w:r>
    </w:p>
    <w:p>
      <w:pPr>
        <w:pStyle w:val="BodyText"/>
        <w:spacing w:before="60" w:after="120"/>
        <w:ind w:hanging="432" w:start="432" w:end="0"/>
        <w:rPr>
          <w:sz w:val="24"/>
        </w:rPr>
      </w:pPr>
      <w:r>
        <w:rPr>
          <w:sz w:val="24"/>
        </w:rPr>
        <w:t>A.</w:t>
        <w:tab/>
        <w:t>They represent scheduled volumes into storage.  They are not net values reflecting the difference between injections and withdrawals.</w:t>
      </w:r>
    </w:p>
    <w:p>
      <w:pPr>
        <w:pStyle w:val="BodyText"/>
        <w:numPr>
          <w:ilvl w:val="0"/>
          <w:numId w:val="21"/>
        </w:numPr>
        <w:spacing w:before="240" w:after="120"/>
        <w:ind w:hanging="432" w:start="432" w:end="0"/>
        <w:rPr>
          <w:sz w:val="24"/>
        </w:rPr>
      </w:pPr>
      <w:r>
        <w:rPr>
          <w:sz w:val="24"/>
        </w:rPr>
        <w:t>Are there many storage contracts beyond PG&amp;E’s Gas Procurement?</w:t>
      </w:r>
    </w:p>
    <w:p>
      <w:pPr>
        <w:pStyle w:val="BodyText"/>
        <w:ind w:hanging="432" w:start="432" w:end="0"/>
        <w:rPr>
          <w:sz w:val="24"/>
        </w:rPr>
      </w:pPr>
      <w:r>
        <w:rPr>
          <w:sz w:val="24"/>
        </w:rPr>
        <w:t>A.</w:t>
        <w:tab/>
        <w:t>Yes.    Under the Gas Accord, PG&amp;E manages a 4.8 Bcf noncore storage inventory program for which PG&amp;E is at risk for cost recovery.  The program is sold out for the current storage season.</w:t>
      </w:r>
    </w:p>
    <w:p>
      <w:pPr>
        <w:pStyle w:val="Heading2"/>
        <w:ind w:hanging="0" w:start="0"/>
        <w:rPr>
          <w:rFonts w:ascii="Times New Roman" w:hAnsi="Times New Roman" w:cs="Times New Roman"/>
        </w:rPr>
      </w:pPr>
      <w:r>
        <w:rPr>
          <w:rFonts w:cs="Times New Roman" w:ascii="Times New Roman" w:hAnsi="Times New Roman"/>
        </w:rPr>
        <w:t>Item 17B – Firm and As-Available Storage Injections and Withdrawals (Withdrawals from PG&amp;E Facilities)</w:t>
      </w:r>
    </w:p>
    <w:p>
      <w:pPr>
        <w:pStyle w:val="BodyText"/>
        <w:ind w:hanging="432" w:start="432" w:end="0"/>
        <w:rPr>
          <w:sz w:val="24"/>
        </w:rPr>
      </w:pPr>
      <w:r>
        <w:rPr>
          <w:sz w:val="24"/>
        </w:rPr>
        <w:t>Q.</w:t>
        <w:tab/>
        <w:t>Do these values represent actual flows, nominations or scheduled volumes?</w:t>
      </w:r>
    </w:p>
    <w:p>
      <w:pPr>
        <w:pStyle w:val="BodyText"/>
        <w:ind w:hanging="432" w:start="432" w:end="0"/>
        <w:rPr>
          <w:sz w:val="24"/>
        </w:rPr>
      </w:pPr>
      <w:r>
        <w:rPr>
          <w:sz w:val="24"/>
        </w:rPr>
        <w:t>A.</w:t>
        <w:tab/>
        <w:t>These values represent scheduled withdrawals from storage.  They are not “net” of injection.</w:t>
      </w:r>
    </w:p>
    <w:p>
      <w:pPr>
        <w:pStyle w:val="Heading2"/>
        <w:ind w:hanging="0" w:start="0"/>
        <w:rPr>
          <w:rFonts w:ascii="Times New Roman" w:hAnsi="Times New Roman" w:cs="Times New Roman"/>
        </w:rPr>
      </w:pPr>
      <w:r>
        <w:rPr>
          <w:rFonts w:cs="Times New Roman" w:ascii="Times New Roman" w:hAnsi="Times New Roman"/>
        </w:rPr>
        <w:t>Item 18 – Negotiated Contracts Report</w:t>
      </w:r>
    </w:p>
    <w:p>
      <w:pPr>
        <w:pStyle w:val="BodyText"/>
        <w:spacing w:before="60" w:after="120"/>
        <w:ind w:hanging="432" w:start="432" w:end="0"/>
        <w:rPr>
          <w:sz w:val="24"/>
        </w:rPr>
      </w:pPr>
      <w:r>
        <w:rPr>
          <w:sz w:val="24"/>
        </w:rPr>
        <w:t>Q.</w:t>
        <w:tab/>
        <w:t>Has PG&amp;E negotiated any Redwood-On discounts which would have triggered commensurate discounts on the Baja path?</w:t>
      </w:r>
    </w:p>
    <w:p>
      <w:pPr>
        <w:pStyle w:val="BodyText"/>
        <w:numPr>
          <w:ilvl w:val="0"/>
          <w:numId w:val="17"/>
        </w:numPr>
        <w:rPr>
          <w:sz w:val="24"/>
        </w:rPr>
      </w:pPr>
      <w:r>
        <w:rPr>
          <w:sz w:val="24"/>
        </w:rPr>
        <w:t xml:space="preserve">No.   The report is a negotiated transaction report, not a discount report, where all negotiated transactions regardless of price are reported.  If any Redwood-On transactions appear on a report, such as in March 1998, they are at the maximum rate for that particular rate schedule.   </w:t>
      </w:r>
    </w:p>
    <w:p>
      <w:pPr>
        <w:pStyle w:val="BodyText"/>
        <w:numPr>
          <w:ilvl w:val="0"/>
          <w:numId w:val="14"/>
        </w:numPr>
        <w:spacing w:before="240" w:after="120"/>
        <w:ind w:hanging="432" w:start="432" w:end="0"/>
        <w:rPr>
          <w:sz w:val="24"/>
        </w:rPr>
      </w:pPr>
      <w:r>
        <w:rPr>
          <w:sz w:val="24"/>
        </w:rPr>
        <w:t>Do these reports include EAD or other grandfathered contracts?</w:t>
      </w:r>
    </w:p>
    <w:p>
      <w:pPr>
        <w:pStyle w:val="BodyText"/>
        <w:numPr>
          <w:ilvl w:val="0"/>
          <w:numId w:val="4"/>
        </w:numPr>
        <w:rPr>
          <w:sz w:val="24"/>
        </w:rPr>
      </w:pPr>
      <w:r>
        <w:rPr>
          <w:sz w:val="24"/>
        </w:rPr>
        <w:t>No.  Contracts entered into before the Gas Accord do not appear on these monthly negotiated contract reports, which are contracts negotiated under the Gas Accord from March 1998, forward.</w:t>
      </w:r>
    </w:p>
    <w:p>
      <w:pPr>
        <w:pStyle w:val="BodyText"/>
        <w:numPr>
          <w:ilvl w:val="0"/>
          <w:numId w:val="16"/>
        </w:numPr>
        <w:spacing w:before="240" w:after="120"/>
        <w:rPr>
          <w:sz w:val="24"/>
        </w:rPr>
      </w:pPr>
      <w:r>
        <w:rPr>
          <w:sz w:val="24"/>
        </w:rPr>
        <w:t>Do we know what rates Alliance Pipeline will be charging?</w:t>
      </w:r>
    </w:p>
    <w:p>
      <w:pPr>
        <w:pStyle w:val="BodyText"/>
        <w:numPr>
          <w:ilvl w:val="0"/>
          <w:numId w:val="27"/>
        </w:numPr>
        <w:rPr>
          <w:sz w:val="24"/>
        </w:rPr>
      </w:pPr>
      <w:r>
        <w:rPr>
          <w:sz w:val="24"/>
        </w:rPr>
        <w:t>According to the Alliance web site (</w:t>
      </w:r>
      <w:hyperlink r:id="rId2">
        <w:r>
          <w:rPr>
            <w:rStyle w:val="Hyperlink"/>
            <w:sz w:val="24"/>
            <w:u w:val="none"/>
          </w:rPr>
          <w:t>www.alliance-pipeline.com</w:t>
        </w:r>
      </w:hyperlink>
      <w:r>
        <w:rPr>
          <w:sz w:val="24"/>
        </w:rPr>
        <w:t>), the firm rate is US$ 0.92/Dth, including fuel.</w:t>
      </w:r>
    </w:p>
    <w:p>
      <w:pPr>
        <w:pStyle w:val="BodyText"/>
        <w:spacing w:before="0" w:after="120"/>
        <w:rPr>
          <w:sz w:val="24"/>
        </w:rPr>
      </w:pPr>
      <w:r>
        <w:rPr>
          <w:sz w:val="24"/>
        </w:rPr>
      </w:r>
    </w:p>
    <w:sectPr>
      <w:headerReference w:type="default" r:id="rId3"/>
      <w:headerReference w:type="first" r:id="rId4"/>
      <w:footerReference w:type="default" r:id="rId5"/>
      <w:footerReference w:type="first" r:id="rId6"/>
      <w:type w:val="nextPage"/>
      <w:pgSz w:w="12240" w:h="15840"/>
      <w:pgMar w:left="1728" w:right="1584"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Confidential – Prepared for Settlement Discussions Pursuant to Rule 51</w:t>
    </w:r>
  </w:p>
  <w:p>
    <w:pPr>
      <w:pStyle w:val="Header"/>
      <w:rPr>
        <w:sz w:val="24"/>
      </w:rPr>
    </w:pPr>
    <w:r>
      <w:rPr>
        <w:sz w:val="24"/>
      </w:rPr>
      <w:t>Gas Accord II Data Book</w:t>
    </w:r>
  </w:p>
  <w:p>
    <w:pPr>
      <w:pStyle w:val="Header"/>
      <w:rPr>
        <w:sz w:val="24"/>
      </w:rPr>
    </w:pPr>
    <w:r>
      <w:rPr>
        <w:sz w:val="24"/>
      </w:rPr>
      <w:t>Questions From October 11 Workshop and Answers</w:t>
    </w:r>
  </w:p>
  <w:p>
    <w:pPr>
      <w:pStyle w:val="Header"/>
      <w:rPr>
        <w:sz w:val="24"/>
      </w:rPr>
    </w:pPr>
    <w:r>
      <w:rPr>
        <w:sz w:val="24"/>
      </w:rPr>
      <w:t>October 24, 2000</w:t>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Confidential – Prepared for Settlement Discussions Pursuant to Rule 51</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lvl>
  </w:abstractNum>
  <w:abstractNum w:abstractNumId="3">
    <w:lvl w:ilvl="0">
      <w:start w:val="1"/>
      <w:numFmt w:val="upperLetter"/>
      <w:lvlText w:val="%1."/>
      <w:lvlJc w:val="start"/>
      <w:pPr>
        <w:tabs>
          <w:tab w:val="num" w:pos="480"/>
        </w:tabs>
        <w:ind w:start="480" w:hanging="480"/>
      </w:pPr>
      <w:rPr/>
    </w:lvl>
  </w:abstractNum>
  <w:abstractNum w:abstractNumId="4">
    <w:lvl w:ilvl="0">
      <w:start w:val="1"/>
      <w:numFmt w:val="upperLetter"/>
      <w:lvlText w:val="%1."/>
      <w:lvlJc w:val="start"/>
      <w:pPr>
        <w:tabs>
          <w:tab w:val="num" w:pos="435"/>
        </w:tabs>
        <w:ind w:start="435" w:hanging="435"/>
      </w:pPr>
      <w:rPr/>
    </w:lvl>
  </w:abstractNum>
  <w:abstractNum w:abstractNumId="5">
    <w:lvl w:ilvl="0">
      <w:start w:val="1"/>
      <w:numFmt w:val="upperLetter"/>
      <w:lvlText w:val="%1."/>
      <w:lvlJc w:val="start"/>
      <w:pPr>
        <w:tabs>
          <w:tab w:val="num" w:pos="435"/>
        </w:tabs>
        <w:ind w:start="435" w:hanging="435"/>
      </w:pPr>
      <w:rPr/>
    </w:lvl>
  </w:abstractNum>
  <w:abstractNum w:abstractNumId="6">
    <w:lvl w:ilvl="0">
      <w:start w:val="1"/>
      <w:numFmt w:val="upperLetter"/>
      <w:lvlText w:val="%1."/>
      <w:lvlJc w:val="start"/>
      <w:pPr>
        <w:tabs>
          <w:tab w:val="num" w:pos="435"/>
        </w:tabs>
        <w:ind w:start="435" w:hanging="435"/>
      </w:pPr>
      <w:rPr>
        <w:b w:val="false"/>
      </w:rPr>
    </w:lvl>
  </w:abstractNum>
  <w:abstractNum w:abstractNumId="7">
    <w:lvl w:ilvl="0">
      <w:start w:val="17"/>
      <w:numFmt w:val="upperLetter"/>
      <w:lvlText w:val="%1."/>
      <w:lvlJc w:val="start"/>
      <w:pPr>
        <w:tabs>
          <w:tab w:val="num" w:pos="435"/>
        </w:tabs>
        <w:ind w:start="435" w:hanging="435"/>
      </w:pPr>
      <w:rPr/>
    </w:lvl>
  </w:abstractNum>
  <w:abstractNum w:abstractNumId="8">
    <w:lvl w:ilvl="0">
      <w:start w:val="1"/>
      <w:numFmt w:val="upperLetter"/>
      <w:lvlText w:val="%1."/>
      <w:lvlJc w:val="start"/>
      <w:pPr>
        <w:tabs>
          <w:tab w:val="num" w:pos="450"/>
        </w:tabs>
        <w:ind w:start="450" w:hanging="450"/>
      </w:pPr>
      <w:rPr/>
    </w:lvl>
  </w:abstractNum>
  <w:abstractNum w:abstractNumId="9">
    <w:lvl w:ilvl="0">
      <w:start w:val="1"/>
      <w:numFmt w:val="upperLetter"/>
      <w:lvlText w:val="%1."/>
      <w:lvlJc w:val="start"/>
      <w:pPr>
        <w:tabs>
          <w:tab w:val="num" w:pos="435"/>
        </w:tabs>
        <w:ind w:start="435" w:hanging="435"/>
      </w:pPr>
      <w:rPr/>
    </w:lvl>
  </w:abstractNum>
  <w:abstractNum w:abstractNumId="10">
    <w:lvl w:ilvl="0">
      <w:start w:val="1"/>
      <w:numFmt w:val="upperLetter"/>
      <w:lvlText w:val="%1."/>
      <w:lvlJc w:val="start"/>
      <w:pPr>
        <w:tabs>
          <w:tab w:val="num" w:pos="375"/>
        </w:tabs>
        <w:ind w:start="375" w:hanging="375"/>
      </w:pPr>
      <w:rPr/>
    </w:lvl>
  </w:abstractNum>
  <w:abstractNum w:abstractNumId="11">
    <w:lvl w:ilvl="0">
      <w:start w:val="17"/>
      <w:numFmt w:val="upperLetter"/>
      <w:lvlText w:val="%1."/>
      <w:lvlJc w:val="start"/>
      <w:pPr>
        <w:tabs>
          <w:tab w:val="num" w:pos="435"/>
        </w:tabs>
        <w:ind w:start="435" w:hanging="435"/>
      </w:pPr>
      <w:rPr/>
    </w:lvl>
  </w:abstractNum>
  <w:abstractNum w:abstractNumId="12">
    <w:lvl w:ilvl="0">
      <w:start w:val="1"/>
      <w:numFmt w:val="upperLetter"/>
      <w:lvlText w:val="%1."/>
      <w:lvlJc w:val="start"/>
      <w:pPr>
        <w:tabs>
          <w:tab w:val="num" w:pos="450"/>
        </w:tabs>
        <w:ind w:start="450" w:hanging="450"/>
      </w:pPr>
      <w:rPr/>
    </w:lvl>
  </w:abstractNum>
  <w:abstractNum w:abstractNumId="13">
    <w:lvl w:ilvl="0">
      <w:start w:val="17"/>
      <w:numFmt w:val="upperLetter"/>
      <w:lvlText w:val="%1."/>
      <w:lvlJc w:val="start"/>
      <w:pPr>
        <w:tabs>
          <w:tab w:val="num" w:pos="435"/>
        </w:tabs>
        <w:ind w:start="435" w:hanging="435"/>
      </w:pPr>
      <w:rPr/>
    </w:lvl>
  </w:abstractNum>
  <w:abstractNum w:abstractNumId="14">
    <w:lvl w:ilvl="0">
      <w:start w:val="17"/>
      <w:numFmt w:val="upperLetter"/>
      <w:lvlText w:val="%1."/>
      <w:lvlJc w:val="start"/>
      <w:pPr>
        <w:tabs>
          <w:tab w:val="num" w:pos="435"/>
        </w:tabs>
        <w:ind w:start="435" w:hanging="435"/>
      </w:pPr>
      <w:rPr/>
    </w:lvl>
  </w:abstractNum>
  <w:abstractNum w:abstractNumId="15">
    <w:lvl w:ilvl="0">
      <w:start w:val="1"/>
      <w:numFmt w:val="upperLetter"/>
      <w:lvlText w:val="%1."/>
      <w:lvlJc w:val="start"/>
      <w:pPr>
        <w:tabs>
          <w:tab w:val="num" w:pos="480"/>
        </w:tabs>
        <w:ind w:start="480" w:hanging="480"/>
      </w:pPr>
      <w:rPr/>
    </w:lvl>
  </w:abstractNum>
  <w:abstractNum w:abstractNumId="16">
    <w:lvl w:ilvl="0">
      <w:start w:val="17"/>
      <w:numFmt w:val="upperLetter"/>
      <w:lvlText w:val="%1."/>
      <w:lvlJc w:val="start"/>
      <w:pPr>
        <w:tabs>
          <w:tab w:val="num" w:pos="435"/>
        </w:tabs>
        <w:ind w:start="435" w:hanging="435"/>
      </w:pPr>
      <w:rPr/>
    </w:lvl>
  </w:abstractNum>
  <w:abstractNum w:abstractNumId="17">
    <w:lvl w:ilvl="0">
      <w:start w:val="1"/>
      <w:numFmt w:val="upperLetter"/>
      <w:lvlText w:val="%1."/>
      <w:lvlJc w:val="start"/>
      <w:pPr>
        <w:tabs>
          <w:tab w:val="num" w:pos="435"/>
        </w:tabs>
        <w:ind w:start="435" w:hanging="435"/>
      </w:pPr>
      <w:rPr/>
    </w:lvl>
  </w:abstractNum>
  <w:abstractNum w:abstractNumId="18">
    <w:lvl w:ilvl="0">
      <w:start w:val="1"/>
      <w:numFmt w:val="upperLetter"/>
      <w:lvlText w:val="%1."/>
      <w:lvlJc w:val="start"/>
      <w:pPr>
        <w:tabs>
          <w:tab w:val="num" w:pos="435"/>
        </w:tabs>
        <w:ind w:start="435" w:hanging="435"/>
      </w:pPr>
      <w:rPr/>
    </w:lvl>
  </w:abstractNum>
  <w:abstractNum w:abstractNumId="19">
    <w:lvl w:ilvl="0">
      <w:start w:val="1"/>
      <w:numFmt w:val="upperLetter"/>
      <w:lvlText w:val="%1."/>
      <w:lvlJc w:val="start"/>
      <w:pPr>
        <w:tabs>
          <w:tab w:val="num" w:pos="435"/>
        </w:tabs>
        <w:ind w:start="435" w:hanging="435"/>
      </w:pPr>
      <w:rPr/>
    </w:lvl>
  </w:abstractNum>
  <w:abstractNum w:abstractNumId="20">
    <w:lvl w:ilvl="0">
      <w:start w:val="1"/>
      <w:numFmt w:val="upperLetter"/>
      <w:lvlText w:val="%1."/>
      <w:lvlJc w:val="start"/>
      <w:pPr>
        <w:tabs>
          <w:tab w:val="num" w:pos="435"/>
        </w:tabs>
        <w:ind w:start="435" w:hanging="435"/>
      </w:pPr>
      <w:rPr/>
    </w:lvl>
  </w:abstractNum>
  <w:abstractNum w:abstractNumId="21">
    <w:lvl w:ilvl="0">
      <w:start w:val="17"/>
      <w:numFmt w:val="upperLetter"/>
      <w:lvlText w:val="%1."/>
      <w:lvlJc w:val="start"/>
      <w:pPr>
        <w:tabs>
          <w:tab w:val="num" w:pos="435"/>
        </w:tabs>
        <w:ind w:start="435" w:hanging="435"/>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7"/>
      <w:numFmt w:val="upperLetter"/>
      <w:lvlText w:val="%1."/>
      <w:lvlJc w:val="start"/>
      <w:pPr>
        <w:tabs>
          <w:tab w:val="num" w:pos="435"/>
        </w:tabs>
        <w:ind w:start="435" w:hanging="435"/>
      </w:pPr>
      <w:rPr/>
    </w:lvl>
  </w:abstractNum>
  <w:abstractNum w:abstractNumId="24">
    <w:lvl w:ilvl="0">
      <w:start w:val="17"/>
      <w:numFmt w:val="upperLetter"/>
      <w:lvlText w:val="%1."/>
      <w:lvlJc w:val="start"/>
      <w:pPr>
        <w:tabs>
          <w:tab w:val="num" w:pos="435"/>
        </w:tabs>
        <w:ind w:start="435" w:hanging="435"/>
      </w:pPr>
      <w:rPr/>
    </w:lvl>
  </w:abstractNum>
  <w:abstractNum w:abstractNumId="25">
    <w:lvl w:ilvl="0">
      <w:start w:val="17"/>
      <w:numFmt w:val="upperLetter"/>
      <w:lvlText w:val="%1."/>
      <w:lvlJc w:val="start"/>
      <w:pPr>
        <w:tabs>
          <w:tab w:val="num" w:pos="435"/>
        </w:tabs>
        <w:ind w:start="435" w:hanging="435"/>
      </w:pPr>
      <w:rPr/>
    </w:lvl>
  </w:abstractNum>
  <w:abstractNum w:abstractNumId="26">
    <w:lvl w:ilvl="0">
      <w:start w:val="1"/>
      <w:numFmt w:val="upperLetter"/>
      <w:lvlText w:val="%1."/>
      <w:lvlJc w:val="start"/>
      <w:pPr>
        <w:tabs>
          <w:tab w:val="num" w:pos="435"/>
        </w:tabs>
        <w:ind w:start="435" w:hanging="435"/>
      </w:pPr>
      <w:rPr/>
    </w:lvl>
  </w:abstractNum>
  <w:abstractNum w:abstractNumId="27">
    <w:lvl w:ilvl="0">
      <w:start w:val="1"/>
      <w:numFmt w:val="upperLetter"/>
      <w:lvlText w:val="%1."/>
      <w:lvlJc w:val="start"/>
      <w:pPr>
        <w:tabs>
          <w:tab w:val="num" w:pos="435"/>
        </w:tabs>
        <w:ind w:start="435" w:hanging="435"/>
      </w:pPr>
      <w:rPr/>
    </w:lvl>
  </w:abstractNum>
  <w:abstractNum w:abstractNumId="28">
    <w:lvl w:ilvl="0">
      <w:start w:val="1"/>
      <w:numFmt w:val="upperLetter"/>
      <w:lvlText w:val="%1."/>
      <w:lvlJc w:val="start"/>
      <w:pPr>
        <w:tabs>
          <w:tab w:val="num" w:pos="435"/>
        </w:tabs>
        <w:ind w:start="435" w:hanging="435"/>
      </w:pPr>
      <w:rPr/>
    </w:lvl>
  </w:abstractNum>
  <w:abstractNum w:abstractNumId="29">
    <w:lvl w:ilvl="0">
      <w:start w:val="17"/>
      <w:numFmt w:val="upperLetter"/>
      <w:lvlText w:val="%1."/>
      <w:lvlJc w:val="start"/>
      <w:pPr>
        <w:tabs>
          <w:tab w:val="num" w:pos="435"/>
        </w:tabs>
        <w:ind w:start="435" w:hanging="435"/>
      </w:pPr>
      <w:rPr/>
    </w:lvl>
  </w:abstractNum>
  <w:abstractNum w:abstractNumId="30">
    <w:lvl w:ilvl="0">
      <w:start w:val="17"/>
      <w:numFmt w:val="upperLetter"/>
      <w:lvlText w:val="%1."/>
      <w:lvlJc w:val="start"/>
      <w:pPr>
        <w:tabs>
          <w:tab w:val="num" w:pos="435"/>
        </w:tabs>
        <w:ind w:start="435" w:hanging="435"/>
      </w:pPr>
      <w:rPr/>
    </w:lvl>
  </w:abstractNum>
  <w:abstractNum w:abstractNumId="31">
    <w:lvl w:ilvl="0">
      <w:start w:val="1"/>
      <w:numFmt w:val="upperLetter"/>
      <w:lvlText w:val="%1."/>
      <w:lvlJc w:val="start"/>
      <w:pPr>
        <w:tabs>
          <w:tab w:val="num" w:pos="450"/>
        </w:tabs>
        <w:ind w:start="450" w:hanging="45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tabs>
        <w:tab w:val="clear" w:pos="720"/>
        <w:tab w:val="right" w:pos="4770" w:leader="none"/>
        <w:tab w:val="right" w:pos="6930" w:leader="none"/>
        <w:tab w:val="decimal" w:pos="7830" w:leader="none"/>
      </w:tabs>
      <w:ind w:firstLine="720" w:start="0" w:end="0"/>
      <w:outlineLvl w:val="2"/>
    </w:pPr>
    <w:rPr>
      <w:sz w:val="2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BodyTextIndent">
    <w:name w:val="Body Text Indent"/>
    <w:basedOn w:val="Normal"/>
    <w:pPr>
      <w:spacing w:before="0" w:after="12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lliance-pipelin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2000-10-24T20:33:00Z</dcterms:created>
  <dc:creator>Donald W Petersen</dc:creator>
  <dc:description/>
  <dc:language>en-CA</dc:language>
  <cp:lastModifiedBy>A PG&amp;E Employee</cp:lastModifiedBy>
  <cp:lastPrinted>2000-10-24T16:03:00Z</cp:lastPrinted>
  <dcterms:modified xsi:type="dcterms:W3CDTF">2000-10-24T20:34:00Z</dcterms:modified>
  <cp:revision>3</cp:revision>
  <dc:subject/>
  <dc:title>GA II DATA BOOK FOLLOW-UP TO OCTOBER 12 WORKSHOP</dc:title>
</cp:coreProperties>
</file>