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tabs>
          <w:tab w:val="clear" w:pos="720"/>
          <w:tab w:val="left" w:pos="3303" w:leader="none"/>
        </w:tabs>
        <w:rPr>
          <w:color w:val="0000FF"/>
        </w:rPr>
      </w:pPr>
      <w:r>
        <w:rPr/>
        <w:t>Enron Transportation and Storage Company</w:t>
      </w:r>
    </w:p>
    <w:p>
      <w:pPr>
        <w:pStyle w:val="Normal"/>
        <w:tabs>
          <w:tab w:val="clear" w:pos="720"/>
          <w:tab w:val="left" w:pos="4770" w:leader="none"/>
        </w:tabs>
        <w:jc w:val="center"/>
        <w:rPr/>
      </w:pPr>
      <w:r>
        <w:rPr>
          <w:b/>
          <w:color w:val="000000"/>
        </w:rPr>
        <w:t>Government</w:t>
      </w:r>
      <w:r>
        <w:rPr>
          <w:b/>
          <w:color w:val="0000FF"/>
        </w:rPr>
        <w:t xml:space="preserve"> </w:t>
      </w:r>
      <w:r>
        <w:rPr>
          <w:b/>
          <w:color w:val="000000"/>
        </w:rPr>
        <w:t>Affairs</w:t>
      </w:r>
      <w:r>
        <w:rPr>
          <w:b/>
        </w:rPr>
        <w:t xml:space="preserve"> Report</w:t>
      </w:r>
    </w:p>
    <w:p>
      <w:pPr>
        <w:pStyle w:val="Normal"/>
        <w:jc w:val="center"/>
        <w:rPr/>
      </w:pPr>
      <w:r>
        <w:rPr/>
        <w:t xml:space="preserve">12/1/2000 </w:t>
      </w:r>
    </w:p>
    <w:tbl>
      <w:tblPr>
        <w:tblW w:w="14582" w:type="dxa"/>
        <w:jc w:val="start"/>
        <w:tblInd w:w="-72" w:type="dxa"/>
        <w:tblLayout w:type="fixed"/>
        <w:tblCellMar>
          <w:top w:w="0" w:type="dxa"/>
          <w:start w:w="108" w:type="dxa"/>
          <w:bottom w:w="0" w:type="dxa"/>
          <w:end w:w="108" w:type="dxa"/>
        </w:tblCellMar>
      </w:tblPr>
      <w:tblGrid>
        <w:gridCol w:w="1440"/>
        <w:gridCol w:w="1073"/>
        <w:gridCol w:w="457"/>
        <w:gridCol w:w="6480"/>
        <w:gridCol w:w="5130"/>
        <w:gridCol w:w="2"/>
      </w:tblGrid>
      <w:tr>
        <w:trPr/>
        <w:tc>
          <w:tcPr>
            <w:tcW w:w="2513" w:type="dxa"/>
            <w:gridSpan w:val="2"/>
            <w:tcBorders/>
          </w:tcPr>
          <w:p>
            <w:pPr>
              <w:pStyle w:val="Normal"/>
              <w:rPr>
                <w:b/>
              </w:rPr>
            </w:pPr>
            <w:r>
              <w:rPr>
                <w:b/>
                <w:sz w:val="16"/>
              </w:rPr>
              <w:t>KEY</w:t>
            </w:r>
          </w:p>
          <w:p>
            <w:pPr>
              <w:pStyle w:val="Normal"/>
              <w:rPr>
                <w:color w:val="0000FF"/>
                <w:sz w:val="18"/>
              </w:rPr>
            </w:pPr>
            <w:r>
              <w:rPr>
                <w:color w:val="0000FF"/>
                <w:sz w:val="16"/>
              </w:rPr>
              <w:t>*</w:t>
            </w:r>
            <w:r>
              <w:rPr>
                <w:sz w:val="16"/>
              </w:rPr>
              <w:t xml:space="preserve">  </w:t>
            </w:r>
            <w:r>
              <w:rPr>
                <w:color w:val="0000FF"/>
                <w:sz w:val="16"/>
              </w:rPr>
              <w:t>= Updated item</w:t>
            </w:r>
          </w:p>
          <w:p>
            <w:pPr>
              <w:pStyle w:val="Normal"/>
              <w:rPr/>
            </w:pPr>
            <w:r>
              <w:rPr>
                <w:color w:val="0000FF"/>
                <w:sz w:val="16"/>
              </w:rPr>
              <w:t>**  =</w:t>
            </w:r>
            <w:r>
              <w:rPr>
                <w:color w:val="0000FF"/>
                <w:sz w:val="18"/>
              </w:rPr>
              <w:t xml:space="preserve"> </w:t>
            </w:r>
            <w:r>
              <w:rPr>
                <w:color w:val="0000FF"/>
                <w:sz w:val="16"/>
              </w:rPr>
              <w:t>New item</w:t>
            </w:r>
          </w:p>
          <w:p>
            <w:pPr>
              <w:pStyle w:val="Normal"/>
              <w:rPr>
                <w:b/>
                <w:sz w:val="16"/>
              </w:rPr>
            </w:pPr>
            <w:r>
              <w:rPr>
                <w:b/>
                <w:i/>
                <w:color w:val="0000FF"/>
                <w:sz w:val="18"/>
              </w:rPr>
              <w:t>Bold Italics</w:t>
            </w:r>
            <w:r>
              <w:rPr>
                <w:b/>
                <w:i/>
                <w:color w:val="0000FF"/>
                <w:sz w:val="16"/>
              </w:rPr>
              <w:t xml:space="preserve"> = new information</w:t>
            </w:r>
          </w:p>
        </w:tc>
        <w:tc>
          <w:tcPr>
            <w:tcW w:w="12067" w:type="dxa"/>
            <w:gridSpan w:val="3"/>
            <w:tcBorders/>
          </w:tcPr>
          <w:p>
            <w:pPr>
              <w:pStyle w:val="Normal"/>
              <w:rPr>
                <w:sz w:val="16"/>
              </w:rPr>
            </w:pPr>
            <w:r>
              <w:rPr>
                <w:b/>
                <w:color w:val="000000"/>
                <w:sz w:val="16"/>
              </w:rPr>
              <w:t>Primary Contacts</w:t>
            </w:r>
            <w:r>
              <w:rPr>
                <w:b/>
                <w:sz w:val="16"/>
              </w:rPr>
              <w:t>:</w:t>
            </w:r>
          </w:p>
          <w:p>
            <w:pPr>
              <w:pStyle w:val="Normal"/>
              <w:rPr/>
            </w:pPr>
            <w:r>
              <w:rPr>
                <w:b/>
                <w:color w:val="800000"/>
                <w:sz w:val="16"/>
              </w:rPr>
              <w:t>Stanton</w:t>
            </w:r>
            <w:r>
              <w:rPr>
                <w:color w:val="800000"/>
                <w:sz w:val="16"/>
              </w:rPr>
              <w:t xml:space="preserve"> </w:t>
            </w:r>
            <w:r>
              <w:rPr>
                <w:sz w:val="16"/>
              </w:rPr>
              <w:t>=  Lon Stanton @  952-887-1777</w:t>
            </w:r>
          </w:p>
          <w:p>
            <w:pPr>
              <w:pStyle w:val="Normal"/>
              <w:rPr>
                <w:b/>
                <w:sz w:val="16"/>
              </w:rPr>
            </w:pPr>
            <w:r>
              <w:rPr>
                <w:b/>
                <w:color w:val="800000"/>
                <w:sz w:val="16"/>
              </w:rPr>
              <w:t xml:space="preserve">Wilson  </w:t>
            </w:r>
            <w:r>
              <w:rPr>
                <w:color w:val="000000"/>
                <w:sz w:val="16"/>
              </w:rPr>
              <w:t>= Rob Wilson @ 402-398-7103</w:t>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rPr>
                <w:b/>
                <w:sz w:val="18"/>
              </w:rPr>
            </w:pPr>
            <w:r>
              <w:rPr>
                <w:b/>
                <w:sz w:val="18"/>
              </w:rPr>
              <w:t>STATE</w:t>
            </w:r>
          </w:p>
          <w:p>
            <w:pPr>
              <w:pStyle w:val="Normal"/>
              <w:rPr>
                <w:b/>
                <w:sz w:val="18"/>
              </w:rPr>
            </w:pPr>
            <w:r>
              <w:rPr>
                <w:b/>
                <w:sz w:val="18"/>
              </w:rPr>
            </w:r>
          </w:p>
        </w:tc>
        <w:tc>
          <w:tcPr>
            <w:tcW w:w="1530" w:type="dxa"/>
            <w:gridSpan w:val="2"/>
            <w:tcBorders>
              <w:top w:val="single" w:sz="6" w:space="0" w:color="000000"/>
              <w:start w:val="single" w:sz="6" w:space="0" w:color="000000"/>
              <w:bottom w:val="single" w:sz="6" w:space="0" w:color="000000"/>
              <w:end w:val="single" w:sz="6" w:space="0" w:color="000000"/>
            </w:tcBorders>
          </w:tcPr>
          <w:p>
            <w:pPr>
              <w:pStyle w:val="Normal"/>
              <w:jc w:val="center"/>
              <w:rPr>
                <w:b/>
                <w:sz w:val="18"/>
              </w:rPr>
            </w:pPr>
            <w:r>
              <w:rPr>
                <w:b/>
                <w:sz w:val="18"/>
              </w:rPr>
              <w:t xml:space="preserve">REFERENCE </w:t>
            </w:r>
          </w:p>
        </w:tc>
        <w:tc>
          <w:tcPr>
            <w:tcW w:w="6480" w:type="dxa"/>
            <w:tcBorders>
              <w:top w:val="single" w:sz="6" w:space="0" w:color="000000"/>
              <w:start w:val="single" w:sz="6" w:space="0" w:color="000000"/>
              <w:bottom w:val="single" w:sz="6" w:space="0" w:color="000000"/>
              <w:end w:val="single" w:sz="6" w:space="0" w:color="000000"/>
            </w:tcBorders>
          </w:tcPr>
          <w:p>
            <w:pPr>
              <w:pStyle w:val="Normal"/>
              <w:jc w:val="center"/>
              <w:rPr>
                <w:b/>
                <w:sz w:val="18"/>
              </w:rPr>
            </w:pPr>
            <w:r>
              <w:rPr>
                <w:b/>
                <w:sz w:val="18"/>
              </w:rPr>
              <w:t>ISSUE AND CONTACT</w:t>
            </w:r>
          </w:p>
          <w:p>
            <w:pPr>
              <w:pStyle w:val="Normal"/>
              <w:jc w:val="center"/>
              <w:rPr>
                <w:b/>
                <w:sz w:val="18"/>
              </w:rPr>
            </w:pPr>
            <w:r>
              <w:rPr>
                <w:b/>
                <w:sz w:val="18"/>
              </w:rPr>
            </w:r>
          </w:p>
        </w:tc>
        <w:tc>
          <w:tcPr>
            <w:tcW w:w="5132" w:type="dxa"/>
            <w:tcBorders>
              <w:top w:val="single" w:sz="6" w:space="0" w:color="000000"/>
              <w:start w:val="single" w:sz="6" w:space="0" w:color="000000"/>
              <w:bottom w:val="single" w:sz="6" w:space="0" w:color="000000"/>
              <w:end w:val="single" w:sz="6" w:space="0" w:color="000000"/>
            </w:tcBorders>
          </w:tcPr>
          <w:p>
            <w:pPr>
              <w:pStyle w:val="Normal"/>
              <w:jc w:val="center"/>
              <w:rPr>
                <w:b/>
                <w:sz w:val="18"/>
              </w:rPr>
            </w:pPr>
            <w:r>
              <w:rPr>
                <w:b/>
                <w:sz w:val="18"/>
              </w:rPr>
              <w:t>STATUS</w:t>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rPr>
                <w:b/>
                <w:sz w:val="18"/>
              </w:rPr>
            </w:pPr>
            <w:r>
              <w:rPr>
                <w:b/>
                <w:sz w:val="18"/>
              </w:rPr>
              <w:t>ARIZONA</w:t>
            </w:r>
          </w:p>
        </w:tc>
        <w:tc>
          <w:tcPr>
            <w:tcW w:w="1530" w:type="dxa"/>
            <w:gridSpan w:val="2"/>
            <w:tcBorders>
              <w:top w:val="single" w:sz="6" w:space="0" w:color="000000"/>
              <w:start w:val="single" w:sz="6" w:space="0" w:color="000000"/>
              <w:bottom w:val="single" w:sz="6" w:space="0" w:color="000000"/>
              <w:end w:val="single" w:sz="6" w:space="0" w:color="000000"/>
            </w:tcBorders>
          </w:tcPr>
          <w:p>
            <w:pPr>
              <w:pStyle w:val="Normal"/>
              <w:snapToGrid w:val="false"/>
              <w:rPr>
                <w:b/>
                <w:sz w:val="18"/>
              </w:rPr>
            </w:pPr>
            <w:r>
              <w:rPr>
                <w:b/>
                <w:sz w:val="18"/>
              </w:rPr>
            </w:r>
          </w:p>
        </w:tc>
        <w:tc>
          <w:tcPr>
            <w:tcW w:w="6480" w:type="dxa"/>
            <w:tcBorders>
              <w:top w:val="single" w:sz="6" w:space="0" w:color="000000"/>
              <w:start w:val="single" w:sz="6" w:space="0" w:color="000000"/>
              <w:bottom w:val="single" w:sz="6" w:space="0" w:color="000000"/>
              <w:end w:val="single" w:sz="6" w:space="0" w:color="000000"/>
            </w:tcBorders>
          </w:tcPr>
          <w:p>
            <w:pPr>
              <w:pStyle w:val="Normal"/>
              <w:snapToGrid w:val="false"/>
              <w:rPr>
                <w:sz w:val="18"/>
              </w:rPr>
            </w:pPr>
            <w:r>
              <w:rPr>
                <w:sz w:val="18"/>
              </w:rPr>
            </w:r>
          </w:p>
        </w:tc>
        <w:tc>
          <w:tcPr>
            <w:tcW w:w="5132" w:type="dxa"/>
            <w:tcBorders>
              <w:top w:val="single" w:sz="6" w:space="0" w:color="000000"/>
              <w:start w:val="single" w:sz="6" w:space="0" w:color="000000"/>
              <w:bottom w:val="single" w:sz="6" w:space="0" w:color="000000"/>
              <w:end w:val="single" w:sz="6" w:space="0" w:color="000000"/>
            </w:tcBorders>
          </w:tcPr>
          <w:p>
            <w:pPr>
              <w:pStyle w:val="Normal"/>
              <w:snapToGrid w:val="false"/>
              <w:rPr>
                <w:sz w:val="18"/>
              </w:rPr>
            </w:pPr>
            <w:r>
              <w:rPr>
                <w:sz w:val="18"/>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jc w:val="end"/>
              <w:rPr>
                <w:b/>
                <w:sz w:val="18"/>
              </w:rPr>
            </w:pPr>
            <w:r>
              <w:rPr>
                <w:b/>
                <w:sz w:val="18"/>
              </w:rPr>
              <w:t>Legislative</w:t>
            </w:r>
          </w:p>
        </w:tc>
        <w:tc>
          <w:tcPr>
            <w:tcW w:w="1530" w:type="dxa"/>
            <w:gridSpan w:val="2"/>
            <w:tcBorders>
              <w:top w:val="single" w:sz="6" w:space="0" w:color="000000"/>
              <w:start w:val="single" w:sz="6" w:space="0" w:color="000000"/>
              <w:bottom w:val="single" w:sz="6" w:space="0" w:color="000000"/>
              <w:end w:val="single" w:sz="6" w:space="0" w:color="000000"/>
            </w:tcBorders>
          </w:tcPr>
          <w:p>
            <w:pPr>
              <w:pStyle w:val="Normal"/>
              <w:rPr>
                <w:b/>
                <w:i/>
                <w:i/>
                <w:color w:val="000000"/>
                <w:sz w:val="18"/>
              </w:rPr>
            </w:pPr>
            <w:r>
              <w:rPr>
                <w:color w:val="000000"/>
                <w:sz w:val="18"/>
              </w:rPr>
              <w:t>2000 Legislature</w:t>
            </w:r>
          </w:p>
        </w:tc>
        <w:tc>
          <w:tcPr>
            <w:tcW w:w="6480" w:type="dxa"/>
            <w:tcBorders>
              <w:top w:val="single" w:sz="6" w:space="0" w:color="000000"/>
              <w:start w:val="single" w:sz="6" w:space="0" w:color="000000"/>
              <w:bottom w:val="single" w:sz="6" w:space="0" w:color="000000"/>
              <w:end w:val="single" w:sz="6" w:space="0" w:color="000000"/>
            </w:tcBorders>
          </w:tcPr>
          <w:p>
            <w:pPr>
              <w:pStyle w:val="Normal"/>
              <w:rPr>
                <w:sz w:val="18"/>
              </w:rPr>
            </w:pPr>
            <w:r>
              <w:rPr>
                <w:color w:val="000000"/>
                <w:sz w:val="18"/>
              </w:rPr>
              <w:t xml:space="preserve">Republicans control the governor's office, the House (40R-20D) and the Senate (16R-14D). </w:t>
            </w:r>
            <w:r>
              <w:rPr>
                <w:b/>
                <w:color w:val="800000"/>
                <w:sz w:val="16"/>
              </w:rPr>
              <w:t>(Stanton or Wilson)</w:t>
            </w:r>
          </w:p>
        </w:tc>
        <w:tc>
          <w:tcPr>
            <w:tcW w:w="5132" w:type="dxa"/>
            <w:tcBorders>
              <w:top w:val="single" w:sz="6" w:space="0" w:color="000000"/>
              <w:start w:val="single" w:sz="6" w:space="0" w:color="000000"/>
              <w:bottom w:val="single" w:sz="6" w:space="0" w:color="000000"/>
              <w:end w:val="single" w:sz="6" w:space="0" w:color="000000"/>
            </w:tcBorders>
          </w:tcPr>
          <w:p>
            <w:pPr>
              <w:pStyle w:val="Normal"/>
              <w:rPr/>
            </w:pPr>
            <w:r>
              <w:rPr>
                <w:color w:val="000000"/>
                <w:sz w:val="18"/>
              </w:rPr>
              <w:t>The 2000 Arizona Legislature adjourned April 18</w:t>
            </w:r>
            <w:r>
              <w:rPr>
                <w:color w:val="000000"/>
                <w:sz w:val="18"/>
                <w:vertAlign w:val="superscript"/>
              </w:rPr>
              <w:t>th</w:t>
            </w:r>
            <w:r>
              <w:rPr>
                <w:color w:val="000000"/>
                <w:sz w:val="18"/>
              </w:rPr>
              <w:t>.</w:t>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Book Antiqua" w:hAnsi="Book Antiqua" w:cs="Book Antiqua"/>
                <w:b/>
                <w:color w:val="000000"/>
                <w:sz w:val="18"/>
              </w:rPr>
            </w:pPr>
            <w:r>
              <w:rPr>
                <w:rFonts w:cs="Book Antiqua" w:ascii="Book Antiqua" w:hAnsi="Book Antiqua"/>
                <w:b/>
                <w:color w:val="000000"/>
                <w:sz w:val="18"/>
              </w:rPr>
            </w:r>
          </w:p>
        </w:tc>
        <w:tc>
          <w:tcPr>
            <w:tcW w:w="1530" w:type="dxa"/>
            <w:gridSpan w:val="2"/>
            <w:tcBorders>
              <w:top w:val="single" w:sz="6" w:space="0" w:color="000000"/>
              <w:start w:val="single" w:sz="6" w:space="0" w:color="000000"/>
              <w:bottom w:val="single" w:sz="6" w:space="0" w:color="000000"/>
              <w:end w:val="single" w:sz="6" w:space="0" w:color="000000"/>
            </w:tcBorders>
          </w:tcPr>
          <w:p>
            <w:pPr>
              <w:pStyle w:val="Normal"/>
              <w:rPr>
                <w:color w:val="0000FF"/>
                <w:sz w:val="18"/>
              </w:rPr>
            </w:pPr>
            <w:r>
              <w:rPr>
                <w:color w:val="0000FF"/>
                <w:sz w:val="18"/>
              </w:rPr>
              <w:t>*</w:t>
            </w:r>
            <w:r>
              <w:rPr>
                <w:b/>
                <w:i/>
                <w:color w:val="0000FF"/>
                <w:sz w:val="18"/>
              </w:rPr>
              <w:t>2001 Legislature</w:t>
            </w:r>
          </w:p>
        </w:tc>
        <w:tc>
          <w:tcPr>
            <w:tcW w:w="6480" w:type="dxa"/>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The election produced a 15R-15D tie in the Senate. Republicans maintained control of the House 36R-24D.  The governor's office was not up for election and remains Republican.</w:t>
            </w:r>
          </w:p>
        </w:tc>
        <w:tc>
          <w:tcPr>
            <w:tcW w:w="5132" w:type="dxa"/>
            <w:tcBorders>
              <w:top w:val="single" w:sz="6" w:space="0" w:color="000000"/>
              <w:start w:val="single" w:sz="6" w:space="0" w:color="000000"/>
              <w:bottom w:val="single" w:sz="6" w:space="0" w:color="000000"/>
              <w:end w:val="single" w:sz="6" w:space="0" w:color="000000"/>
            </w:tcBorders>
          </w:tcPr>
          <w:p>
            <w:pPr>
              <w:pStyle w:val="Normal"/>
              <w:rPr/>
            </w:pPr>
            <w:r>
              <w:rPr>
                <w:b/>
                <w:i/>
                <w:color w:val="0000FF"/>
                <w:sz w:val="18"/>
              </w:rPr>
              <w:t>The 2001 Arizona Legislature is scheduled to convene Mon., Jan. 8</w:t>
            </w:r>
            <w:r>
              <w:rPr>
                <w:b/>
                <w:i/>
                <w:color w:val="0000FF"/>
                <w:sz w:val="18"/>
                <w:vertAlign w:val="superscript"/>
              </w:rPr>
              <w:t>th</w:t>
            </w:r>
            <w:r>
              <w:rPr>
                <w:b/>
                <w:i/>
                <w:color w:val="0000FF"/>
                <w:sz w:val="18"/>
              </w:rPr>
              <w:t>.</w:t>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rPr>
                <w:b/>
                <w:sz w:val="18"/>
              </w:rPr>
            </w:pPr>
            <w:r>
              <w:rPr>
                <w:b/>
                <w:sz w:val="18"/>
              </w:rPr>
              <w:t>CALIFORNIA</w:t>
            </w:r>
          </w:p>
        </w:tc>
        <w:tc>
          <w:tcPr>
            <w:tcW w:w="1530" w:type="dxa"/>
            <w:gridSpan w:val="2"/>
            <w:tcBorders>
              <w:top w:val="single" w:sz="6" w:space="0" w:color="000000"/>
              <w:start w:val="single" w:sz="6" w:space="0" w:color="000000"/>
              <w:bottom w:val="single" w:sz="6" w:space="0" w:color="000000"/>
              <w:end w:val="single" w:sz="6" w:space="0" w:color="000000"/>
            </w:tcBorders>
          </w:tcPr>
          <w:p>
            <w:pPr>
              <w:pStyle w:val="Normal"/>
              <w:snapToGrid w:val="false"/>
              <w:rPr>
                <w:b/>
                <w:sz w:val="18"/>
              </w:rPr>
            </w:pPr>
            <w:r>
              <w:rPr>
                <w:b/>
                <w:sz w:val="18"/>
              </w:rPr>
            </w:r>
          </w:p>
        </w:tc>
        <w:tc>
          <w:tcPr>
            <w:tcW w:w="6480" w:type="dxa"/>
            <w:tcBorders>
              <w:top w:val="single" w:sz="6" w:space="0" w:color="000000"/>
              <w:start w:val="single" w:sz="6" w:space="0" w:color="000000"/>
              <w:bottom w:val="single" w:sz="6" w:space="0" w:color="000000"/>
              <w:end w:val="single" w:sz="6" w:space="0" w:color="000000"/>
            </w:tcBorders>
          </w:tcPr>
          <w:p>
            <w:pPr>
              <w:pStyle w:val="Normal"/>
              <w:snapToGrid w:val="false"/>
              <w:rPr>
                <w:sz w:val="18"/>
              </w:rPr>
            </w:pPr>
            <w:r>
              <w:rPr>
                <w:sz w:val="18"/>
              </w:rPr>
            </w:r>
          </w:p>
        </w:tc>
        <w:tc>
          <w:tcPr>
            <w:tcW w:w="5132" w:type="dxa"/>
            <w:tcBorders>
              <w:top w:val="single" w:sz="6" w:space="0" w:color="000000"/>
              <w:start w:val="single" w:sz="6" w:space="0" w:color="000000"/>
              <w:bottom w:val="single" w:sz="6" w:space="0" w:color="000000"/>
              <w:end w:val="single" w:sz="6" w:space="0" w:color="000000"/>
            </w:tcBorders>
          </w:tcPr>
          <w:p>
            <w:pPr>
              <w:pStyle w:val="Normal"/>
              <w:snapToGrid w:val="false"/>
              <w:rPr>
                <w:sz w:val="18"/>
              </w:rPr>
            </w:pPr>
            <w:r>
              <w:rPr>
                <w:sz w:val="18"/>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jc w:val="end"/>
              <w:rPr>
                <w:b/>
                <w:sz w:val="18"/>
              </w:rPr>
            </w:pPr>
            <w:r>
              <w:rPr>
                <w:b/>
                <w:sz w:val="18"/>
              </w:rPr>
              <w:t>Regulatory</w:t>
            </w:r>
          </w:p>
        </w:tc>
        <w:tc>
          <w:tcPr>
            <w:tcW w:w="1530" w:type="dxa"/>
            <w:gridSpan w:val="2"/>
            <w:tcBorders>
              <w:top w:val="single" w:sz="6" w:space="0" w:color="000000"/>
              <w:start w:val="single" w:sz="6" w:space="0" w:color="000000"/>
              <w:bottom w:val="single" w:sz="6" w:space="0" w:color="000000"/>
              <w:end w:val="single" w:sz="6" w:space="0" w:color="000000"/>
            </w:tcBorders>
          </w:tcPr>
          <w:p>
            <w:pPr>
              <w:pStyle w:val="Normal"/>
              <w:rPr>
                <w:sz w:val="18"/>
              </w:rPr>
            </w:pPr>
            <w:r>
              <w:rPr>
                <w:color w:val="0000FF"/>
                <w:sz w:val="18"/>
              </w:rPr>
              <w:t>*</w:t>
            </w:r>
            <w:r>
              <w:rPr>
                <w:b/>
                <w:i/>
                <w:color w:val="0000FF"/>
                <w:sz w:val="18"/>
              </w:rPr>
              <w:t>Natural Gas Strategy</w:t>
            </w:r>
          </w:p>
        </w:tc>
        <w:tc>
          <w:tcPr>
            <w:tcW w:w="6480" w:type="dxa"/>
            <w:tcBorders>
              <w:top w:val="single" w:sz="6" w:space="0" w:color="000000"/>
              <w:start w:val="single" w:sz="6" w:space="0" w:color="000000"/>
              <w:bottom w:val="single" w:sz="6" w:space="0" w:color="000000"/>
              <w:end w:val="single" w:sz="6" w:space="0" w:color="000000"/>
            </w:tcBorders>
          </w:tcPr>
          <w:p>
            <w:pPr>
              <w:pStyle w:val="Normal"/>
              <w:rPr>
                <w:sz w:val="18"/>
              </w:rPr>
            </w:pPr>
            <w:r>
              <w:rPr>
                <w:color w:val="000000"/>
                <w:sz w:val="18"/>
              </w:rPr>
              <w:t xml:space="preserve">CPUC investigation </w:t>
            </w:r>
            <w:r>
              <w:rPr>
                <w:sz w:val="18"/>
              </w:rPr>
              <w:t>to consider the costs and benefits of various promising revisions to the regulatory and market structure governing California's natural gas industry and to report to the California Legislature on the Commission's findings.</w:t>
            </w:r>
            <w:r>
              <w:rPr>
                <w:rFonts w:cs="Arial" w:ascii="Arial" w:hAnsi="Arial"/>
                <w:b/>
              </w:rPr>
              <w:t xml:space="preserve"> </w:t>
            </w:r>
            <w:r>
              <w:rPr>
                <w:b/>
                <w:color w:val="800000"/>
                <w:sz w:val="16"/>
              </w:rPr>
              <w:t xml:space="preserve">(Stanton or Wilson)                                           </w:t>
            </w:r>
          </w:p>
        </w:tc>
        <w:tc>
          <w:tcPr>
            <w:tcW w:w="5132" w:type="dxa"/>
            <w:tcBorders>
              <w:top w:val="single" w:sz="6" w:space="0" w:color="000000"/>
              <w:start w:val="single" w:sz="6" w:space="0" w:color="000000"/>
              <w:bottom w:val="single" w:sz="6" w:space="0" w:color="000000"/>
              <w:end w:val="single" w:sz="6" w:space="0" w:color="000000"/>
            </w:tcBorders>
          </w:tcPr>
          <w:p>
            <w:pPr>
              <w:pStyle w:val="Normal"/>
              <w:rPr/>
            </w:pPr>
            <w:r>
              <w:rPr>
                <w:color w:val="000000"/>
                <w:sz w:val="18"/>
              </w:rPr>
              <w:t xml:space="preserve">The Administrative Law Judge (ALJ) is drafting a proposed decision for the CPUC.  </w:t>
            </w:r>
            <w:r>
              <w:rPr>
                <w:b/>
                <w:i/>
                <w:color w:val="0000FF"/>
                <w:sz w:val="18"/>
              </w:rPr>
              <w:t>Proposed decision filed Nov. 21</w:t>
            </w:r>
            <w:r>
              <w:rPr>
                <w:b/>
                <w:i/>
                <w:color w:val="0000FF"/>
                <w:sz w:val="18"/>
                <w:vertAlign w:val="superscript"/>
              </w:rPr>
              <w:t>st</w:t>
            </w:r>
            <w:r>
              <w:rPr>
                <w:b/>
                <w:i/>
                <w:color w:val="0000FF"/>
                <w:sz w:val="18"/>
              </w:rPr>
              <w:t>.  Comments due by Dec. 11</w:t>
            </w:r>
            <w:r>
              <w:rPr>
                <w:b/>
                <w:i/>
                <w:color w:val="0000FF"/>
                <w:sz w:val="18"/>
                <w:vertAlign w:val="superscript"/>
              </w:rPr>
              <w:t>th</w:t>
            </w:r>
            <w:r>
              <w:rPr>
                <w:b/>
                <w:i/>
                <w:color w:val="0000FF"/>
                <w:sz w:val="18"/>
              </w:rPr>
              <w:t xml:space="preserve">. The proposed decision may be viewed on the CPUC website:  </w:t>
            </w:r>
          </w:p>
          <w:p>
            <w:pPr>
              <w:pStyle w:val="Normal"/>
              <w:rPr>
                <w:b/>
                <w:i/>
                <w:i/>
                <w:color w:val="0000FF"/>
                <w:sz w:val="18"/>
              </w:rPr>
            </w:pPr>
            <w:r>
              <w:rPr>
                <w:b/>
                <w:i/>
                <w:color w:val="0000FF"/>
                <w:sz w:val="18"/>
              </w:rPr>
            </w:r>
          </w:p>
          <w:p>
            <w:pPr>
              <w:pStyle w:val="Normal"/>
              <w:rPr>
                <w:b/>
                <w:i/>
                <w:i/>
                <w:color w:val="0000FF"/>
                <w:sz w:val="18"/>
              </w:rPr>
            </w:pPr>
            <w:r>
              <w:rPr>
                <w:b/>
                <w:i/>
                <w:color w:val="0000FF"/>
                <w:sz w:val="18"/>
              </w:rPr>
              <w:t>http://www.cpuc.ca.gov/PUBLISHED/COMMENT_DECISION/3580.htm</w:t>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jc w:val="end"/>
              <w:rPr>
                <w:b/>
                <w:sz w:val="18"/>
              </w:rPr>
            </w:pPr>
            <w:r>
              <w:rPr>
                <w:b/>
                <w:sz w:val="18"/>
              </w:rPr>
              <w:t>Legislative</w:t>
            </w:r>
          </w:p>
        </w:tc>
        <w:tc>
          <w:tcPr>
            <w:tcW w:w="1530" w:type="dxa"/>
            <w:gridSpan w:val="2"/>
            <w:tcBorders>
              <w:top w:val="single" w:sz="6" w:space="0" w:color="000000"/>
              <w:start w:val="single" w:sz="6" w:space="0" w:color="000000"/>
              <w:bottom w:val="single" w:sz="6" w:space="0" w:color="000000"/>
              <w:end w:val="single" w:sz="6" w:space="0" w:color="000000"/>
            </w:tcBorders>
          </w:tcPr>
          <w:p>
            <w:pPr>
              <w:pStyle w:val="Normal"/>
              <w:rPr>
                <w:color w:val="0000FF"/>
                <w:sz w:val="18"/>
              </w:rPr>
            </w:pPr>
            <w:r>
              <w:rPr>
                <w:color w:val="0000FF"/>
                <w:sz w:val="18"/>
              </w:rPr>
              <w:t>*</w:t>
            </w:r>
            <w:r>
              <w:rPr>
                <w:b/>
                <w:i/>
                <w:color w:val="0000FF"/>
                <w:sz w:val="18"/>
              </w:rPr>
              <w:t>2000 Legislature</w:t>
            </w:r>
          </w:p>
        </w:tc>
        <w:tc>
          <w:tcPr>
            <w:tcW w:w="6480" w:type="dxa"/>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 xml:space="preserve">Democrats control the governor's office, the House (47D-32R-1I) and the Senate (25D-15R).  </w:t>
            </w:r>
            <w:r>
              <w:rPr>
                <w:b/>
                <w:color w:val="800000"/>
                <w:sz w:val="16"/>
              </w:rPr>
              <w:t>(Stanton or Wilson)</w:t>
            </w:r>
          </w:p>
        </w:tc>
        <w:tc>
          <w:tcPr>
            <w:tcW w:w="5132" w:type="dxa"/>
            <w:tcBorders>
              <w:top w:val="single" w:sz="6" w:space="0" w:color="000000"/>
              <w:start w:val="single" w:sz="6" w:space="0" w:color="000000"/>
              <w:bottom w:val="single" w:sz="6" w:space="0" w:color="000000"/>
              <w:end w:val="single" w:sz="6" w:space="0" w:color="000000"/>
            </w:tcBorders>
          </w:tcPr>
          <w:p>
            <w:pPr>
              <w:pStyle w:val="Normal"/>
              <w:rPr/>
            </w:pPr>
            <w:r>
              <w:rPr>
                <w:b/>
                <w:i/>
                <w:color w:val="0000FF"/>
                <w:sz w:val="18"/>
              </w:rPr>
              <w:t>The 2000 California Legislature session officially ended Nov. 30</w:t>
            </w:r>
            <w:r>
              <w:rPr>
                <w:b/>
                <w:i/>
                <w:color w:val="0000FF"/>
                <w:sz w:val="18"/>
                <w:vertAlign w:val="superscript"/>
              </w:rPr>
              <w:t>th</w:t>
            </w:r>
            <w:r>
              <w:rPr>
                <w:b/>
                <w:i/>
                <w:color w:val="0000FF"/>
                <w:sz w:val="18"/>
              </w:rPr>
              <w:t>.</w:t>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snapToGrid w:val="false"/>
              <w:rPr>
                <w:b/>
                <w:i/>
                <w:i/>
                <w:color w:val="0000FF"/>
                <w:sz w:val="18"/>
              </w:rPr>
            </w:pPr>
            <w:r>
              <w:rPr>
                <w:b/>
                <w:i/>
                <w:color w:val="0000FF"/>
                <w:sz w:val="18"/>
              </w:rPr>
            </w:r>
          </w:p>
        </w:tc>
        <w:tc>
          <w:tcPr>
            <w:tcW w:w="1530" w:type="dxa"/>
            <w:gridSpan w:val="2"/>
            <w:tcBorders>
              <w:top w:val="single" w:sz="6" w:space="0" w:color="000000"/>
              <w:start w:val="single" w:sz="6" w:space="0" w:color="000000"/>
              <w:bottom w:val="single" w:sz="6" w:space="0" w:color="000000"/>
              <w:end w:val="single" w:sz="6" w:space="0" w:color="000000"/>
            </w:tcBorders>
          </w:tcPr>
          <w:p>
            <w:pPr>
              <w:pStyle w:val="Normal"/>
              <w:rPr/>
            </w:pPr>
            <w:r>
              <w:rPr>
                <w:color w:val="0000FF"/>
                <w:sz w:val="18"/>
              </w:rPr>
              <w:t>*</w:t>
            </w:r>
            <w:r>
              <w:rPr>
                <w:b/>
                <w:i/>
                <w:color w:val="0000FF"/>
                <w:sz w:val="18"/>
              </w:rPr>
              <w:t>2001 Legislature</w:t>
            </w:r>
          </w:p>
        </w:tc>
        <w:tc>
          <w:tcPr>
            <w:tcW w:w="6480" w:type="dxa"/>
            <w:tcBorders>
              <w:top w:val="single" w:sz="6" w:space="0" w:color="000000"/>
              <w:start w:val="single" w:sz="6" w:space="0" w:color="000000"/>
              <w:bottom w:val="single" w:sz="6" w:space="0" w:color="000000"/>
              <w:end w:val="single" w:sz="6" w:space="0" w:color="000000"/>
            </w:tcBorders>
          </w:tcPr>
          <w:p>
            <w:pPr>
              <w:pStyle w:val="Normal"/>
              <w:rPr/>
            </w:pPr>
            <w:r>
              <w:rPr>
                <w:color w:val="000000"/>
                <w:sz w:val="18"/>
              </w:rPr>
              <w:t xml:space="preserve">Democrats retained control of the House </w:t>
            </w:r>
            <w:r>
              <w:rPr>
                <w:b/>
                <w:i/>
                <w:color w:val="0000FF"/>
                <w:sz w:val="18"/>
              </w:rPr>
              <w:t>50D-30R</w:t>
            </w:r>
            <w:r>
              <w:rPr>
                <w:color w:val="000000"/>
                <w:sz w:val="18"/>
              </w:rPr>
              <w:t>.  The governor's office was not up for election and remains Democratic.</w:t>
            </w:r>
          </w:p>
        </w:tc>
        <w:tc>
          <w:tcPr>
            <w:tcW w:w="5132" w:type="dxa"/>
            <w:tcBorders>
              <w:top w:val="single" w:sz="6" w:space="0" w:color="000000"/>
              <w:start w:val="single" w:sz="6" w:space="0" w:color="000000"/>
              <w:bottom w:val="single" w:sz="6" w:space="0" w:color="000000"/>
              <w:end w:val="single" w:sz="6" w:space="0" w:color="000000"/>
            </w:tcBorders>
          </w:tcPr>
          <w:p>
            <w:pPr>
              <w:pStyle w:val="Normal"/>
              <w:rPr/>
            </w:pPr>
            <w:r>
              <w:rPr>
                <w:b/>
                <w:i/>
                <w:color w:val="0000FF"/>
                <w:sz w:val="18"/>
              </w:rPr>
              <w:t>The 2001 California Legislature convenes for an organizational session Mon., Dec. 4</w:t>
            </w:r>
            <w:r>
              <w:rPr>
                <w:b/>
                <w:i/>
                <w:color w:val="0000FF"/>
                <w:sz w:val="18"/>
                <w:vertAlign w:val="superscript"/>
              </w:rPr>
              <w:t>th</w:t>
            </w:r>
            <w:r>
              <w:rPr>
                <w:b/>
                <w:i/>
                <w:color w:val="0000FF"/>
                <w:sz w:val="18"/>
              </w:rPr>
              <w:t xml:space="preserve"> and reconvenes Wed., Jan. 3</w:t>
            </w:r>
            <w:r>
              <w:rPr>
                <w:b/>
                <w:i/>
                <w:color w:val="0000FF"/>
                <w:sz w:val="18"/>
                <w:vertAlign w:val="superscript"/>
              </w:rPr>
              <w:t>rd</w:t>
            </w:r>
            <w:r>
              <w:rPr>
                <w:b/>
                <w:i/>
                <w:color w:val="0000FF"/>
                <w:sz w:val="18"/>
              </w:rPr>
              <w:t>.</w:t>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rPr>
                <w:b/>
                <w:sz w:val="18"/>
              </w:rPr>
            </w:pPr>
            <w:r>
              <w:rPr>
                <w:b/>
                <w:sz w:val="18"/>
              </w:rPr>
              <w:t>ILLINOIS</w:t>
            </w:r>
            <w:r>
              <w:rPr>
                <w:b/>
                <w:color w:val="800000"/>
                <w:sz w:val="16"/>
              </w:rPr>
              <w:t xml:space="preserve"> </w:t>
            </w:r>
          </w:p>
        </w:tc>
        <w:tc>
          <w:tcPr>
            <w:tcW w:w="1530" w:type="dxa"/>
            <w:gridSpan w:val="2"/>
            <w:tcBorders>
              <w:top w:val="single" w:sz="6" w:space="0" w:color="000000"/>
              <w:start w:val="single" w:sz="6" w:space="0" w:color="000000"/>
              <w:bottom w:val="single" w:sz="6" w:space="0" w:color="000000"/>
              <w:end w:val="single" w:sz="6" w:space="0" w:color="000000"/>
            </w:tcBorders>
          </w:tcPr>
          <w:p>
            <w:pPr>
              <w:pStyle w:val="Normal"/>
              <w:snapToGrid w:val="false"/>
              <w:rPr>
                <w:b/>
                <w:sz w:val="18"/>
              </w:rPr>
            </w:pPr>
            <w:r>
              <w:rPr>
                <w:b/>
                <w:sz w:val="18"/>
              </w:rPr>
            </w:r>
          </w:p>
        </w:tc>
        <w:tc>
          <w:tcPr>
            <w:tcW w:w="6480" w:type="dxa"/>
            <w:tcBorders>
              <w:top w:val="single" w:sz="6" w:space="0" w:color="000000"/>
              <w:start w:val="single" w:sz="6" w:space="0" w:color="000000"/>
              <w:bottom w:val="single" w:sz="6" w:space="0" w:color="000000"/>
              <w:end w:val="single" w:sz="6" w:space="0" w:color="000000"/>
            </w:tcBorders>
          </w:tcPr>
          <w:p>
            <w:pPr>
              <w:pStyle w:val="Normal"/>
              <w:snapToGrid w:val="false"/>
              <w:rPr>
                <w:sz w:val="18"/>
              </w:rPr>
            </w:pPr>
            <w:r>
              <w:rPr>
                <w:sz w:val="18"/>
              </w:rPr>
            </w:r>
          </w:p>
        </w:tc>
        <w:tc>
          <w:tcPr>
            <w:tcW w:w="5132" w:type="dxa"/>
            <w:tcBorders>
              <w:top w:val="single" w:sz="6" w:space="0" w:color="000000"/>
              <w:start w:val="single" w:sz="6" w:space="0" w:color="000000"/>
              <w:bottom w:val="single" w:sz="6" w:space="0" w:color="000000"/>
              <w:end w:val="single" w:sz="6" w:space="0" w:color="000000"/>
            </w:tcBorders>
          </w:tcPr>
          <w:p>
            <w:pPr>
              <w:pStyle w:val="Normal"/>
              <w:snapToGrid w:val="false"/>
              <w:rPr>
                <w:sz w:val="18"/>
              </w:rPr>
            </w:pPr>
            <w:r>
              <w:rPr>
                <w:sz w:val="18"/>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jc w:val="end"/>
              <w:rPr>
                <w:b/>
                <w:sz w:val="18"/>
              </w:rPr>
            </w:pPr>
            <w:r>
              <w:rPr>
                <w:b/>
                <w:sz w:val="18"/>
              </w:rPr>
              <w:t>Regulatory</w:t>
            </w:r>
          </w:p>
          <w:p>
            <w:pPr>
              <w:pStyle w:val="Normal"/>
              <w:jc w:val="end"/>
              <w:rPr>
                <w:b/>
                <w:sz w:val="18"/>
              </w:rPr>
            </w:pPr>
            <w:r>
              <w:rPr>
                <w:b/>
                <w:sz w:val="18"/>
              </w:rPr>
            </w:r>
          </w:p>
          <w:p>
            <w:pPr>
              <w:pStyle w:val="Normal"/>
              <w:jc w:val="end"/>
              <w:rPr>
                <w:b/>
                <w:sz w:val="18"/>
              </w:rPr>
            </w:pPr>
            <w:r>
              <w:rPr>
                <w:b/>
                <w:sz w:val="18"/>
              </w:rPr>
            </w:r>
          </w:p>
        </w:tc>
        <w:tc>
          <w:tcPr>
            <w:tcW w:w="1530" w:type="dxa"/>
            <w:gridSpan w:val="2"/>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Unbundling</w:t>
            </w:r>
          </w:p>
          <w:p>
            <w:pPr>
              <w:pStyle w:val="Normal"/>
              <w:rPr>
                <w:color w:val="000000"/>
                <w:sz w:val="18"/>
              </w:rPr>
            </w:pPr>
            <w:r>
              <w:rPr>
                <w:color w:val="000000"/>
                <w:sz w:val="18"/>
              </w:rPr>
            </w:r>
          </w:p>
        </w:tc>
        <w:tc>
          <w:tcPr>
            <w:tcW w:w="6480" w:type="dxa"/>
            <w:tcBorders>
              <w:top w:val="single" w:sz="6" w:space="0" w:color="000000"/>
              <w:start w:val="single" w:sz="6" w:space="0" w:color="000000"/>
              <w:bottom w:val="single" w:sz="6" w:space="0" w:color="000000"/>
              <w:end w:val="single" w:sz="6" w:space="0" w:color="000000"/>
            </w:tcBorders>
          </w:tcPr>
          <w:p>
            <w:pPr>
              <w:pStyle w:val="Normal"/>
              <w:rPr>
                <w:sz w:val="18"/>
              </w:rPr>
            </w:pPr>
            <w:r>
              <w:rPr>
                <w:color w:val="000000"/>
                <w:sz w:val="18"/>
              </w:rPr>
              <w:t xml:space="preserve">The Illinois Commerce Commission (ICC) is considering expanding transportation options to smaller customers. In early 1997 the ICC’s Gas Policy Committee heard the views of staff, LDCs, pipelines, marketers and others.  ET&amp;S filed comments similar to those filed in other states addressing present and future adequate pipeline capacity issues.  </w:t>
            </w:r>
            <w:r>
              <w:rPr>
                <w:b/>
                <w:color w:val="800000"/>
                <w:sz w:val="16"/>
              </w:rPr>
              <w:t>(Wilson)</w:t>
            </w:r>
          </w:p>
        </w:tc>
        <w:tc>
          <w:tcPr>
            <w:tcW w:w="5132" w:type="dxa"/>
            <w:tcBorders>
              <w:top w:val="single" w:sz="6" w:space="0" w:color="000000"/>
              <w:start w:val="single" w:sz="6" w:space="0" w:color="000000"/>
              <w:bottom w:val="single" w:sz="6" w:space="0" w:color="000000"/>
              <w:end w:val="single" w:sz="6" w:space="0" w:color="000000"/>
            </w:tcBorders>
          </w:tcPr>
          <w:p>
            <w:pPr>
              <w:pStyle w:val="Normal"/>
              <w:rPr>
                <w:sz w:val="18"/>
              </w:rPr>
            </w:pPr>
            <w:r>
              <w:rPr>
                <w:color w:val="000000"/>
                <w:sz w:val="18"/>
              </w:rPr>
              <w:t>ICC workshops were held in August 1997 and in Oct. 1997 the Gas Policy Committee reported to the General Assembly possible legislative changes to facilitate unbundling.  No legislative action was taken.  Illinois LDCs outlined their plans and schedules for opening up their systems to supplier choice for all customers at a Gas Policy Committee meeting in Sept. 1998 in Springfield. Nicor gas said it is preparing for choice for all customers at the end of its three-year pilot, which began in May 1998. On July 13</w:t>
            </w:r>
            <w:r>
              <w:rPr>
                <w:color w:val="000000"/>
                <w:sz w:val="18"/>
                <w:vertAlign w:val="superscript"/>
              </w:rPr>
              <w:t>th</w:t>
            </w:r>
            <w:r>
              <w:rPr>
                <w:color w:val="000000"/>
                <w:sz w:val="18"/>
              </w:rPr>
              <w:t>, 2000 t</w:t>
            </w:r>
            <w:r>
              <w:rPr>
                <w:color w:val="000000"/>
                <w:sz w:val="18"/>
                <w:lang w:eastAsia="en-US"/>
              </w:rPr>
              <w:t>he ICC announced it has established a Marketing Monitoring Unit (MMU) to study the development of competition in the telephone, gas, and electric industries and to identify any impediments to the full emergence of competition in these industries within Illinois.</w:t>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jc w:val="end"/>
              <w:rPr>
                <w:b/>
                <w:sz w:val="18"/>
              </w:rPr>
            </w:pPr>
            <w:r>
              <w:rPr>
                <w:b/>
                <w:sz w:val="18"/>
              </w:rPr>
              <w:t>Legislative</w:t>
            </w:r>
          </w:p>
        </w:tc>
        <w:tc>
          <w:tcPr>
            <w:tcW w:w="1530" w:type="dxa"/>
            <w:gridSpan w:val="2"/>
            <w:tcBorders>
              <w:top w:val="single" w:sz="6" w:space="0" w:color="000000"/>
              <w:start w:val="single" w:sz="6" w:space="0" w:color="000000"/>
              <w:bottom w:val="single" w:sz="6" w:space="0" w:color="000000"/>
              <w:end w:val="single" w:sz="6" w:space="0" w:color="000000"/>
            </w:tcBorders>
          </w:tcPr>
          <w:p>
            <w:pPr>
              <w:pStyle w:val="Normal"/>
              <w:rPr>
                <w:sz w:val="18"/>
              </w:rPr>
            </w:pPr>
            <w:r>
              <w:rPr>
                <w:color w:val="0000FF"/>
                <w:sz w:val="18"/>
              </w:rPr>
              <w:t>*</w:t>
            </w:r>
            <w:r>
              <w:rPr>
                <w:b/>
                <w:i/>
                <w:color w:val="0000FF"/>
                <w:sz w:val="18"/>
              </w:rPr>
              <w:t>2000 Legislature</w:t>
            </w:r>
          </w:p>
        </w:tc>
        <w:tc>
          <w:tcPr>
            <w:tcW w:w="6480" w:type="dxa"/>
            <w:tcBorders>
              <w:top w:val="single" w:sz="6" w:space="0" w:color="000000"/>
              <w:start w:val="single" w:sz="6" w:space="0" w:color="000000"/>
              <w:bottom w:val="single" w:sz="6" w:space="0" w:color="000000"/>
              <w:end w:val="single" w:sz="6" w:space="0" w:color="000000"/>
            </w:tcBorders>
          </w:tcPr>
          <w:p>
            <w:pPr>
              <w:pStyle w:val="Normal"/>
              <w:rPr>
                <w:sz w:val="18"/>
              </w:rPr>
            </w:pPr>
            <w:r>
              <w:rPr>
                <w:color w:val="000000"/>
                <w:sz w:val="18"/>
              </w:rPr>
              <w:t xml:space="preserve">Republicans control the governor's office and the Senate (32R-27D).  Democrats control the House (62D-56R).  </w:t>
            </w:r>
            <w:r>
              <w:rPr>
                <w:b/>
                <w:color w:val="800000"/>
                <w:sz w:val="16"/>
              </w:rPr>
              <w:t>(Wilson)</w:t>
            </w:r>
          </w:p>
        </w:tc>
        <w:tc>
          <w:tcPr>
            <w:tcW w:w="5132" w:type="dxa"/>
            <w:tcBorders>
              <w:top w:val="single" w:sz="6" w:space="0" w:color="000000"/>
              <w:start w:val="single" w:sz="6" w:space="0" w:color="000000"/>
              <w:bottom w:val="single" w:sz="6" w:space="0" w:color="000000"/>
              <w:end w:val="single" w:sz="6" w:space="0" w:color="000000"/>
            </w:tcBorders>
          </w:tcPr>
          <w:p>
            <w:pPr>
              <w:pStyle w:val="Normal"/>
              <w:rPr/>
            </w:pPr>
            <w:r>
              <w:rPr>
                <w:color w:val="000000"/>
                <w:sz w:val="18"/>
              </w:rPr>
              <w:t>The Illinois Legislature’s 2000 session convened on Jan. 12</w:t>
            </w:r>
            <w:r>
              <w:rPr>
                <w:color w:val="000000"/>
                <w:sz w:val="18"/>
                <w:vertAlign w:val="superscript"/>
              </w:rPr>
              <w:t>th</w:t>
            </w:r>
            <w:r>
              <w:rPr>
                <w:color w:val="000000"/>
                <w:sz w:val="18"/>
              </w:rPr>
              <w:t>.  The Legislature adjourned April 15</w:t>
            </w:r>
            <w:r>
              <w:rPr>
                <w:color w:val="000000"/>
                <w:sz w:val="18"/>
                <w:vertAlign w:val="superscript"/>
              </w:rPr>
              <w:t>th</w:t>
            </w:r>
            <w:r>
              <w:rPr>
                <w:color w:val="000000"/>
                <w:sz w:val="18"/>
              </w:rPr>
              <w:t xml:space="preserve">, but will return for a veto session in November.  </w:t>
            </w:r>
            <w:r>
              <w:rPr>
                <w:b/>
                <w:i/>
                <w:color w:val="0000FF"/>
                <w:sz w:val="18"/>
              </w:rPr>
              <w:t>The veto session concluded Nov. 30</w:t>
            </w:r>
            <w:r>
              <w:rPr>
                <w:b/>
                <w:i/>
                <w:color w:val="0000FF"/>
                <w:sz w:val="18"/>
                <w:vertAlign w:val="superscript"/>
              </w:rPr>
              <w:t>th</w:t>
            </w:r>
            <w:r>
              <w:rPr>
                <w:b/>
                <w:i/>
                <w:color w:val="0000FF"/>
                <w:sz w:val="18"/>
              </w:rPr>
              <w:t>.</w:t>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snapToGrid w:val="false"/>
              <w:rPr>
                <w:b/>
                <w:i/>
                <w:i/>
                <w:color w:val="0000FF"/>
                <w:sz w:val="18"/>
              </w:rPr>
            </w:pPr>
            <w:r>
              <w:rPr>
                <w:b/>
                <w:i/>
                <w:color w:val="0000FF"/>
                <w:sz w:val="18"/>
              </w:rPr>
            </w:r>
          </w:p>
        </w:tc>
        <w:tc>
          <w:tcPr>
            <w:tcW w:w="1530" w:type="dxa"/>
            <w:gridSpan w:val="2"/>
            <w:tcBorders>
              <w:top w:val="single" w:sz="6" w:space="0" w:color="000000"/>
              <w:start w:val="single" w:sz="6" w:space="0" w:color="000000"/>
              <w:bottom w:val="single" w:sz="6" w:space="0" w:color="000000"/>
              <w:end w:val="single" w:sz="6" w:space="0" w:color="000000"/>
            </w:tcBorders>
          </w:tcPr>
          <w:p>
            <w:pPr>
              <w:pStyle w:val="Normal"/>
              <w:rPr>
                <w:sz w:val="18"/>
              </w:rPr>
            </w:pPr>
            <w:r>
              <w:rPr>
                <w:color w:val="0000FF"/>
                <w:sz w:val="18"/>
              </w:rPr>
              <w:t>*</w:t>
            </w:r>
            <w:r>
              <w:rPr>
                <w:b/>
                <w:i/>
                <w:color w:val="0000FF"/>
                <w:sz w:val="18"/>
              </w:rPr>
              <w:t>2001 Legislature</w:t>
            </w:r>
          </w:p>
        </w:tc>
        <w:tc>
          <w:tcPr>
            <w:tcW w:w="6480" w:type="dxa"/>
            <w:tcBorders>
              <w:top w:val="single" w:sz="6" w:space="0" w:color="000000"/>
              <w:start w:val="single" w:sz="6" w:space="0" w:color="000000"/>
              <w:bottom w:val="single" w:sz="6" w:space="0" w:color="000000"/>
              <w:end w:val="single" w:sz="6" w:space="0" w:color="000000"/>
            </w:tcBorders>
          </w:tcPr>
          <w:p>
            <w:pPr>
              <w:pStyle w:val="Normal"/>
              <w:rPr/>
            </w:pPr>
            <w:r>
              <w:rPr>
                <w:color w:val="000000"/>
                <w:sz w:val="18"/>
              </w:rPr>
              <w:t xml:space="preserve">Republicans retained control of the </w:t>
            </w:r>
            <w:r>
              <w:rPr>
                <w:b/>
                <w:i/>
                <w:color w:val="0000FF"/>
                <w:sz w:val="18"/>
              </w:rPr>
              <w:t>Senate</w:t>
            </w:r>
            <w:r>
              <w:rPr>
                <w:color w:val="000000"/>
                <w:sz w:val="18"/>
              </w:rPr>
              <w:t xml:space="preserve"> 32R-27D as well as the governor's office, which was not up for election.  Democrats maintained power in the </w:t>
            </w:r>
            <w:r>
              <w:rPr>
                <w:b/>
                <w:i/>
                <w:color w:val="0000FF"/>
                <w:sz w:val="18"/>
              </w:rPr>
              <w:t>House</w:t>
            </w:r>
            <w:r>
              <w:rPr>
                <w:color w:val="000000"/>
                <w:sz w:val="18"/>
              </w:rPr>
              <w:t xml:space="preserve"> 62D-56R.</w:t>
            </w:r>
          </w:p>
        </w:tc>
        <w:tc>
          <w:tcPr>
            <w:tcW w:w="5132" w:type="dxa"/>
            <w:tcBorders>
              <w:top w:val="single" w:sz="6" w:space="0" w:color="000000"/>
              <w:start w:val="single" w:sz="6" w:space="0" w:color="000000"/>
              <w:bottom w:val="single" w:sz="6" w:space="0" w:color="000000"/>
              <w:end w:val="single" w:sz="6" w:space="0" w:color="000000"/>
            </w:tcBorders>
          </w:tcPr>
          <w:p>
            <w:pPr>
              <w:pStyle w:val="Normal"/>
              <w:rPr/>
            </w:pPr>
            <w:r>
              <w:rPr>
                <w:b/>
                <w:i/>
                <w:color w:val="0000FF"/>
                <w:sz w:val="18"/>
              </w:rPr>
              <w:t>The 2001 Illinois Legislature is scheduled to convene Wed., Jan. 10</w:t>
            </w:r>
            <w:r>
              <w:rPr>
                <w:b/>
                <w:i/>
                <w:color w:val="0000FF"/>
                <w:sz w:val="18"/>
                <w:vertAlign w:val="superscript"/>
              </w:rPr>
              <w:t>th</w:t>
            </w:r>
            <w:r>
              <w:rPr>
                <w:b/>
                <w:i/>
                <w:color w:val="0000FF"/>
                <w:sz w:val="18"/>
              </w:rPr>
              <w:t>.</w:t>
            </w:r>
          </w:p>
        </w:tc>
      </w:tr>
    </w:tbl>
    <w:p>
      <w:pPr>
        <w:pStyle w:val="Normal"/>
        <w:rPr/>
      </w:pPr>
      <w:r>
        <w:br w:type="page"/>
      </w:r>
      <w:r>
        <w:rPr/>
      </w:r>
    </w:p>
    <w:tbl>
      <w:tblPr>
        <w:tblW w:w="14582" w:type="dxa"/>
        <w:jc w:val="start"/>
        <w:tblInd w:w="-72" w:type="dxa"/>
        <w:tblLayout w:type="fixed"/>
        <w:tblCellMar>
          <w:top w:w="0" w:type="dxa"/>
          <w:start w:w="108" w:type="dxa"/>
          <w:bottom w:w="0" w:type="dxa"/>
          <w:end w:w="108" w:type="dxa"/>
        </w:tblCellMar>
      </w:tblPr>
      <w:tblGrid>
        <w:gridCol w:w="1440"/>
        <w:gridCol w:w="1530"/>
        <w:gridCol w:w="6480"/>
        <w:gridCol w:w="5130"/>
        <w:gridCol w:w="1"/>
        <w:gridCol w:w="1"/>
      </w:tblGrid>
      <w:tr>
        <w:trPr/>
        <w:tc>
          <w:tcPr>
            <w:tcW w:w="1440" w:type="dxa"/>
            <w:tcBorders>
              <w:top w:val="single" w:sz="6" w:space="0" w:color="000000"/>
              <w:start w:val="single" w:sz="6" w:space="0" w:color="000000"/>
              <w:bottom w:val="single" w:sz="6" w:space="0" w:color="000000"/>
              <w:end w:val="single" w:sz="6" w:space="0" w:color="000000"/>
            </w:tcBorders>
          </w:tcPr>
          <w:p>
            <w:pPr>
              <w:pStyle w:val="Normal"/>
              <w:rPr>
                <w:b/>
                <w:sz w:val="18"/>
              </w:rPr>
            </w:pPr>
            <w:r>
              <w:rPr>
                <w:b/>
                <w:sz w:val="18"/>
              </w:rPr>
              <w:t>IOWA</w:t>
            </w:r>
          </w:p>
        </w:tc>
        <w:tc>
          <w:tcPr>
            <w:tcW w:w="1530" w:type="dxa"/>
            <w:tcBorders>
              <w:top w:val="single" w:sz="6" w:space="0" w:color="000000"/>
              <w:start w:val="single" w:sz="6" w:space="0" w:color="000000"/>
              <w:bottom w:val="single" w:sz="6" w:space="0" w:color="000000"/>
              <w:end w:val="single" w:sz="6" w:space="0" w:color="000000"/>
            </w:tcBorders>
          </w:tcPr>
          <w:p>
            <w:pPr>
              <w:pStyle w:val="Normal"/>
              <w:snapToGrid w:val="false"/>
              <w:rPr>
                <w:b/>
                <w:sz w:val="18"/>
              </w:rPr>
            </w:pPr>
            <w:r>
              <w:rPr>
                <w:b/>
                <w:sz w:val="18"/>
              </w:rPr>
            </w:r>
          </w:p>
        </w:tc>
        <w:tc>
          <w:tcPr>
            <w:tcW w:w="6480" w:type="dxa"/>
            <w:tcBorders>
              <w:top w:val="single" w:sz="6" w:space="0" w:color="000000"/>
              <w:start w:val="single" w:sz="6" w:space="0" w:color="000000"/>
              <w:bottom w:val="single" w:sz="6" w:space="0" w:color="000000"/>
              <w:end w:val="single" w:sz="6" w:space="0" w:color="000000"/>
            </w:tcBorders>
          </w:tcPr>
          <w:p>
            <w:pPr>
              <w:pStyle w:val="Normal"/>
              <w:snapToGrid w:val="false"/>
              <w:rPr>
                <w:sz w:val="18"/>
              </w:rPr>
            </w:pPr>
            <w:r>
              <w:rPr>
                <w:sz w:val="18"/>
              </w:rPr>
            </w:r>
          </w:p>
        </w:tc>
        <w:tc>
          <w:tcPr>
            <w:tcW w:w="5132" w:type="dxa"/>
            <w:tcBorders>
              <w:top w:val="single" w:sz="6" w:space="0" w:color="000000"/>
              <w:start w:val="single" w:sz="6" w:space="0" w:color="000000"/>
              <w:bottom w:val="single" w:sz="6" w:space="0" w:color="000000"/>
              <w:end w:val="single" w:sz="6" w:space="0" w:color="000000"/>
            </w:tcBorders>
          </w:tcPr>
          <w:p>
            <w:pPr>
              <w:pStyle w:val="Normal"/>
              <w:snapToGrid w:val="false"/>
              <w:rPr>
                <w:sz w:val="18"/>
              </w:rPr>
            </w:pPr>
            <w:r>
              <w:rPr>
                <w:sz w:val="18"/>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jc w:val="end"/>
              <w:rPr>
                <w:b/>
                <w:sz w:val="18"/>
              </w:rPr>
            </w:pPr>
            <w:r>
              <w:rPr>
                <w:b/>
                <w:sz w:val="18"/>
              </w:rPr>
              <w:t>Regulatory</w:t>
            </w:r>
          </w:p>
        </w:tc>
        <w:tc>
          <w:tcPr>
            <w:tcW w:w="1530" w:type="dxa"/>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INU-00-1</w:t>
            </w:r>
          </w:p>
        </w:tc>
        <w:tc>
          <w:tcPr>
            <w:tcW w:w="6480" w:type="dxa"/>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 xml:space="preserve">IUB rules review pursuant to Executive Order Eight, which requires state agencies to comprehensively review their rules. ET&amp;S and Northern Plains submitted a letter of intent to participate in the following reviews: </w:t>
            </w:r>
            <w:r>
              <w:rPr>
                <w:color w:val="000000"/>
                <w:sz w:val="18"/>
                <w:lang w:eastAsia="en-US"/>
              </w:rPr>
              <w:t>Chapter 9-Protection of Underground Improvements/Restoration After Pipeline Construction (NNG &amp; NPNG are involved in a current rulemaking on this), Chapter 12-Interstate Natural Gas Pipelines &amp; Underground Storage, New Chapter 14-Pipeline Permit Proceeding Rules (NNG participated in some workshops on this in 1995 but no rules were ever proposed or adopted), Chapter 19-Service supplied by Gas Utilities, Chapter 15-Cogeneration and Small Power Production, Chapter 24-Location and Construction of Electric Generating Facilities.</w:t>
            </w:r>
            <w:r>
              <w:rPr>
                <w:b/>
                <w:color w:val="800000"/>
                <w:sz w:val="16"/>
              </w:rPr>
              <w:t xml:space="preserve"> (Stanton)</w:t>
            </w:r>
          </w:p>
        </w:tc>
        <w:tc>
          <w:tcPr>
            <w:tcW w:w="5132" w:type="dxa"/>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IUB staff-proposed changes to Chapters 9 and 12 were issued and interested parties were invited to make their own suggestions for changes and comment on the staff's list of proposed changes. These comments were due by August 15, 2000.  Informal staff proposals to parts of Chapters 19, 15 and 24 were issued the first week of Oct. NNG continues to monitor the proposals and comments being filed on them.  Additional opportunities for comment will be made once staff draft's formal proposed changes.</w:t>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snapToGrid w:val="false"/>
              <w:jc w:val="end"/>
              <w:rPr>
                <w:b/>
                <w:color w:val="000000"/>
                <w:sz w:val="18"/>
              </w:rPr>
            </w:pPr>
            <w:r>
              <w:rPr>
                <w:b/>
                <w:color w:val="000000"/>
                <w:sz w:val="18"/>
              </w:rPr>
            </w:r>
          </w:p>
        </w:tc>
        <w:tc>
          <w:tcPr>
            <w:tcW w:w="1530" w:type="dxa"/>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NOI-98-3</w:t>
            </w:r>
          </w:p>
        </w:tc>
        <w:tc>
          <w:tcPr>
            <w:tcW w:w="6480" w:type="dxa"/>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 xml:space="preserve">Established workshops on small volume natural gas (SVG) transportation filings, which resulted from rules adopted in October 1997 (RMU-96-12).  These rules allowed LDCs to file individual plans in lieu of tariffs required under the rules (Iowa Administrative Code 199-19.13(4)"e" (1999).  Issues included the following: customer education, standards of conduct, marketer certification, market roles, consumer protection, price setting, public benefits, implementation, and transition costs. Workshops were held on end-state, marketer requirements, operational, and transition issues, which included pipeline capacity. MidAm, Utilicorp and Alliant agreed with Northern that LDCs are in the best position to monitor pipeline capacity requirements.  MidAm did not, however, feel that LDCs should hold backup capacity.  </w:t>
            </w:r>
            <w:r>
              <w:rPr>
                <w:b/>
                <w:color w:val="800000"/>
                <w:sz w:val="16"/>
              </w:rPr>
              <w:t>(Stanton)</w:t>
            </w:r>
          </w:p>
        </w:tc>
        <w:tc>
          <w:tcPr>
            <w:tcW w:w="5132" w:type="dxa"/>
            <w:tcBorders>
              <w:top w:val="single" w:sz="6" w:space="0" w:color="000000"/>
              <w:start w:val="single" w:sz="6" w:space="0" w:color="000000"/>
              <w:bottom w:val="single" w:sz="6" w:space="0" w:color="000000"/>
              <w:end w:val="single" w:sz="6" w:space="0" w:color="000000"/>
            </w:tcBorders>
          </w:tcPr>
          <w:p>
            <w:pPr>
              <w:pStyle w:val="Normal"/>
              <w:rPr/>
            </w:pPr>
            <w:r>
              <w:rPr>
                <w:color w:val="000000"/>
                <w:sz w:val="18"/>
              </w:rPr>
              <w:t>On Mar. 3, 2000 the IUB issued an order that found that the LDCs' SVG plans, which were the basis of this NOI, were not a satisfactory means of opening natural gas markets for small volume users.  The Board closed all of those dockets.  On August 8</w:t>
            </w:r>
            <w:r>
              <w:rPr>
                <w:color w:val="000000"/>
                <w:sz w:val="18"/>
                <w:vertAlign w:val="superscript"/>
              </w:rPr>
              <w:t>th</w:t>
            </w:r>
            <w:r>
              <w:rPr>
                <w:color w:val="000000"/>
                <w:sz w:val="18"/>
              </w:rPr>
              <w:t xml:space="preserve"> the Board ordered Iowa LDCs to file draft tariffs to implement natural gas transportation to small volume end-users.  The Board suggested tariffs for an existing school district transportation pilot program as a model.  The draft tariffs were filed in early October and comments were due Oct. 30.  MidAm filed comments suggesting that the IUB abandon this effort since electricity restructuring appears to be a dead issue in Iowa for some time to come. The company expressed concern that Iowa LDCs would incur considerable expense preparing for a gas market that is not likely to develop.  MidAm said marketers would be less likely to come to an open Iowa natural gas market if they can go to other jurisdictions that offer both open natural gas and electric markets.</w:t>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snapToGrid w:val="false"/>
              <w:jc w:val="end"/>
              <w:rPr>
                <w:b/>
                <w:color w:val="000000"/>
                <w:sz w:val="18"/>
              </w:rPr>
            </w:pPr>
            <w:r>
              <w:rPr>
                <w:b/>
                <w:color w:val="000000"/>
                <w:sz w:val="18"/>
              </w:rPr>
            </w:r>
          </w:p>
        </w:tc>
        <w:tc>
          <w:tcPr>
            <w:tcW w:w="1530" w:type="dxa"/>
            <w:tcBorders>
              <w:top w:val="single" w:sz="6" w:space="0" w:color="000000"/>
              <w:start w:val="single" w:sz="6" w:space="0" w:color="000000"/>
              <w:bottom w:val="single" w:sz="6" w:space="0" w:color="000000"/>
              <w:end w:val="single" w:sz="6" w:space="0" w:color="000000"/>
            </w:tcBorders>
          </w:tcPr>
          <w:p>
            <w:pPr>
              <w:pStyle w:val="Normal"/>
              <w:rPr>
                <w:color w:val="0000FF"/>
                <w:sz w:val="18"/>
              </w:rPr>
            </w:pPr>
            <w:r>
              <w:rPr>
                <w:color w:val="000000"/>
                <w:sz w:val="18"/>
              </w:rPr>
              <w:t>RMU-99-10</w:t>
            </w:r>
          </w:p>
        </w:tc>
        <w:tc>
          <w:tcPr>
            <w:tcW w:w="6480" w:type="dxa"/>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 xml:space="preserve">IUB rule making to implement the pipeline construction land restoration law passed by the 1999 Iowa Legislature (SF 160), which became effective July 1, 1999.  </w:t>
            </w:r>
            <w:r>
              <w:rPr>
                <w:b/>
                <w:color w:val="800000"/>
                <w:sz w:val="16"/>
              </w:rPr>
              <w:t>(Stanton)</w:t>
            </w:r>
          </w:p>
        </w:tc>
        <w:tc>
          <w:tcPr>
            <w:tcW w:w="5132" w:type="dxa"/>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A workshop was held Nov. 17</w:t>
            </w:r>
            <w:r>
              <w:rPr>
                <w:color w:val="000000"/>
                <w:sz w:val="18"/>
                <w:vertAlign w:val="superscript"/>
              </w:rPr>
              <w:t>th</w:t>
            </w:r>
            <w:r>
              <w:rPr>
                <w:color w:val="000000"/>
                <w:sz w:val="18"/>
              </w:rPr>
              <w:t xml:space="preserve"> and o</w:t>
            </w:r>
            <w:r>
              <w:rPr>
                <w:color w:val="000000"/>
                <w:sz w:val="18"/>
                <w:lang w:eastAsia="en-US"/>
              </w:rPr>
              <w:t>n May 19</w:t>
            </w:r>
            <w:r>
              <w:rPr>
                <w:color w:val="000000"/>
                <w:sz w:val="18"/>
                <w:vertAlign w:val="superscript"/>
                <w:lang w:eastAsia="en-US"/>
              </w:rPr>
              <w:t>th</w:t>
            </w:r>
            <w:r>
              <w:rPr>
                <w:color w:val="000000"/>
                <w:sz w:val="18"/>
                <w:lang w:eastAsia="en-US"/>
              </w:rPr>
              <w:t xml:space="preserve"> the Board issued proposed modifications to its originally proposed rules.  Rejected were suggestions for generic plans and exempting blanket certificate projects. The Board declined to modify a 120-day pre-construction filing requirement, though it would accept draft or best-available information at the outset and would allow a FERC Environmental Assessment (EA) as an alternative to a land restoration plan. The modifications would exempt emergency repairs, and the plan for "less significant construction" not requiring a certificate would be the rules themselves. Northern and Northern Border filed comments on the modified rules.  A hearing was held July 19</w:t>
            </w:r>
            <w:r>
              <w:rPr>
                <w:color w:val="000000"/>
                <w:sz w:val="18"/>
                <w:vertAlign w:val="superscript"/>
                <w:lang w:eastAsia="en-US"/>
              </w:rPr>
              <w:t>th</w:t>
            </w:r>
            <w:r>
              <w:rPr>
                <w:color w:val="000000"/>
                <w:sz w:val="18"/>
                <w:lang w:eastAsia="en-US"/>
              </w:rPr>
              <w:t>.  August 18</w:t>
            </w:r>
            <w:r>
              <w:rPr>
                <w:color w:val="000000"/>
                <w:sz w:val="18"/>
                <w:vertAlign w:val="superscript"/>
                <w:lang w:eastAsia="en-US"/>
              </w:rPr>
              <w:t>th</w:t>
            </w:r>
            <w:r>
              <w:rPr>
                <w:color w:val="000000"/>
                <w:sz w:val="18"/>
                <w:lang w:eastAsia="en-US"/>
              </w:rPr>
              <w:t xml:space="preserve"> was set as the deadline for the filing of additional comments.</w:t>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jc w:val="end"/>
              <w:rPr>
                <w:b/>
                <w:sz w:val="18"/>
              </w:rPr>
            </w:pPr>
            <w:r>
              <w:rPr>
                <w:b/>
                <w:sz w:val="18"/>
              </w:rPr>
              <w:t>Legislative</w:t>
            </w:r>
          </w:p>
        </w:tc>
        <w:tc>
          <w:tcPr>
            <w:tcW w:w="1530" w:type="dxa"/>
            <w:tcBorders>
              <w:top w:val="single" w:sz="6" w:space="0" w:color="000000"/>
              <w:start w:val="single" w:sz="6" w:space="0" w:color="000000"/>
              <w:bottom w:val="single" w:sz="6" w:space="0" w:color="000000"/>
              <w:end w:val="single" w:sz="6" w:space="0" w:color="000000"/>
            </w:tcBorders>
          </w:tcPr>
          <w:p>
            <w:pPr>
              <w:pStyle w:val="Heading2"/>
              <w:ind w:hanging="0" w:start="0"/>
              <w:rPr>
                <w:b w:val="false"/>
                <w:i w:val="false"/>
                <w:i w:val="false"/>
                <w:color w:val="000000"/>
              </w:rPr>
            </w:pPr>
            <w:r>
              <w:rPr>
                <w:b w:val="false"/>
                <w:i w:val="false"/>
                <w:color w:val="000000"/>
              </w:rPr>
              <w:t>2000 Legislature</w:t>
            </w:r>
          </w:p>
        </w:tc>
        <w:tc>
          <w:tcPr>
            <w:tcW w:w="6480" w:type="dxa"/>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Democrats control the governor’s office.  Republicans command the Senate (30R-20D) and House (56R-44D).</w:t>
            </w:r>
            <w:r>
              <w:rPr>
                <w:i/>
                <w:color w:val="0000FF"/>
                <w:sz w:val="18"/>
              </w:rPr>
              <w:t xml:space="preserve"> </w:t>
            </w:r>
            <w:r>
              <w:rPr>
                <w:b/>
                <w:color w:val="800000"/>
                <w:sz w:val="16"/>
              </w:rPr>
              <w:t>(Stanton)</w:t>
            </w:r>
          </w:p>
        </w:tc>
        <w:tc>
          <w:tcPr>
            <w:tcW w:w="5132" w:type="dxa"/>
            <w:tcBorders>
              <w:top w:val="single" w:sz="6" w:space="0" w:color="000000"/>
              <w:start w:val="single" w:sz="6" w:space="0" w:color="000000"/>
              <w:bottom w:val="single" w:sz="6" w:space="0" w:color="000000"/>
              <w:end w:val="single" w:sz="6" w:space="0" w:color="000000"/>
            </w:tcBorders>
          </w:tcPr>
          <w:p>
            <w:pPr>
              <w:pStyle w:val="Normal"/>
              <w:rPr/>
            </w:pPr>
            <w:r>
              <w:rPr>
                <w:color w:val="000000"/>
                <w:sz w:val="18"/>
              </w:rPr>
              <w:t>Iowa’s 2000 Legislature adjourned Wednesday, Apr. 26</w:t>
            </w:r>
            <w:r>
              <w:rPr>
                <w:color w:val="000000"/>
                <w:sz w:val="18"/>
                <w:vertAlign w:val="superscript"/>
              </w:rPr>
              <w:t>th</w:t>
            </w:r>
            <w:r>
              <w:rPr>
                <w:color w:val="000000"/>
                <w:sz w:val="18"/>
              </w:rPr>
              <w:t>.</w:t>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snapToGrid w:val="false"/>
              <w:rPr>
                <w:b/>
                <w:color w:val="000000"/>
                <w:sz w:val="18"/>
              </w:rPr>
            </w:pPr>
            <w:r>
              <w:rPr>
                <w:b/>
                <w:color w:val="000000"/>
                <w:sz w:val="18"/>
              </w:rPr>
            </w:r>
          </w:p>
        </w:tc>
        <w:tc>
          <w:tcPr>
            <w:tcW w:w="1530" w:type="dxa"/>
            <w:tcBorders>
              <w:top w:val="single" w:sz="6" w:space="0" w:color="000000"/>
              <w:start w:val="single" w:sz="6" w:space="0" w:color="000000"/>
              <w:bottom w:val="single" w:sz="6" w:space="0" w:color="000000"/>
              <w:end w:val="single" w:sz="6" w:space="0" w:color="000000"/>
            </w:tcBorders>
          </w:tcPr>
          <w:p>
            <w:pPr>
              <w:pStyle w:val="Normal"/>
              <w:rPr>
                <w:sz w:val="18"/>
              </w:rPr>
            </w:pPr>
            <w:r>
              <w:rPr>
                <w:color w:val="0000FF"/>
                <w:sz w:val="18"/>
              </w:rPr>
              <w:t>*</w:t>
            </w:r>
            <w:r>
              <w:rPr>
                <w:b/>
                <w:i/>
                <w:color w:val="0000FF"/>
                <w:sz w:val="18"/>
              </w:rPr>
              <w:t>2001 Legislature</w:t>
            </w:r>
          </w:p>
        </w:tc>
        <w:tc>
          <w:tcPr>
            <w:tcW w:w="6480" w:type="dxa"/>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Republicans rule the House 56R-44D as well as the Senate 30R-20D.  Democrats hold the governor's office, which was not up for election.</w:t>
            </w:r>
          </w:p>
        </w:tc>
        <w:tc>
          <w:tcPr>
            <w:tcW w:w="5132" w:type="dxa"/>
            <w:tcBorders>
              <w:top w:val="single" w:sz="6" w:space="0" w:color="000000"/>
              <w:start w:val="single" w:sz="6" w:space="0" w:color="000000"/>
              <w:bottom w:val="single" w:sz="6" w:space="0" w:color="000000"/>
              <w:end w:val="single" w:sz="6" w:space="0" w:color="000000"/>
            </w:tcBorders>
          </w:tcPr>
          <w:p>
            <w:pPr>
              <w:pStyle w:val="Normal"/>
              <w:rPr/>
            </w:pPr>
            <w:r>
              <w:rPr>
                <w:b/>
                <w:i/>
                <w:color w:val="0000FF"/>
                <w:sz w:val="18"/>
              </w:rPr>
              <w:t>The 2001 session of the Iowa Legislature is scheduled to begin Mon., Jan. 8</w:t>
            </w:r>
            <w:r>
              <w:rPr>
                <w:b/>
                <w:i/>
                <w:color w:val="0000FF"/>
                <w:sz w:val="18"/>
                <w:vertAlign w:val="superscript"/>
              </w:rPr>
              <w:t>th</w:t>
            </w:r>
            <w:r>
              <w:rPr>
                <w:b/>
                <w:i/>
                <w:color w:val="0000FF"/>
                <w:sz w:val="18"/>
              </w:rPr>
              <w:t>.</w:t>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rPr>
                <w:b/>
                <w:sz w:val="18"/>
              </w:rPr>
            </w:pPr>
            <w:r>
              <w:rPr>
                <w:b/>
                <w:sz w:val="18"/>
              </w:rPr>
              <w:t>KANSAS</w:t>
            </w:r>
          </w:p>
        </w:tc>
        <w:tc>
          <w:tcPr>
            <w:tcW w:w="1530" w:type="dxa"/>
            <w:tcBorders>
              <w:top w:val="single" w:sz="6" w:space="0" w:color="000000"/>
              <w:start w:val="single" w:sz="6" w:space="0" w:color="000000"/>
              <w:bottom w:val="single" w:sz="6" w:space="0" w:color="000000"/>
              <w:end w:val="single" w:sz="6" w:space="0" w:color="000000"/>
            </w:tcBorders>
          </w:tcPr>
          <w:p>
            <w:pPr>
              <w:pStyle w:val="Normal"/>
              <w:snapToGrid w:val="false"/>
              <w:rPr>
                <w:b/>
                <w:sz w:val="18"/>
              </w:rPr>
            </w:pPr>
            <w:r>
              <w:rPr>
                <w:b/>
                <w:sz w:val="18"/>
              </w:rPr>
            </w:r>
          </w:p>
        </w:tc>
        <w:tc>
          <w:tcPr>
            <w:tcW w:w="6480" w:type="dxa"/>
            <w:tcBorders>
              <w:top w:val="single" w:sz="6" w:space="0" w:color="000000"/>
              <w:start w:val="single" w:sz="6" w:space="0" w:color="000000"/>
              <w:bottom w:val="single" w:sz="6" w:space="0" w:color="000000"/>
              <w:end w:val="single" w:sz="6" w:space="0" w:color="000000"/>
            </w:tcBorders>
          </w:tcPr>
          <w:p>
            <w:pPr>
              <w:pStyle w:val="Normal"/>
              <w:snapToGrid w:val="false"/>
              <w:rPr>
                <w:sz w:val="18"/>
              </w:rPr>
            </w:pPr>
            <w:r>
              <w:rPr>
                <w:sz w:val="18"/>
              </w:rPr>
            </w:r>
          </w:p>
        </w:tc>
        <w:tc>
          <w:tcPr>
            <w:tcW w:w="5132" w:type="dxa"/>
            <w:tcBorders>
              <w:top w:val="single" w:sz="6" w:space="0" w:color="000000"/>
              <w:start w:val="single" w:sz="6" w:space="0" w:color="000000"/>
              <w:bottom w:val="single" w:sz="6" w:space="0" w:color="000000"/>
              <w:end w:val="single" w:sz="6" w:space="0" w:color="000000"/>
            </w:tcBorders>
          </w:tcPr>
          <w:p>
            <w:pPr>
              <w:pStyle w:val="Normal"/>
              <w:snapToGrid w:val="false"/>
              <w:rPr>
                <w:sz w:val="18"/>
              </w:rPr>
            </w:pPr>
            <w:r>
              <w:rPr>
                <w:sz w:val="18"/>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jc w:val="end"/>
              <w:rPr>
                <w:b/>
                <w:sz w:val="18"/>
              </w:rPr>
            </w:pPr>
            <w:r>
              <w:rPr>
                <w:b/>
                <w:sz w:val="18"/>
              </w:rPr>
              <w:t>Legislative</w:t>
            </w:r>
          </w:p>
        </w:tc>
        <w:tc>
          <w:tcPr>
            <w:tcW w:w="1530" w:type="dxa"/>
            <w:tcBorders>
              <w:top w:val="single" w:sz="6" w:space="0" w:color="000000"/>
              <w:start w:val="single" w:sz="6" w:space="0" w:color="000000"/>
              <w:bottom w:val="single" w:sz="6" w:space="0" w:color="000000"/>
              <w:end w:val="single" w:sz="6" w:space="0" w:color="000000"/>
            </w:tcBorders>
          </w:tcPr>
          <w:p>
            <w:pPr>
              <w:pStyle w:val="Normal"/>
              <w:rPr>
                <w:color w:val="0000FF"/>
                <w:sz w:val="18"/>
              </w:rPr>
            </w:pPr>
            <w:r>
              <w:rPr>
                <w:color w:val="000000"/>
                <w:sz w:val="18"/>
              </w:rPr>
              <w:t>2000 Legislature</w:t>
            </w:r>
          </w:p>
        </w:tc>
        <w:tc>
          <w:tcPr>
            <w:tcW w:w="6480" w:type="dxa"/>
            <w:tcBorders>
              <w:top w:val="single" w:sz="6" w:space="0" w:color="000000"/>
              <w:start w:val="single" w:sz="6" w:space="0" w:color="000000"/>
              <w:bottom w:val="single" w:sz="6" w:space="0" w:color="000000"/>
              <w:end w:val="single" w:sz="6" w:space="0" w:color="000000"/>
            </w:tcBorders>
          </w:tcPr>
          <w:p>
            <w:pPr>
              <w:pStyle w:val="Normal"/>
              <w:rPr>
                <w:sz w:val="18"/>
              </w:rPr>
            </w:pPr>
            <w:r>
              <w:rPr>
                <w:color w:val="000000"/>
                <w:sz w:val="18"/>
              </w:rPr>
              <w:t xml:space="preserve">Republicans control the governor’s office, the Senate (27-13) and the House (77R-48D).  </w:t>
            </w:r>
            <w:r>
              <w:rPr>
                <w:b/>
                <w:color w:val="800000"/>
                <w:sz w:val="16"/>
              </w:rPr>
              <w:t>(Wilson)</w:t>
            </w:r>
          </w:p>
        </w:tc>
        <w:tc>
          <w:tcPr>
            <w:tcW w:w="5132" w:type="dxa"/>
            <w:tcBorders>
              <w:top w:val="single" w:sz="6" w:space="0" w:color="000000"/>
              <w:start w:val="single" w:sz="6" w:space="0" w:color="000000"/>
              <w:bottom w:val="single" w:sz="6" w:space="0" w:color="000000"/>
              <w:end w:val="single" w:sz="6" w:space="0" w:color="000000"/>
            </w:tcBorders>
          </w:tcPr>
          <w:p>
            <w:pPr>
              <w:pStyle w:val="Normal"/>
              <w:rPr/>
            </w:pPr>
            <w:r>
              <w:rPr>
                <w:color w:val="000000"/>
                <w:sz w:val="18"/>
              </w:rPr>
              <w:t>The 2000 Kansas Legislature adjourned Wed. May 24</w:t>
            </w:r>
            <w:r>
              <w:rPr>
                <w:color w:val="000000"/>
                <w:sz w:val="18"/>
                <w:vertAlign w:val="superscript"/>
              </w:rPr>
              <w:t>th</w:t>
            </w:r>
            <w:r>
              <w:rPr>
                <w:color w:val="000000"/>
                <w:sz w:val="18"/>
              </w:rPr>
              <w:t>.</w:t>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snapToGrid w:val="false"/>
              <w:jc w:val="end"/>
              <w:rPr>
                <w:b/>
                <w:color w:val="000000"/>
                <w:sz w:val="18"/>
              </w:rPr>
            </w:pPr>
            <w:r>
              <w:rPr>
                <w:b/>
                <w:color w:val="000000"/>
                <w:sz w:val="18"/>
              </w:rPr>
            </w:r>
          </w:p>
        </w:tc>
        <w:tc>
          <w:tcPr>
            <w:tcW w:w="1530" w:type="dxa"/>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FF"/>
                <w:sz w:val="18"/>
              </w:rPr>
              <w:t>*</w:t>
            </w:r>
            <w:r>
              <w:rPr>
                <w:b/>
                <w:i/>
                <w:color w:val="0000FF"/>
                <w:sz w:val="18"/>
              </w:rPr>
              <w:t>2001 Legislature</w:t>
            </w:r>
          </w:p>
        </w:tc>
        <w:tc>
          <w:tcPr>
            <w:tcW w:w="6480" w:type="dxa"/>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Republicans retain control of the Senate 30R-10D and the House 79R-46D.  There was no election for the governor's office and it remains Republican.</w:t>
            </w:r>
          </w:p>
        </w:tc>
        <w:tc>
          <w:tcPr>
            <w:tcW w:w="5131" w:type="dxa"/>
            <w:tcBorders>
              <w:top w:val="single" w:sz="6" w:space="0" w:color="000000"/>
              <w:start w:val="single" w:sz="6" w:space="0" w:color="000000"/>
              <w:bottom w:val="single" w:sz="6" w:space="0" w:color="000000"/>
              <w:end w:val="single" w:sz="6" w:space="0" w:color="000000"/>
            </w:tcBorders>
          </w:tcPr>
          <w:p>
            <w:pPr>
              <w:pStyle w:val="Normal"/>
              <w:rPr/>
            </w:pPr>
            <w:r>
              <w:rPr>
                <w:b/>
                <w:i/>
                <w:color w:val="0000FF"/>
                <w:sz w:val="18"/>
              </w:rPr>
              <w:t>The 2001 Kansas Legislature convenes Mon., Jan. 8</w:t>
            </w:r>
            <w:r>
              <w:rPr>
                <w:b/>
                <w:i/>
                <w:color w:val="0000FF"/>
                <w:sz w:val="18"/>
                <w:vertAlign w:val="superscript"/>
              </w:rPr>
              <w:t>th</w:t>
            </w:r>
            <w:r>
              <w:rPr>
                <w:b/>
                <w:i/>
                <w:color w:val="0000FF"/>
                <w:sz w:val="18"/>
              </w:rPr>
              <w:t>.</w:t>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snapToGrid w:val="false"/>
              <w:jc w:val="end"/>
              <w:rPr>
                <w:b/>
                <w:i/>
                <w:i/>
                <w:color w:val="0000FF"/>
                <w:sz w:val="18"/>
              </w:rPr>
            </w:pPr>
            <w:r>
              <w:rPr>
                <w:b/>
                <w:i/>
                <w:color w:val="0000FF"/>
                <w:sz w:val="18"/>
              </w:rPr>
            </w:r>
          </w:p>
        </w:tc>
        <w:tc>
          <w:tcPr>
            <w:tcW w:w="1530" w:type="dxa"/>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FF"/>
                <w:sz w:val="18"/>
              </w:rPr>
              <w:t>*</w:t>
            </w:r>
            <w:r>
              <w:rPr>
                <w:b/>
                <w:i/>
                <w:color w:val="0000FF"/>
                <w:sz w:val="18"/>
              </w:rPr>
              <w:t>Kansas Ad Valorem Tax Refunds</w:t>
            </w:r>
          </w:p>
        </w:tc>
        <w:tc>
          <w:tcPr>
            <w:tcW w:w="6480" w:type="dxa"/>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 xml:space="preserve">Bills were introduced in both houses of the Kansas Legislature in the 2000 session that would have imposed a $0.01 to $0.02 per mmcf tax on natural gas transported from, within and through Kansas by pipeline. The local distribution, production and gathering of natural gas would have been exempted.  Proceeds from the tax would have been used to pay off bonds that would halve been floated to reimburse Kansas natural gas producers for any refunds they have to pay under the Kansas ad valorem tax refund proceeding that is underway at the FERC. </w:t>
            </w:r>
            <w:r>
              <w:rPr>
                <w:b/>
                <w:color w:val="800000"/>
                <w:sz w:val="16"/>
              </w:rPr>
              <w:t>(Wilson)</w:t>
            </w:r>
          </w:p>
        </w:tc>
        <w:tc>
          <w:tcPr>
            <w:tcW w:w="5131" w:type="dxa"/>
            <w:tcBorders>
              <w:top w:val="single" w:sz="6" w:space="0" w:color="000000"/>
              <w:start w:val="single" w:sz="6" w:space="0" w:color="000000"/>
              <w:bottom w:val="single" w:sz="6" w:space="0" w:color="000000"/>
              <w:end w:val="single" w:sz="6" w:space="0" w:color="000000"/>
            </w:tcBorders>
          </w:tcPr>
          <w:p>
            <w:pPr>
              <w:pStyle w:val="Normal"/>
              <w:rPr>
                <w:b/>
                <w:i/>
                <w:i/>
                <w:color w:val="0000FF"/>
                <w:sz w:val="18"/>
              </w:rPr>
            </w:pPr>
            <w:r>
              <w:rPr>
                <w:color w:val="000000"/>
                <w:sz w:val="18"/>
              </w:rPr>
              <w:t>None of the bills were passed, but legislative leadership said similar bills would be introduced in the 2001 session if some sort of compromise settlement is not reached that protects smaller producers and royalty owners.  An interim legislative committee on Sep. 27</w:t>
            </w:r>
            <w:r>
              <w:rPr>
                <w:color w:val="000000"/>
                <w:sz w:val="18"/>
                <w:vertAlign w:val="superscript"/>
              </w:rPr>
              <w:t>th</w:t>
            </w:r>
            <w:r>
              <w:rPr>
                <w:color w:val="000000"/>
                <w:sz w:val="18"/>
              </w:rPr>
              <w:t xml:space="preserve"> heard updates on pipeline settlement discussions and NNG met with legislative leadership to further discuss the issue.  At the fifth settlement conference, held Oct. 4-5 in Omaha, </w:t>
            </w:r>
            <w:r>
              <w:rPr>
                <w:color w:val="000000"/>
                <w:sz w:val="18"/>
                <w:lang w:eastAsia="en-US"/>
              </w:rPr>
              <w:t xml:space="preserve">a settlement in principal was reached on NNG's system. All issues were resolved and all participants agreed with the provisions of the settlement.  The settlement will likely be filed with the FERC in mid November.  </w:t>
            </w:r>
            <w:r>
              <w:rPr>
                <w:b/>
                <w:i/>
                <w:color w:val="0000FF"/>
                <w:sz w:val="18"/>
                <w:lang w:eastAsia="en-US"/>
              </w:rPr>
              <w:t>Northern briefed a Kansas Legislative committee on details of the settlement Nov. 29</w:t>
            </w:r>
            <w:r>
              <w:rPr>
                <w:b/>
                <w:i/>
                <w:color w:val="0000FF"/>
                <w:sz w:val="18"/>
                <w:vertAlign w:val="superscript"/>
                <w:lang w:eastAsia="en-US"/>
              </w:rPr>
              <w:t>th</w:t>
            </w:r>
            <w:r>
              <w:rPr>
                <w:b/>
                <w:i/>
                <w:color w:val="0000FF"/>
                <w:sz w:val="18"/>
                <w:lang w:eastAsia="en-US"/>
              </w:rPr>
              <w:t xml:space="preserve"> and was praised by the committee for its work in achieving the settlement.</w:t>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jc w:val="end"/>
              <w:rPr>
                <w:b/>
                <w:sz w:val="18"/>
              </w:rPr>
            </w:pPr>
            <w:r>
              <w:rPr>
                <w:b/>
                <w:sz w:val="18"/>
              </w:rPr>
              <w:t>Regulatory</w:t>
            </w:r>
          </w:p>
        </w:tc>
        <w:tc>
          <w:tcPr>
            <w:tcW w:w="1530" w:type="dxa"/>
            <w:tcBorders>
              <w:top w:val="single" w:sz="6" w:space="0" w:color="000000"/>
              <w:start w:val="single" w:sz="6" w:space="0" w:color="000000"/>
              <w:bottom w:val="single" w:sz="6" w:space="0" w:color="000000"/>
              <w:end w:val="single" w:sz="6" w:space="0" w:color="000000"/>
            </w:tcBorders>
          </w:tcPr>
          <w:p>
            <w:pPr>
              <w:pStyle w:val="Normal"/>
              <w:rPr>
                <w:color w:val="0000FF"/>
                <w:sz w:val="18"/>
              </w:rPr>
            </w:pPr>
            <w:r>
              <w:rPr>
                <w:color w:val="000000"/>
                <w:sz w:val="18"/>
              </w:rPr>
              <w:t>00-GIMG-425-GIG</w:t>
            </w:r>
          </w:p>
        </w:tc>
        <w:tc>
          <w:tcPr>
            <w:tcW w:w="6480" w:type="dxa"/>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 xml:space="preserve">In Feb. 1999 the KCC opened Docket No. 99-GIMG-538 to investigate whether the benefits of the restructured natural gas market could be extended to all of the state’s retail customers.  Based on the comments received, the commission issued an order directing that a new generic docket be opened to consider an index pricing system for natural gas.  The order directed Staff to propose a performance based ratemaking mechanism. This docket was opened for this purpose and Docket 99-GIMG-538 was closed. </w:t>
            </w:r>
            <w:r>
              <w:rPr>
                <w:b/>
                <w:color w:val="800000"/>
                <w:sz w:val="16"/>
              </w:rPr>
              <w:t>(Wilson)</w:t>
            </w:r>
          </w:p>
        </w:tc>
        <w:tc>
          <w:tcPr>
            <w:tcW w:w="5131" w:type="dxa"/>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lang w:eastAsia="en-US"/>
              </w:rPr>
              <w:t xml:space="preserve">A July 3 staff report recommends the Commission implement a gas purchase PBR mechanism that sets index-based benchmark prices that are term and pipeline specific. For instance, the benchmark price applied to daily contracts for gas delivered to Panhandle would be identical to the PEPL (Oklahoma) index as published in Gas Daily. That same benchmark would apply to any Kansas jurisdictional LDC having purchased contracts of that type. Staff also recommends that only those contracts with daily and monthly terms be subject to a benchmark standard. Mid-term and long-term contracts would NOT be subject to the benchmarks. </w:t>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snapToGrid w:val="false"/>
              <w:rPr>
                <w:b/>
                <w:color w:val="000000"/>
                <w:sz w:val="18"/>
              </w:rPr>
            </w:pPr>
            <w:r>
              <w:rPr>
                <w:b/>
                <w:color w:val="000000"/>
                <w:sz w:val="18"/>
              </w:rPr>
            </w:r>
          </w:p>
        </w:tc>
        <w:tc>
          <w:tcPr>
            <w:tcW w:w="1530" w:type="dxa"/>
            <w:tcBorders>
              <w:top w:val="single" w:sz="6" w:space="0" w:color="000000"/>
              <w:start w:val="single" w:sz="6" w:space="0" w:color="000000"/>
              <w:bottom w:val="single" w:sz="6" w:space="0" w:color="000000"/>
              <w:end w:val="single" w:sz="6" w:space="0" w:color="000000"/>
            </w:tcBorders>
          </w:tcPr>
          <w:p>
            <w:pPr>
              <w:pStyle w:val="Normal"/>
              <w:rPr>
                <w:color w:val="0000FF"/>
                <w:sz w:val="18"/>
              </w:rPr>
            </w:pPr>
            <w:r>
              <w:rPr>
                <w:color w:val="000000"/>
                <w:sz w:val="18"/>
              </w:rPr>
              <w:t>KDHE Rule Review</w:t>
            </w:r>
          </w:p>
        </w:tc>
        <w:tc>
          <w:tcPr>
            <w:tcW w:w="6480" w:type="dxa"/>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lang w:eastAsia="en-US"/>
              </w:rPr>
              <w:t xml:space="preserve">The Kansas Department of Health and Environment (KDHE) is beginning a review of all of the agency's rules and regulations, and is seeking input from the public for this process. The review is required by an executive order from Governor Graves. ET&amp;S is monitoring a proposed change within the Permitting Section of the KDHE, requiring a construction permit on like-for-like engine exchanges. </w:t>
            </w:r>
            <w:r>
              <w:rPr>
                <w:b/>
                <w:color w:val="800000"/>
                <w:sz w:val="16"/>
              </w:rPr>
              <w:t>(Wilson)</w:t>
            </w:r>
          </w:p>
        </w:tc>
        <w:tc>
          <w:tcPr>
            <w:tcW w:w="5131" w:type="dxa"/>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lang w:eastAsia="en-US"/>
              </w:rPr>
              <w:t>The Air Advisory Board held a meeting on the topic May 18</w:t>
            </w:r>
            <w:r>
              <w:rPr>
                <w:color w:val="000000"/>
                <w:sz w:val="18"/>
                <w:vertAlign w:val="superscript"/>
                <w:lang w:eastAsia="en-US"/>
              </w:rPr>
              <w:t>th</w:t>
            </w:r>
            <w:r>
              <w:rPr>
                <w:color w:val="000000"/>
                <w:sz w:val="18"/>
                <w:lang w:eastAsia="en-US"/>
              </w:rPr>
              <w:t>.</w:t>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snapToGrid w:val="false"/>
              <w:rPr>
                <w:b/>
                <w:color w:val="000000"/>
                <w:sz w:val="18"/>
              </w:rPr>
            </w:pPr>
            <w:r>
              <w:rPr>
                <w:b/>
                <w:color w:val="000000"/>
                <w:sz w:val="18"/>
              </w:rPr>
            </w:r>
          </w:p>
        </w:tc>
        <w:tc>
          <w:tcPr>
            <w:tcW w:w="1530" w:type="dxa"/>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Underground Utility Damage Prevention Task Force</w:t>
            </w:r>
          </w:p>
        </w:tc>
        <w:tc>
          <w:tcPr>
            <w:tcW w:w="6480" w:type="dxa"/>
            <w:tcBorders>
              <w:top w:val="single" w:sz="6" w:space="0" w:color="000000"/>
              <w:start w:val="single" w:sz="6" w:space="0" w:color="000000"/>
              <w:bottom w:val="single" w:sz="6" w:space="0" w:color="000000"/>
              <w:end w:val="single" w:sz="6" w:space="0" w:color="000000"/>
            </w:tcBorders>
          </w:tcPr>
          <w:p>
            <w:pPr>
              <w:pStyle w:val="Normal"/>
              <w:spacing w:lineRule="atLeast" w:line="240"/>
              <w:rPr>
                <w:color w:val="000000"/>
                <w:sz w:val="18"/>
                <w:lang w:eastAsia="en-US"/>
              </w:rPr>
            </w:pPr>
            <w:r>
              <w:rPr>
                <w:color w:val="000000"/>
                <w:sz w:val="18"/>
                <w:lang w:eastAsia="en-US"/>
              </w:rPr>
              <w:t xml:space="preserve">This group was assembled at the request of the Kansas House of Representatives Resolution 6011. The resolution directs the KCC to conduct a review and study of the one call law and submit a report and recommendations to the Legislature and Governor. </w:t>
            </w:r>
          </w:p>
          <w:p>
            <w:pPr>
              <w:pStyle w:val="Normal"/>
              <w:rPr>
                <w:color w:val="000000"/>
                <w:sz w:val="18"/>
                <w:lang w:eastAsia="en-US"/>
              </w:rPr>
            </w:pPr>
            <w:r>
              <w:rPr>
                <w:color w:val="000000"/>
                <w:sz w:val="18"/>
                <w:lang w:eastAsia="en-US"/>
              </w:rPr>
            </w:r>
          </w:p>
        </w:tc>
        <w:tc>
          <w:tcPr>
            <w:tcW w:w="5131" w:type="dxa"/>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lang w:eastAsia="en-US"/>
              </w:rPr>
              <w:t>ET&amp;S will be represented at the meetings of the Task Force and provide comments.</w:t>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rPr>
                <w:b/>
                <w:sz w:val="18"/>
              </w:rPr>
            </w:pPr>
            <w:r>
              <w:rPr>
                <w:b/>
                <w:sz w:val="18"/>
              </w:rPr>
              <w:t>MICHIGAN</w:t>
            </w:r>
          </w:p>
        </w:tc>
        <w:tc>
          <w:tcPr>
            <w:tcW w:w="1530" w:type="dxa"/>
            <w:tcBorders>
              <w:top w:val="single" w:sz="6" w:space="0" w:color="000000"/>
              <w:start w:val="single" w:sz="6" w:space="0" w:color="000000"/>
              <w:bottom w:val="single" w:sz="6" w:space="0" w:color="000000"/>
              <w:end w:val="single" w:sz="6" w:space="0" w:color="000000"/>
            </w:tcBorders>
          </w:tcPr>
          <w:p>
            <w:pPr>
              <w:pStyle w:val="Normal"/>
              <w:snapToGrid w:val="false"/>
              <w:rPr>
                <w:b/>
                <w:sz w:val="18"/>
              </w:rPr>
            </w:pPr>
            <w:r>
              <w:rPr>
                <w:b/>
                <w:sz w:val="18"/>
              </w:rPr>
            </w:r>
          </w:p>
        </w:tc>
        <w:tc>
          <w:tcPr>
            <w:tcW w:w="6480" w:type="dxa"/>
            <w:tcBorders>
              <w:top w:val="single" w:sz="6" w:space="0" w:color="000000"/>
              <w:start w:val="single" w:sz="6" w:space="0" w:color="000000"/>
              <w:bottom w:val="single" w:sz="6" w:space="0" w:color="000000"/>
              <w:end w:val="single" w:sz="6" w:space="0" w:color="000000"/>
            </w:tcBorders>
          </w:tcPr>
          <w:p>
            <w:pPr>
              <w:pStyle w:val="Normal"/>
              <w:snapToGrid w:val="false"/>
              <w:rPr>
                <w:sz w:val="18"/>
              </w:rPr>
            </w:pPr>
            <w:r>
              <w:rPr>
                <w:sz w:val="18"/>
              </w:rPr>
            </w:r>
          </w:p>
        </w:tc>
        <w:tc>
          <w:tcPr>
            <w:tcW w:w="5131" w:type="dxa"/>
            <w:tcBorders>
              <w:top w:val="single" w:sz="6" w:space="0" w:color="000000"/>
              <w:start w:val="single" w:sz="6" w:space="0" w:color="000000"/>
              <w:bottom w:val="single" w:sz="6" w:space="0" w:color="000000"/>
              <w:end w:val="single" w:sz="6" w:space="0" w:color="000000"/>
            </w:tcBorders>
          </w:tcPr>
          <w:p>
            <w:pPr>
              <w:pStyle w:val="Normal"/>
              <w:snapToGrid w:val="false"/>
              <w:rPr>
                <w:sz w:val="18"/>
              </w:rPr>
            </w:pPr>
            <w:r>
              <w:rPr>
                <w:sz w:val="18"/>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jc w:val="end"/>
              <w:rPr>
                <w:b/>
                <w:sz w:val="18"/>
              </w:rPr>
            </w:pPr>
            <w:r>
              <w:rPr>
                <w:b/>
                <w:sz w:val="18"/>
              </w:rPr>
              <w:t>Legislative</w:t>
            </w:r>
          </w:p>
        </w:tc>
        <w:tc>
          <w:tcPr>
            <w:tcW w:w="1530" w:type="dxa"/>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2000 Legislature</w:t>
            </w:r>
          </w:p>
        </w:tc>
        <w:tc>
          <w:tcPr>
            <w:tcW w:w="6480" w:type="dxa"/>
            <w:tcBorders>
              <w:top w:val="single" w:sz="6" w:space="0" w:color="000000"/>
              <w:start w:val="single" w:sz="6" w:space="0" w:color="000000"/>
              <w:bottom w:val="single" w:sz="6" w:space="0" w:color="000000"/>
              <w:end w:val="single" w:sz="6" w:space="0" w:color="000000"/>
            </w:tcBorders>
          </w:tcPr>
          <w:p>
            <w:pPr>
              <w:pStyle w:val="Normal"/>
              <w:rPr>
                <w:sz w:val="18"/>
              </w:rPr>
            </w:pPr>
            <w:r>
              <w:rPr>
                <w:color w:val="000000"/>
                <w:sz w:val="18"/>
              </w:rPr>
              <w:t xml:space="preserve">Republicans hold the governor’s office, the Senate (23R-15D), and the House (58R-52D).  </w:t>
            </w:r>
            <w:r>
              <w:rPr>
                <w:b/>
                <w:color w:val="800000"/>
                <w:sz w:val="16"/>
              </w:rPr>
              <w:t>(Stanton)</w:t>
            </w:r>
          </w:p>
        </w:tc>
        <w:tc>
          <w:tcPr>
            <w:tcW w:w="5131" w:type="dxa"/>
            <w:tcBorders>
              <w:top w:val="single" w:sz="6" w:space="0" w:color="000000"/>
              <w:start w:val="single" w:sz="6" w:space="0" w:color="000000"/>
              <w:bottom w:val="single" w:sz="6" w:space="0" w:color="000000"/>
              <w:end w:val="single" w:sz="6" w:space="0" w:color="000000"/>
            </w:tcBorders>
          </w:tcPr>
          <w:p>
            <w:pPr>
              <w:pStyle w:val="Normal"/>
              <w:rPr/>
            </w:pPr>
            <w:r>
              <w:rPr>
                <w:color w:val="000000"/>
                <w:sz w:val="18"/>
              </w:rPr>
              <w:t>The 2000 session of the Michigan Legislature began Jan. 12</w:t>
            </w:r>
            <w:r>
              <w:rPr>
                <w:color w:val="000000"/>
                <w:sz w:val="18"/>
                <w:vertAlign w:val="superscript"/>
              </w:rPr>
              <w:t>th</w:t>
            </w:r>
            <w:r>
              <w:rPr>
                <w:color w:val="000000"/>
                <w:sz w:val="18"/>
              </w:rPr>
              <w:t>.</w:t>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snapToGrid w:val="false"/>
              <w:rPr>
                <w:b/>
                <w:color w:val="000000"/>
                <w:sz w:val="18"/>
              </w:rPr>
            </w:pPr>
            <w:r>
              <w:rPr>
                <w:b/>
                <w:color w:val="000000"/>
                <w:sz w:val="18"/>
              </w:rPr>
            </w:r>
          </w:p>
        </w:tc>
        <w:tc>
          <w:tcPr>
            <w:tcW w:w="1530" w:type="dxa"/>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FF"/>
                <w:sz w:val="18"/>
              </w:rPr>
              <w:t>*</w:t>
            </w:r>
            <w:r>
              <w:rPr>
                <w:b/>
                <w:i/>
                <w:color w:val="0000FF"/>
                <w:sz w:val="18"/>
              </w:rPr>
              <w:t>2001 Legislature</w:t>
            </w:r>
          </w:p>
        </w:tc>
        <w:tc>
          <w:tcPr>
            <w:tcW w:w="6480" w:type="dxa"/>
            <w:tcBorders>
              <w:top w:val="single" w:sz="6" w:space="0" w:color="000000"/>
              <w:start w:val="single" w:sz="6" w:space="0" w:color="000000"/>
              <w:bottom w:val="single" w:sz="6" w:space="0" w:color="000000"/>
              <w:end w:val="single" w:sz="6" w:space="0" w:color="000000"/>
            </w:tcBorders>
          </w:tcPr>
          <w:p>
            <w:pPr>
              <w:pStyle w:val="Normal"/>
              <w:rPr>
                <w:color w:val="000000"/>
                <w:sz w:val="18"/>
                <w:lang w:eastAsia="en-US"/>
              </w:rPr>
            </w:pPr>
            <w:r>
              <w:rPr>
                <w:color w:val="000000"/>
                <w:sz w:val="18"/>
                <w:lang w:eastAsia="en-US"/>
              </w:rPr>
              <w:t>Republicans remain in control of both chambers ( House 59R-51D, and Senate 23R-15D) as well as the governor's office, which was not up for election.</w:t>
            </w:r>
          </w:p>
        </w:tc>
        <w:tc>
          <w:tcPr>
            <w:tcW w:w="5131" w:type="dxa"/>
            <w:tcBorders>
              <w:top w:val="single" w:sz="6" w:space="0" w:color="000000"/>
              <w:start w:val="single" w:sz="6" w:space="0" w:color="000000"/>
              <w:bottom w:val="single" w:sz="6" w:space="0" w:color="000000"/>
              <w:end w:val="single" w:sz="6" w:space="0" w:color="000000"/>
            </w:tcBorders>
          </w:tcPr>
          <w:p>
            <w:pPr>
              <w:pStyle w:val="Normal"/>
              <w:rPr/>
            </w:pPr>
            <w:r>
              <w:rPr>
                <w:b/>
                <w:i/>
                <w:color w:val="0000FF"/>
                <w:sz w:val="18"/>
              </w:rPr>
              <w:t>The opening day for the 2001 Michigan Legislature is Wed., Jan.10</w:t>
            </w:r>
            <w:r>
              <w:rPr>
                <w:b/>
                <w:i/>
                <w:color w:val="0000FF"/>
                <w:sz w:val="18"/>
                <w:vertAlign w:val="superscript"/>
              </w:rPr>
              <w:t>th</w:t>
            </w:r>
            <w:r>
              <w:rPr>
                <w:b/>
                <w:i/>
                <w:color w:val="0000FF"/>
                <w:sz w:val="18"/>
              </w:rPr>
              <w:t>.</w:t>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snapToGrid w:val="false"/>
              <w:rPr>
                <w:b/>
                <w:i/>
                <w:i/>
                <w:color w:val="0000FF"/>
                <w:sz w:val="18"/>
              </w:rPr>
            </w:pPr>
            <w:r>
              <w:rPr>
                <w:b/>
                <w:i/>
                <w:color w:val="0000FF"/>
                <w:sz w:val="18"/>
              </w:rPr>
            </w:r>
          </w:p>
        </w:tc>
        <w:tc>
          <w:tcPr>
            <w:tcW w:w="1530" w:type="dxa"/>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Natural gas unbundling.</w:t>
            </w:r>
          </w:p>
          <w:p>
            <w:pPr>
              <w:pStyle w:val="Normal"/>
              <w:rPr>
                <w:color w:val="000000"/>
                <w:sz w:val="18"/>
              </w:rPr>
            </w:pPr>
            <w:r>
              <w:rPr>
                <w:color w:val="000000"/>
                <w:sz w:val="18"/>
              </w:rPr>
            </w:r>
          </w:p>
          <w:p>
            <w:pPr>
              <w:pStyle w:val="BodyText"/>
              <w:rPr>
                <w:b w:val="false"/>
                <w:i w:val="false"/>
                <w:i w:val="false"/>
                <w:color w:val="000000"/>
              </w:rPr>
            </w:pPr>
            <w:r>
              <w:rPr>
                <w:b w:val="false"/>
                <w:i w:val="false"/>
                <w:color w:val="000000"/>
              </w:rPr>
              <w:t>House Bills 5201 through 5207</w:t>
            </w:r>
          </w:p>
          <w:p>
            <w:pPr>
              <w:pStyle w:val="Normal"/>
              <w:rPr>
                <w:b/>
                <w:i/>
                <w:i/>
                <w:color w:val="000000"/>
                <w:sz w:val="18"/>
              </w:rPr>
            </w:pPr>
            <w:r>
              <w:rPr>
                <w:b/>
                <w:i/>
                <w:color w:val="000000"/>
                <w:sz w:val="18"/>
              </w:rPr>
            </w:r>
          </w:p>
          <w:p>
            <w:pPr>
              <w:pStyle w:val="Normal"/>
              <w:rPr>
                <w:color w:val="000000"/>
                <w:sz w:val="18"/>
              </w:rPr>
            </w:pPr>
            <w:r>
              <w:rPr>
                <w:color w:val="000000"/>
                <w:sz w:val="18"/>
              </w:rPr>
              <w:t>Senate Bills 916 through 922</w:t>
            </w:r>
          </w:p>
        </w:tc>
        <w:tc>
          <w:tcPr>
            <w:tcW w:w="6480" w:type="dxa"/>
            <w:tcBorders>
              <w:top w:val="single" w:sz="6" w:space="0" w:color="000000"/>
              <w:start w:val="single" w:sz="6" w:space="0" w:color="000000"/>
              <w:bottom w:val="single" w:sz="6" w:space="0" w:color="000000"/>
              <w:end w:val="single" w:sz="6" w:space="0" w:color="000000"/>
            </w:tcBorders>
          </w:tcPr>
          <w:p>
            <w:pPr>
              <w:pStyle w:val="Normal"/>
              <w:rPr>
                <w:color w:val="800000"/>
                <w:sz w:val="18"/>
              </w:rPr>
            </w:pPr>
            <w:r>
              <w:rPr>
                <w:color w:val="000000"/>
                <w:sz w:val="18"/>
                <w:lang w:eastAsia="en-US"/>
              </w:rPr>
              <w:t>A package of bills has been introduced in the Michigan Legislature to formalize and revise the natural gas customer choice programs that have been implemented under the authority of the Michigan Public Service Commission. HB 5201 &amp; SB 916</w:t>
            </w:r>
            <w:r>
              <w:rPr>
                <w:b/>
                <w:i/>
                <w:color w:val="000000"/>
                <w:sz w:val="18"/>
                <w:lang w:eastAsia="en-US"/>
              </w:rPr>
              <w:t>-</w:t>
            </w:r>
            <w:r>
              <w:rPr>
                <w:color w:val="000000"/>
                <w:sz w:val="18"/>
                <w:lang w:eastAsia="en-US"/>
              </w:rPr>
              <w:t xml:space="preserve">  Require LDCs to file at least 6 months prior to the expiration of an existing choice plan a new plan that complies with the new law.  If the LDC does not have an existing plan then it must file one by 10/1/03.    The new plans would call for a 3-year phase in for all of an LDC's customers to customer choice based on the size of the utility.  LDCs with more than 300,000 customers would have to have all customers on a choice program by 4/1/2004.  Those with less than 300,000 would have to have all customers converted by 4/1/05.  LDCs with less than 200,000 are allowed a different percentage phase-in schedule but still must have all converted by 4/1/05.  HB 5202 &amp; SB 917- Require LDCs to establish a market-based "Safe Haven Gas Commodity Service" for customers who do not choose an alternate supplier.  This service is NYMEX based and allows the LDC to add a service charge of 12% to 16%.  Other bills include: HB 5203 &amp; SB 918 - marketer licensing; HB 5204 &amp; SB 919 - prohibit slamming; HB 5205 &amp; SB 920 - Code of conduct; HB 5206 &amp; SB 921- prohibit cramming; HB 5207 &amp; SB 922 - Establish penalties.</w:t>
            </w:r>
            <w:r>
              <w:rPr>
                <w:rFonts w:cs="Helv;Arial" w:ascii="Helv;Arial" w:hAnsi="Helv;Arial"/>
                <w:i/>
                <w:color w:val="000000"/>
                <w:sz w:val="18"/>
                <w:lang w:eastAsia="en-US"/>
              </w:rPr>
              <w:t xml:space="preserve"> </w:t>
            </w:r>
            <w:r>
              <w:rPr>
                <w:rFonts w:cs="Helv;Arial" w:ascii="Helv;Arial" w:hAnsi="Helv;Arial"/>
                <w:color w:val="000000"/>
                <w:sz w:val="18"/>
                <w:lang w:eastAsia="en-US"/>
              </w:rPr>
              <w:t xml:space="preserve">  </w:t>
            </w:r>
            <w:r>
              <w:rPr>
                <w:b/>
                <w:color w:val="800000"/>
                <w:sz w:val="16"/>
              </w:rPr>
              <w:t>(Stanton)</w:t>
            </w:r>
          </w:p>
        </w:tc>
        <w:tc>
          <w:tcPr>
            <w:tcW w:w="5131" w:type="dxa"/>
            <w:tcBorders>
              <w:top w:val="single" w:sz="6" w:space="0" w:color="000000"/>
              <w:start w:val="single" w:sz="6" w:space="0" w:color="000000"/>
              <w:bottom w:val="single" w:sz="6" w:space="0" w:color="000000"/>
              <w:end w:val="single" w:sz="6" w:space="0" w:color="000000"/>
            </w:tcBorders>
          </w:tcPr>
          <w:p>
            <w:pPr>
              <w:pStyle w:val="Normal"/>
              <w:rPr/>
            </w:pPr>
            <w:r>
              <w:rPr>
                <w:sz w:val="18"/>
              </w:rPr>
              <w:t xml:space="preserve"> </w:t>
            </w:r>
            <w:r>
              <w:rPr>
                <w:color w:val="000000"/>
                <w:sz w:val="18"/>
              </w:rPr>
              <w:t>The House bills were introduced Dec. 9</w:t>
            </w:r>
            <w:r>
              <w:rPr>
                <w:color w:val="000000"/>
                <w:sz w:val="18"/>
                <w:vertAlign w:val="superscript"/>
              </w:rPr>
              <w:t>th</w:t>
            </w:r>
            <w:r>
              <w:rPr>
                <w:color w:val="000000"/>
                <w:sz w:val="18"/>
              </w:rPr>
              <w:t xml:space="preserve"> and referred to the House Energy and Technology Committee.  The Senate bills were introduced Jan. 12</w:t>
            </w:r>
            <w:r>
              <w:rPr>
                <w:color w:val="000000"/>
                <w:sz w:val="18"/>
                <w:vertAlign w:val="superscript"/>
              </w:rPr>
              <w:t>th</w:t>
            </w:r>
            <w:r>
              <w:rPr>
                <w:color w:val="000000"/>
                <w:sz w:val="18"/>
              </w:rPr>
              <w:t xml:space="preserve"> and referred to the Senate Technology and Energy Committee.</w:t>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jc w:val="end"/>
              <w:rPr>
                <w:b/>
                <w:sz w:val="18"/>
              </w:rPr>
            </w:pPr>
            <w:r>
              <w:rPr>
                <w:b/>
                <w:sz w:val="18"/>
              </w:rPr>
              <w:t>Regulatory</w:t>
            </w:r>
          </w:p>
        </w:tc>
        <w:tc>
          <w:tcPr>
            <w:tcW w:w="1530" w:type="dxa"/>
            <w:tcBorders>
              <w:top w:val="single" w:sz="6" w:space="0" w:color="000000"/>
              <w:start w:val="single" w:sz="6" w:space="0" w:color="000000"/>
              <w:bottom w:val="single" w:sz="6" w:space="0" w:color="000000"/>
              <w:end w:val="single" w:sz="6" w:space="0" w:color="000000"/>
            </w:tcBorders>
          </w:tcPr>
          <w:p>
            <w:pPr>
              <w:pStyle w:val="Normal"/>
              <w:rPr>
                <w:color w:val="0000FF"/>
                <w:sz w:val="18"/>
              </w:rPr>
            </w:pPr>
            <w:r>
              <w:rPr>
                <w:color w:val="000000"/>
                <w:sz w:val="18"/>
              </w:rPr>
              <w:t>U-12550</w:t>
            </w:r>
          </w:p>
        </w:tc>
        <w:tc>
          <w:tcPr>
            <w:tcW w:w="6480" w:type="dxa"/>
            <w:tcBorders>
              <w:top w:val="single" w:sz="6" w:space="0" w:color="000000"/>
              <w:start w:val="single" w:sz="6" w:space="0" w:color="000000"/>
              <w:bottom w:val="single" w:sz="6" w:space="0" w:color="000000"/>
              <w:end w:val="single" w:sz="6" w:space="0" w:color="000000"/>
            </w:tcBorders>
          </w:tcPr>
          <w:p>
            <w:pPr>
              <w:pStyle w:val="Normal"/>
              <w:spacing w:lineRule="atLeast" w:line="240"/>
              <w:rPr>
                <w:color w:val="000000"/>
                <w:sz w:val="18"/>
                <w:lang w:eastAsia="en-US"/>
              </w:rPr>
            </w:pPr>
            <w:r>
              <w:rPr>
                <w:color w:val="000000"/>
                <w:sz w:val="18"/>
                <w:lang w:eastAsia="en-US"/>
              </w:rPr>
              <w:t xml:space="preserve">The Michigan PSC scheduled a series of four public meetings designed to "take the next step" in providing choice to all natural gas customers in Michigan.  The Commission directed its staff to begin a collaborative process with the state's largest LDCs and all interested persons to develop uniform terms and conditions for choice programs for all residential and business customers throughout the state. </w:t>
            </w:r>
            <w:r>
              <w:rPr>
                <w:b/>
                <w:color w:val="800000"/>
                <w:sz w:val="16"/>
              </w:rPr>
              <w:t>(Stanton)</w:t>
            </w:r>
          </w:p>
          <w:p>
            <w:pPr>
              <w:pStyle w:val="Normal"/>
              <w:rPr>
                <w:color w:val="000000"/>
                <w:sz w:val="18"/>
                <w:lang w:eastAsia="en-US"/>
              </w:rPr>
            </w:pPr>
            <w:r>
              <w:rPr>
                <w:color w:val="000000"/>
                <w:sz w:val="18"/>
                <w:lang w:eastAsia="en-US"/>
              </w:rPr>
            </w:r>
          </w:p>
        </w:tc>
        <w:tc>
          <w:tcPr>
            <w:tcW w:w="5131" w:type="dxa"/>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lang w:eastAsia="en-US"/>
              </w:rPr>
              <w:t>Order issued Aug. 4</w:t>
            </w:r>
            <w:r>
              <w:rPr>
                <w:color w:val="000000"/>
                <w:sz w:val="18"/>
                <w:vertAlign w:val="superscript"/>
                <w:lang w:eastAsia="en-US"/>
              </w:rPr>
              <w:t>th</w:t>
            </w:r>
            <w:r>
              <w:rPr>
                <w:color w:val="000000"/>
                <w:sz w:val="18"/>
                <w:lang w:eastAsia="en-US"/>
              </w:rPr>
              <w:t>. Northern filed comments August 14th.   The final meeting Sep. 7</w:t>
            </w:r>
            <w:r>
              <w:rPr>
                <w:color w:val="000000"/>
                <w:sz w:val="18"/>
                <w:vertAlign w:val="superscript"/>
                <w:lang w:eastAsia="en-US"/>
              </w:rPr>
              <w:t>th</w:t>
            </w:r>
            <w:r>
              <w:rPr>
                <w:color w:val="000000"/>
                <w:sz w:val="18"/>
                <w:lang w:eastAsia="en-US"/>
              </w:rPr>
              <w:t xml:space="preserve"> ended with a consensus that medium to smaller sized LDCs should be carved out of the current process, leaving just the state's two largest utilities, Consumers Energy and MichCon--representing about 94% of the total customers in the state--as the focus of this proceeding.  The two medium sized utilities, SEMCO and Michigan Gas Utilities, will be the subject of a new proceeding, which will be initiated by the filing of proposals by these two LDCs by January 1, 2001.  In a final order issued Oct. 13</w:t>
            </w:r>
            <w:r>
              <w:rPr>
                <w:color w:val="000000"/>
                <w:sz w:val="18"/>
                <w:vertAlign w:val="superscript"/>
                <w:lang w:eastAsia="en-US"/>
              </w:rPr>
              <w:t>th</w:t>
            </w:r>
            <w:r>
              <w:rPr>
                <w:color w:val="000000"/>
                <w:sz w:val="18"/>
                <w:lang w:eastAsia="en-US"/>
              </w:rPr>
              <w:t xml:space="preserve"> the MPUC exempted small utilities (including Xcel and Peninsular) from plan-filing requirements but encouraged them to voluntarily develop choice plans on their own timetable.</w:t>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rPr>
                <w:b/>
                <w:sz w:val="18"/>
              </w:rPr>
            </w:pPr>
            <w:r>
              <w:rPr>
                <w:b/>
                <w:sz w:val="18"/>
              </w:rPr>
              <w:t>MINNESOTA</w:t>
            </w:r>
          </w:p>
        </w:tc>
        <w:tc>
          <w:tcPr>
            <w:tcW w:w="1530" w:type="dxa"/>
            <w:tcBorders>
              <w:top w:val="single" w:sz="6" w:space="0" w:color="000000"/>
              <w:start w:val="single" w:sz="6" w:space="0" w:color="000000"/>
              <w:bottom w:val="single" w:sz="6" w:space="0" w:color="000000"/>
              <w:end w:val="single" w:sz="6" w:space="0" w:color="000000"/>
            </w:tcBorders>
          </w:tcPr>
          <w:p>
            <w:pPr>
              <w:pStyle w:val="Normal"/>
              <w:snapToGrid w:val="false"/>
              <w:rPr>
                <w:b/>
                <w:sz w:val="18"/>
              </w:rPr>
            </w:pPr>
            <w:r>
              <w:rPr>
                <w:b/>
                <w:sz w:val="18"/>
              </w:rPr>
            </w:r>
          </w:p>
        </w:tc>
        <w:tc>
          <w:tcPr>
            <w:tcW w:w="6480" w:type="dxa"/>
            <w:tcBorders>
              <w:top w:val="single" w:sz="6" w:space="0" w:color="000000"/>
              <w:start w:val="single" w:sz="6" w:space="0" w:color="000000"/>
              <w:bottom w:val="single" w:sz="6" w:space="0" w:color="000000"/>
              <w:end w:val="single" w:sz="6" w:space="0" w:color="000000"/>
            </w:tcBorders>
          </w:tcPr>
          <w:p>
            <w:pPr>
              <w:pStyle w:val="Normal"/>
              <w:snapToGrid w:val="false"/>
              <w:rPr>
                <w:sz w:val="18"/>
              </w:rPr>
            </w:pPr>
            <w:r>
              <w:rPr>
                <w:sz w:val="18"/>
              </w:rPr>
            </w:r>
          </w:p>
        </w:tc>
        <w:tc>
          <w:tcPr>
            <w:tcW w:w="5131" w:type="dxa"/>
            <w:tcBorders>
              <w:top w:val="single" w:sz="6" w:space="0" w:color="000000"/>
              <w:start w:val="single" w:sz="6" w:space="0" w:color="000000"/>
              <w:bottom w:val="single" w:sz="6" w:space="0" w:color="000000"/>
              <w:end w:val="single" w:sz="6" w:space="0" w:color="000000"/>
            </w:tcBorders>
          </w:tcPr>
          <w:p>
            <w:pPr>
              <w:pStyle w:val="Normal"/>
              <w:snapToGrid w:val="false"/>
              <w:rPr>
                <w:sz w:val="18"/>
              </w:rPr>
            </w:pPr>
            <w:r>
              <w:rPr>
                <w:sz w:val="18"/>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snapToGrid w:val="false"/>
              <w:jc w:val="end"/>
              <w:rPr>
                <w:b/>
                <w:sz w:val="18"/>
              </w:rPr>
            </w:pPr>
            <w:r>
              <w:rPr>
                <w:b/>
                <w:sz w:val="18"/>
              </w:rPr>
            </w:r>
          </w:p>
        </w:tc>
        <w:tc>
          <w:tcPr>
            <w:tcW w:w="1530" w:type="dxa"/>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E,G999/DI-99-1073</w:t>
            </w:r>
          </w:p>
        </w:tc>
        <w:tc>
          <w:tcPr>
            <w:tcW w:w="6480" w:type="dxa"/>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 xml:space="preserve">MN DOC investigation into energy restructuring.  This docket established the work group proceeding set up by the DOC to carry out the MPUC’s order in Docket No. E,G999/CI-99-687, which called for an unbundling investigation by the DOC.   The DOC formed the following six work groups to develop issues and options:  (1) Consumer Issues, (2) Policing of Utilities and Other Providers, (3) Energy Conservation and Alternative Technologies, (4) Service Reliability - Wholesale and Retail, (5) Unbundling of Functions/Pricing of Remaining Regulated Functions and Services, and (6) Stranded Costs/Stranded Benefits.   </w:t>
            </w:r>
            <w:r>
              <w:rPr>
                <w:b/>
                <w:color w:val="800000"/>
                <w:sz w:val="16"/>
              </w:rPr>
              <w:t>(Stanton)</w:t>
            </w:r>
          </w:p>
        </w:tc>
        <w:tc>
          <w:tcPr>
            <w:tcW w:w="5131" w:type="dxa"/>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The work groups concluded in Nov. 1999.  In Sept. the</w:t>
            </w:r>
            <w:r>
              <w:rPr>
                <w:color w:val="000000"/>
                <w:sz w:val="18"/>
                <w:lang w:eastAsia="en-US"/>
              </w:rPr>
              <w:t xml:space="preserve"> Dept. said it had determined that restructuring is not in the public at this time and announced instead a new plan aimed at electricity reliability to be known as "Keeping the Lights On."  The four main components of the plan are as follows: (1) establishing a statewide energy resource plan and streamlining the approval process for generation and transmission, (2) increasing efficiency of conservation programs, (3) promoting increase use of renewables and distributed generation, and (4) measures to encourage wholesale competition.  NNG filed comments Nov. 1 stressing its ability as a pipeline to serve substantial amounts of new natural gas fired electric generation in Minnesota.</w:t>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snapToGrid w:val="false"/>
              <w:jc w:val="end"/>
              <w:rPr>
                <w:b/>
                <w:color w:val="000000"/>
                <w:sz w:val="18"/>
              </w:rPr>
            </w:pPr>
            <w:r>
              <w:rPr>
                <w:b/>
                <w:color w:val="000000"/>
                <w:sz w:val="18"/>
              </w:rPr>
            </w:r>
          </w:p>
        </w:tc>
        <w:tc>
          <w:tcPr>
            <w:tcW w:w="1530" w:type="dxa"/>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G-007,011/</w:t>
            </w:r>
          </w:p>
          <w:p>
            <w:pPr>
              <w:pStyle w:val="Normal"/>
              <w:rPr>
                <w:color w:val="000000"/>
                <w:sz w:val="18"/>
              </w:rPr>
            </w:pPr>
            <w:r>
              <w:rPr>
                <w:color w:val="000000"/>
                <w:sz w:val="18"/>
              </w:rPr>
              <w:t>GR-00-951</w:t>
            </w:r>
          </w:p>
          <w:p>
            <w:pPr>
              <w:pStyle w:val="Normal"/>
              <w:rPr>
                <w:color w:val="000000"/>
                <w:sz w:val="18"/>
              </w:rPr>
            </w:pPr>
            <w:r>
              <w:rPr>
                <w:color w:val="000000"/>
                <w:sz w:val="18"/>
              </w:rPr>
              <w:t>UtiliCorp Rate Case</w:t>
            </w:r>
          </w:p>
        </w:tc>
        <w:tc>
          <w:tcPr>
            <w:tcW w:w="6480" w:type="dxa"/>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lang w:eastAsia="en-US"/>
              </w:rPr>
              <w:t xml:space="preserve">The filing proposes to combine the two separate operating divisions, Peoples Natural Gas and Northern Minnesota Utilities.  Separate rates would be maintained where necessary to recognize the difference in the cost of providing service.  The filing asks for an $8.4 million increase (7.26%) for Peoples and an increase of $1.3 million (3.29%) for NMU.  The combined requests total about $9.8 million and represent an overall 6.24% increase for UtiliCorp in Minnesota. The company seeks a 12.5% ROE. </w:t>
            </w:r>
            <w:r>
              <w:rPr>
                <w:b/>
                <w:color w:val="800000"/>
                <w:sz w:val="16"/>
              </w:rPr>
              <w:t>(Stanton)</w:t>
            </w:r>
          </w:p>
        </w:tc>
        <w:tc>
          <w:tcPr>
            <w:tcW w:w="5131" w:type="dxa"/>
            <w:tcBorders>
              <w:top w:val="single" w:sz="6" w:space="0" w:color="000000"/>
              <w:start w:val="single" w:sz="6" w:space="0" w:color="000000"/>
              <w:bottom w:val="single" w:sz="6" w:space="0" w:color="000000"/>
              <w:end w:val="single" w:sz="6" w:space="0" w:color="000000"/>
            </w:tcBorders>
          </w:tcPr>
          <w:p>
            <w:pPr>
              <w:pStyle w:val="Normal"/>
              <w:rPr/>
            </w:pPr>
            <w:r>
              <w:rPr>
                <w:color w:val="000000"/>
                <w:sz w:val="18"/>
              </w:rPr>
              <w:t>Filed Aug. 11</w:t>
            </w:r>
            <w:r>
              <w:rPr>
                <w:color w:val="000000"/>
                <w:sz w:val="18"/>
                <w:vertAlign w:val="superscript"/>
              </w:rPr>
              <w:t>th</w:t>
            </w:r>
            <w:r>
              <w:rPr>
                <w:color w:val="000000"/>
                <w:sz w:val="18"/>
              </w:rPr>
              <w:t>.  This is a replacement for --and essentially identical to--rate case G-007,011/GR-00-517, which was filed last May.  The new filing was made to avoid procedural complications that arose in the initial filing. Accepted Sep. 21</w:t>
            </w:r>
            <w:r>
              <w:rPr>
                <w:color w:val="000000"/>
                <w:sz w:val="18"/>
                <w:vertAlign w:val="superscript"/>
              </w:rPr>
              <w:t>st</w:t>
            </w:r>
            <w:r>
              <w:rPr>
                <w:color w:val="000000"/>
                <w:sz w:val="18"/>
              </w:rPr>
              <w:t>.  NNG's intervention was approved at the prehearing conference held Oct. 11</w:t>
            </w:r>
            <w:r>
              <w:rPr>
                <w:color w:val="000000"/>
                <w:sz w:val="18"/>
                <w:vertAlign w:val="superscript"/>
              </w:rPr>
              <w:t>th</w:t>
            </w:r>
            <w:r>
              <w:rPr>
                <w:color w:val="000000"/>
                <w:sz w:val="18"/>
              </w:rPr>
              <w:t>.  Intervenor initial testimony is due Dec. 13</w:t>
            </w:r>
            <w:r>
              <w:rPr>
                <w:color w:val="000000"/>
                <w:sz w:val="18"/>
                <w:vertAlign w:val="superscript"/>
              </w:rPr>
              <w:t>th</w:t>
            </w:r>
            <w:r>
              <w:rPr>
                <w:color w:val="000000"/>
                <w:sz w:val="18"/>
              </w:rPr>
              <w:t>.  Hearings are scheduled to begin in late January 2001.</w:t>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jc w:val="end"/>
              <w:rPr>
                <w:b/>
                <w:sz w:val="18"/>
              </w:rPr>
            </w:pPr>
            <w:r>
              <w:rPr>
                <w:b/>
                <w:sz w:val="18"/>
              </w:rPr>
              <w:t>Legislative</w:t>
            </w:r>
          </w:p>
        </w:tc>
        <w:tc>
          <w:tcPr>
            <w:tcW w:w="1530" w:type="dxa"/>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2000 Legislature</w:t>
            </w:r>
          </w:p>
        </w:tc>
        <w:tc>
          <w:tcPr>
            <w:tcW w:w="6480" w:type="dxa"/>
            <w:tcBorders>
              <w:top w:val="single" w:sz="6" w:space="0" w:color="000000"/>
              <w:start w:val="single" w:sz="6" w:space="0" w:color="000000"/>
              <w:bottom w:val="single" w:sz="6" w:space="0" w:color="000000"/>
              <w:end w:val="single" w:sz="6" w:space="0" w:color="000000"/>
            </w:tcBorders>
          </w:tcPr>
          <w:p>
            <w:pPr>
              <w:pStyle w:val="Normal"/>
              <w:rPr>
                <w:sz w:val="18"/>
              </w:rPr>
            </w:pPr>
            <w:r>
              <w:rPr>
                <w:color w:val="000000"/>
                <w:sz w:val="18"/>
              </w:rPr>
              <w:t xml:space="preserve">The Reform Party holds the governor’s office. Republicans command the House (70R-63D-1I).  Democrats control the Senate (42D-24R-1I).  </w:t>
            </w:r>
            <w:r>
              <w:rPr>
                <w:b/>
                <w:color w:val="800000"/>
                <w:sz w:val="16"/>
              </w:rPr>
              <w:t>(Stanton)</w:t>
            </w:r>
          </w:p>
        </w:tc>
        <w:tc>
          <w:tcPr>
            <w:tcW w:w="5131" w:type="dxa"/>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The 2000 Minnesota Legislature ended May 17th.</w:t>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snapToGrid w:val="false"/>
              <w:jc w:val="end"/>
              <w:rPr>
                <w:b/>
                <w:color w:val="000000"/>
                <w:sz w:val="18"/>
              </w:rPr>
            </w:pPr>
            <w:r>
              <w:rPr>
                <w:b/>
                <w:color w:val="000000"/>
                <w:sz w:val="18"/>
              </w:rPr>
            </w:r>
          </w:p>
        </w:tc>
        <w:tc>
          <w:tcPr>
            <w:tcW w:w="1530" w:type="dxa"/>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FF"/>
                <w:sz w:val="18"/>
              </w:rPr>
              <w:t>*</w:t>
            </w:r>
            <w:r>
              <w:rPr>
                <w:b/>
                <w:i/>
                <w:color w:val="0000FF"/>
                <w:sz w:val="18"/>
              </w:rPr>
              <w:t>2001 Legislature</w:t>
            </w:r>
          </w:p>
        </w:tc>
        <w:tc>
          <w:tcPr>
            <w:tcW w:w="6480" w:type="dxa"/>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The state retained a tri-party system with Republicans maintaining control of the House 69R-65D, Democrats ruling the Senate 39D-27R-I1, and the Independence party(Gov. changed from the Reform party) holding the governor's office, which was not up for election.</w:t>
            </w:r>
          </w:p>
        </w:tc>
        <w:tc>
          <w:tcPr>
            <w:tcW w:w="5131" w:type="dxa"/>
            <w:tcBorders>
              <w:top w:val="single" w:sz="6" w:space="0" w:color="000000"/>
              <w:start w:val="single" w:sz="6" w:space="0" w:color="000000"/>
              <w:bottom w:val="single" w:sz="6" w:space="0" w:color="000000"/>
              <w:end w:val="single" w:sz="6" w:space="0" w:color="000000"/>
            </w:tcBorders>
          </w:tcPr>
          <w:p>
            <w:pPr>
              <w:pStyle w:val="Normal"/>
              <w:rPr/>
            </w:pPr>
            <w:r>
              <w:rPr>
                <w:b/>
                <w:i/>
                <w:color w:val="0000FF"/>
                <w:sz w:val="18"/>
              </w:rPr>
              <w:t>Minnesota's 2001 Legislature gets underway Wed., Jan 3</w:t>
            </w:r>
            <w:r>
              <w:rPr>
                <w:b/>
                <w:i/>
                <w:color w:val="0000FF"/>
                <w:sz w:val="18"/>
                <w:vertAlign w:val="superscript"/>
              </w:rPr>
              <w:t>rd</w:t>
            </w:r>
            <w:r>
              <w:rPr>
                <w:b/>
                <w:i/>
                <w:color w:val="0000FF"/>
                <w:sz w:val="18"/>
              </w:rPr>
              <w:t>.</w:t>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jc w:val="end"/>
              <w:rPr>
                <w:b/>
                <w:sz w:val="18"/>
              </w:rPr>
            </w:pPr>
            <w:r>
              <w:rPr>
                <w:b/>
                <w:sz w:val="18"/>
              </w:rPr>
              <w:t>Other</w:t>
            </w:r>
          </w:p>
        </w:tc>
        <w:tc>
          <w:tcPr>
            <w:tcW w:w="1530" w:type="dxa"/>
            <w:tcBorders>
              <w:top w:val="single" w:sz="6" w:space="0" w:color="000000"/>
              <w:start w:val="single" w:sz="6" w:space="0" w:color="000000"/>
              <w:bottom w:val="single" w:sz="6" w:space="0" w:color="000000"/>
              <w:end w:val="single" w:sz="6" w:space="0" w:color="000000"/>
            </w:tcBorders>
          </w:tcPr>
          <w:p>
            <w:pPr>
              <w:pStyle w:val="Normal"/>
              <w:rPr>
                <w:sz w:val="18"/>
              </w:rPr>
            </w:pPr>
            <w:r>
              <w:rPr>
                <w:color w:val="0000FF"/>
                <w:sz w:val="18"/>
              </w:rPr>
              <w:t>*</w:t>
            </w:r>
            <w:r>
              <w:rPr>
                <w:b/>
                <w:i/>
                <w:color w:val="0000FF"/>
                <w:sz w:val="18"/>
              </w:rPr>
              <w:t>Compressor fuel tax</w:t>
            </w:r>
          </w:p>
        </w:tc>
        <w:tc>
          <w:tcPr>
            <w:tcW w:w="6480" w:type="dxa"/>
            <w:tcBorders>
              <w:top w:val="single" w:sz="6" w:space="0" w:color="000000"/>
              <w:start w:val="single" w:sz="6" w:space="0" w:color="000000"/>
              <w:bottom w:val="single" w:sz="6" w:space="0" w:color="000000"/>
              <w:end w:val="single" w:sz="6" w:space="0" w:color="000000"/>
            </w:tcBorders>
          </w:tcPr>
          <w:p>
            <w:pPr>
              <w:pStyle w:val="Normal"/>
              <w:rPr>
                <w:sz w:val="18"/>
              </w:rPr>
            </w:pPr>
            <w:r>
              <w:rPr>
                <w:sz w:val="18"/>
              </w:rPr>
              <w:t xml:space="preserve">The MN Dept. of Revenue is attempting to collect a use tax on natural gas used as compressor fuel.  </w:t>
            </w:r>
            <w:r>
              <w:rPr>
                <w:b/>
                <w:color w:val="800000"/>
                <w:sz w:val="16"/>
              </w:rPr>
              <w:t>(Stanton)</w:t>
            </w:r>
          </w:p>
        </w:tc>
        <w:tc>
          <w:tcPr>
            <w:tcW w:w="5131" w:type="dxa"/>
            <w:tcBorders>
              <w:top w:val="single" w:sz="6" w:space="0" w:color="000000"/>
              <w:start w:val="single" w:sz="6" w:space="0" w:color="000000"/>
              <w:bottom w:val="single" w:sz="6" w:space="0" w:color="000000"/>
              <w:end w:val="single" w:sz="6" w:space="0" w:color="000000"/>
            </w:tcBorders>
          </w:tcPr>
          <w:p>
            <w:pPr>
              <w:pStyle w:val="Normal"/>
              <w:rPr>
                <w:sz w:val="18"/>
              </w:rPr>
            </w:pPr>
            <w:r>
              <w:rPr>
                <w:color w:val="000000"/>
                <w:sz w:val="18"/>
              </w:rPr>
              <w:t xml:space="preserve">The Enron tax department made a presentation to the DOR in Dec. 1998 outlining the reasons the company believes NNG is not subject to this tax.  In Nov. 1999 another presentation was made arguing gas industry parallels to the "integrated plant theory," which allows Minnesota electric utilities to basically avoid 100% of the MN sales and use tax.  </w:t>
            </w:r>
            <w:r>
              <w:rPr>
                <w:b/>
                <w:i/>
                <w:color w:val="0000FF"/>
                <w:sz w:val="18"/>
              </w:rPr>
              <w:t>The MN Tax Court, in a case involving Great Lakes pipeline ruled that compressor fuel is not subject to sales/use tax.  The Dept. of Revenue may appeal the decision.</w:t>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rPr>
                <w:b/>
                <w:sz w:val="18"/>
              </w:rPr>
            </w:pPr>
            <w:r>
              <w:rPr>
                <w:b/>
                <w:sz w:val="18"/>
              </w:rPr>
              <w:t>NEBRASKA</w:t>
            </w:r>
          </w:p>
        </w:tc>
        <w:tc>
          <w:tcPr>
            <w:tcW w:w="1530" w:type="dxa"/>
            <w:tcBorders>
              <w:top w:val="single" w:sz="6" w:space="0" w:color="000000"/>
              <w:start w:val="single" w:sz="6" w:space="0" w:color="000000"/>
              <w:bottom w:val="single" w:sz="6" w:space="0" w:color="000000"/>
              <w:end w:val="single" w:sz="6" w:space="0" w:color="000000"/>
            </w:tcBorders>
          </w:tcPr>
          <w:p>
            <w:pPr>
              <w:pStyle w:val="Normal"/>
              <w:snapToGrid w:val="false"/>
              <w:rPr>
                <w:b/>
                <w:sz w:val="18"/>
              </w:rPr>
            </w:pPr>
            <w:r>
              <w:rPr>
                <w:b/>
                <w:sz w:val="18"/>
              </w:rPr>
            </w:r>
          </w:p>
        </w:tc>
        <w:tc>
          <w:tcPr>
            <w:tcW w:w="6480" w:type="dxa"/>
            <w:tcBorders>
              <w:top w:val="single" w:sz="6" w:space="0" w:color="000000"/>
              <w:start w:val="single" w:sz="6" w:space="0" w:color="000000"/>
              <w:bottom w:val="single" w:sz="6" w:space="0" w:color="000000"/>
              <w:end w:val="single" w:sz="6" w:space="0" w:color="000000"/>
            </w:tcBorders>
          </w:tcPr>
          <w:p>
            <w:pPr>
              <w:pStyle w:val="Normal"/>
              <w:snapToGrid w:val="false"/>
              <w:rPr>
                <w:sz w:val="18"/>
              </w:rPr>
            </w:pPr>
            <w:r>
              <w:rPr>
                <w:sz w:val="18"/>
              </w:rPr>
            </w:r>
          </w:p>
        </w:tc>
        <w:tc>
          <w:tcPr>
            <w:tcW w:w="5131" w:type="dxa"/>
            <w:tcBorders>
              <w:top w:val="single" w:sz="6" w:space="0" w:color="000000"/>
              <w:start w:val="single" w:sz="6" w:space="0" w:color="000000"/>
              <w:bottom w:val="single" w:sz="6" w:space="0" w:color="000000"/>
              <w:end w:val="single" w:sz="6" w:space="0" w:color="000000"/>
            </w:tcBorders>
          </w:tcPr>
          <w:p>
            <w:pPr>
              <w:pStyle w:val="Normal"/>
              <w:snapToGrid w:val="false"/>
              <w:rPr>
                <w:sz w:val="18"/>
              </w:rPr>
            </w:pPr>
            <w:r>
              <w:rPr>
                <w:sz w:val="18"/>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jc w:val="end"/>
              <w:rPr>
                <w:b/>
                <w:sz w:val="18"/>
              </w:rPr>
            </w:pPr>
            <w:r>
              <w:rPr>
                <w:b/>
                <w:sz w:val="18"/>
              </w:rPr>
              <w:t>Legislative</w:t>
            </w:r>
          </w:p>
        </w:tc>
        <w:tc>
          <w:tcPr>
            <w:tcW w:w="1530" w:type="dxa"/>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2000 Legislature</w:t>
            </w:r>
          </w:p>
        </w:tc>
        <w:tc>
          <w:tcPr>
            <w:tcW w:w="6480" w:type="dxa"/>
            <w:tcBorders>
              <w:top w:val="single" w:sz="6" w:space="0" w:color="000000"/>
              <w:start w:val="single" w:sz="6" w:space="0" w:color="000000"/>
              <w:bottom w:val="single" w:sz="6" w:space="0" w:color="000000"/>
              <w:end w:val="single" w:sz="6" w:space="0" w:color="000000"/>
            </w:tcBorders>
          </w:tcPr>
          <w:p>
            <w:pPr>
              <w:pStyle w:val="Normal"/>
              <w:rPr>
                <w:sz w:val="18"/>
              </w:rPr>
            </w:pPr>
            <w:r>
              <w:rPr>
                <w:color w:val="000000"/>
                <w:sz w:val="18"/>
              </w:rPr>
              <w:t xml:space="preserve">Republicans control  the governor’s office.  The Nebraska Unicameral Legislature is nonpartisan (no party structure) but breaks down as follows: 27R-21D-1I.  </w:t>
            </w:r>
            <w:r>
              <w:rPr>
                <w:b/>
                <w:color w:val="800000"/>
                <w:sz w:val="16"/>
              </w:rPr>
              <w:t>(Wilson)</w:t>
            </w:r>
          </w:p>
        </w:tc>
        <w:tc>
          <w:tcPr>
            <w:tcW w:w="5130" w:type="dxa"/>
            <w:tcBorders>
              <w:top w:val="single" w:sz="6" w:space="0" w:color="000000"/>
              <w:start w:val="single" w:sz="6" w:space="0" w:color="000000"/>
              <w:bottom w:val="single" w:sz="6" w:space="0" w:color="000000"/>
              <w:end w:val="single" w:sz="6" w:space="0" w:color="000000"/>
            </w:tcBorders>
          </w:tcPr>
          <w:p>
            <w:pPr>
              <w:pStyle w:val="Normal"/>
              <w:rPr>
                <w:sz w:val="18"/>
              </w:rPr>
            </w:pPr>
            <w:r>
              <w:rPr>
                <w:color w:val="000000"/>
                <w:sz w:val="18"/>
              </w:rPr>
              <w:t>The 2000 Nebraska Unicameral Legislature adjourned April 12</w:t>
            </w:r>
            <w:r>
              <w:rPr>
                <w:color w:val="000000"/>
                <w:sz w:val="18"/>
                <w:vertAlign w:val="superscript"/>
              </w:rPr>
              <w:t>th</w:t>
            </w:r>
            <w:r>
              <w:rPr>
                <w:color w:val="000000"/>
                <w:sz w:val="18"/>
              </w:rPr>
              <w:t xml:space="preserve">.  </w:t>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snapToGrid w:val="false"/>
              <w:rPr>
                <w:b/>
                <w:sz w:val="18"/>
              </w:rPr>
            </w:pPr>
            <w:r>
              <w:rPr>
                <w:b/>
                <w:sz w:val="18"/>
              </w:rPr>
            </w:r>
          </w:p>
        </w:tc>
        <w:tc>
          <w:tcPr>
            <w:tcW w:w="1530" w:type="dxa"/>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FF"/>
                <w:sz w:val="18"/>
              </w:rPr>
              <w:t>*</w:t>
            </w:r>
            <w:r>
              <w:rPr>
                <w:b/>
                <w:i/>
                <w:color w:val="0000FF"/>
                <w:sz w:val="18"/>
              </w:rPr>
              <w:t>2001 Legislature</w:t>
            </w:r>
          </w:p>
        </w:tc>
        <w:tc>
          <w:tcPr>
            <w:tcW w:w="6480" w:type="dxa"/>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Republicans control the nonpartisan Unicameral 28R-18D-3I.  The Republican-held governor's office was not up for election.</w:t>
            </w:r>
          </w:p>
        </w:tc>
        <w:tc>
          <w:tcPr>
            <w:tcW w:w="5131" w:type="dxa"/>
            <w:tcBorders>
              <w:top w:val="single" w:sz="6" w:space="0" w:color="000000"/>
              <w:start w:val="single" w:sz="6" w:space="0" w:color="000000"/>
              <w:bottom w:val="single" w:sz="6" w:space="0" w:color="000000"/>
              <w:end w:val="single" w:sz="6" w:space="0" w:color="000000"/>
            </w:tcBorders>
          </w:tcPr>
          <w:p>
            <w:pPr>
              <w:pStyle w:val="Normal"/>
              <w:rPr/>
            </w:pPr>
            <w:r>
              <w:rPr>
                <w:b/>
                <w:i/>
                <w:color w:val="0000FF"/>
                <w:sz w:val="18"/>
              </w:rPr>
              <w:t>Wed., Jan. 3</w:t>
            </w:r>
            <w:r>
              <w:rPr>
                <w:b/>
                <w:i/>
                <w:color w:val="0000FF"/>
                <w:sz w:val="18"/>
                <w:vertAlign w:val="superscript"/>
              </w:rPr>
              <w:t>rd</w:t>
            </w:r>
            <w:r>
              <w:rPr>
                <w:b/>
                <w:i/>
                <w:color w:val="0000FF"/>
                <w:sz w:val="18"/>
              </w:rPr>
              <w:t xml:space="preserve"> is the starting date for the 2001 Unicameral.</w:t>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snapToGrid w:val="false"/>
              <w:rPr>
                <w:b/>
                <w:i/>
                <w:i/>
                <w:color w:val="0000FF"/>
                <w:sz w:val="18"/>
              </w:rPr>
            </w:pPr>
            <w:r>
              <w:rPr>
                <w:b/>
                <w:i/>
                <w:color w:val="0000FF"/>
                <w:sz w:val="18"/>
              </w:rPr>
            </w:r>
          </w:p>
        </w:tc>
        <w:tc>
          <w:tcPr>
            <w:tcW w:w="1530" w:type="dxa"/>
            <w:tcBorders>
              <w:top w:val="single" w:sz="6" w:space="0" w:color="000000"/>
              <w:start w:val="single" w:sz="6" w:space="0" w:color="000000"/>
              <w:bottom w:val="single" w:sz="6" w:space="0" w:color="000000"/>
              <w:end w:val="single" w:sz="6" w:space="0" w:color="000000"/>
            </w:tcBorders>
          </w:tcPr>
          <w:p>
            <w:pPr>
              <w:pStyle w:val="Normal"/>
              <w:rPr>
                <w:sz w:val="18"/>
              </w:rPr>
            </w:pPr>
            <w:r>
              <w:rPr>
                <w:color w:val="000000"/>
                <w:sz w:val="18"/>
              </w:rPr>
              <w:t>LR 74</w:t>
            </w:r>
          </w:p>
        </w:tc>
        <w:tc>
          <w:tcPr>
            <w:tcW w:w="6480" w:type="dxa"/>
            <w:tcBorders>
              <w:top w:val="single" w:sz="6" w:space="0" w:color="000000"/>
              <w:start w:val="single" w:sz="6" w:space="0" w:color="000000"/>
              <w:bottom w:val="single" w:sz="6" w:space="0" w:color="000000"/>
              <w:end w:val="single" w:sz="6" w:space="0" w:color="000000"/>
            </w:tcBorders>
          </w:tcPr>
          <w:p>
            <w:pPr>
              <w:pStyle w:val="Normal"/>
              <w:rPr>
                <w:sz w:val="18"/>
              </w:rPr>
            </w:pPr>
            <w:r>
              <w:rPr>
                <w:color w:val="000000"/>
                <w:sz w:val="18"/>
              </w:rPr>
              <w:t xml:space="preserve">A resolution  requesting an interim study to examine the natural gas industry in Nebraska.  The study would include a comprehensive overview of the organization, structure, governance, regulation, effectiveness, and consumer satisfaction with existing natural gas utility systems, both publicly and privately owned, in Nebraska and the emerging issues of competition , deregulation, and restructuring in the natural gas industry and their effect upon those natural gas utility systems. </w:t>
            </w:r>
            <w:r>
              <w:rPr>
                <w:b/>
                <w:color w:val="800000"/>
                <w:sz w:val="16"/>
              </w:rPr>
              <w:t>(Wilson)</w:t>
            </w:r>
          </w:p>
        </w:tc>
        <w:tc>
          <w:tcPr>
            <w:tcW w:w="5131" w:type="dxa"/>
            <w:tcBorders>
              <w:top w:val="single" w:sz="6" w:space="0" w:color="000000"/>
              <w:start w:val="single" w:sz="6" w:space="0" w:color="000000"/>
              <w:bottom w:val="single" w:sz="6" w:space="0" w:color="000000"/>
              <w:end w:val="single" w:sz="6" w:space="0" w:color="000000"/>
            </w:tcBorders>
          </w:tcPr>
          <w:p>
            <w:pPr>
              <w:pStyle w:val="Normal"/>
              <w:rPr>
                <w:sz w:val="18"/>
              </w:rPr>
            </w:pPr>
            <w:r>
              <w:rPr>
                <w:color w:val="000000"/>
                <w:sz w:val="18"/>
              </w:rPr>
              <w:t>The Legislature passed and the governor signed on May 18</w:t>
            </w:r>
            <w:r>
              <w:rPr>
                <w:color w:val="000000"/>
                <w:sz w:val="18"/>
                <w:vertAlign w:val="superscript"/>
              </w:rPr>
              <w:t>th</w:t>
            </w:r>
            <w:r>
              <w:rPr>
                <w:color w:val="000000"/>
                <w:sz w:val="18"/>
              </w:rPr>
              <w:t xml:space="preserve"> LB 805, which allocates $200,000 to fund this study.  NNG is participating on an advisory committee to the Urban Affairs Committee, which has </w:t>
            </w:r>
            <w:r>
              <w:rPr>
                <w:color w:val="000000"/>
                <w:sz w:val="18"/>
                <w:lang w:eastAsia="en-US"/>
              </w:rPr>
              <w:t xml:space="preserve">selected Economic &amp; Financial Resources (EFR) of Ankeny, IA as the consultant to conduct the study.  </w:t>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snapToGrid w:val="false"/>
              <w:rPr>
                <w:b/>
                <w:sz w:val="18"/>
              </w:rPr>
            </w:pPr>
            <w:r>
              <w:rPr>
                <w:b/>
                <w:sz w:val="18"/>
              </w:rPr>
            </w:r>
          </w:p>
        </w:tc>
        <w:tc>
          <w:tcPr>
            <w:tcW w:w="1530" w:type="dxa"/>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LR 447</w:t>
            </w:r>
          </w:p>
        </w:tc>
        <w:tc>
          <w:tcPr>
            <w:tcW w:w="6480" w:type="dxa"/>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 xml:space="preserve">Interim study - </w:t>
            </w:r>
            <w:r>
              <w:rPr>
                <w:color w:val="000000"/>
                <w:sz w:val="18"/>
                <w:lang w:eastAsia="en-US"/>
              </w:rPr>
              <w:t xml:space="preserve">examination of the Nebraska electric industry and expanded services in telecommunications, as well as other services, by public power. </w:t>
            </w:r>
            <w:r>
              <w:rPr>
                <w:b/>
                <w:color w:val="800000"/>
                <w:sz w:val="16"/>
              </w:rPr>
              <w:t>(Wilson)</w:t>
            </w:r>
          </w:p>
        </w:tc>
        <w:tc>
          <w:tcPr>
            <w:tcW w:w="5131" w:type="dxa"/>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These issues will be the subjects of a joint study by the Transportation &amp; Telecommunications Committee and the Natural Resources Committee.</w:t>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snapToGrid w:val="false"/>
              <w:rPr>
                <w:b/>
                <w:color w:val="000000"/>
                <w:sz w:val="18"/>
              </w:rPr>
            </w:pPr>
            <w:r>
              <w:rPr>
                <w:b/>
                <w:color w:val="000000"/>
                <w:sz w:val="18"/>
              </w:rPr>
            </w:r>
          </w:p>
        </w:tc>
        <w:tc>
          <w:tcPr>
            <w:tcW w:w="1530" w:type="dxa"/>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LR 461</w:t>
            </w:r>
          </w:p>
        </w:tc>
        <w:tc>
          <w:tcPr>
            <w:tcW w:w="6480" w:type="dxa"/>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 xml:space="preserve">Interim study - </w:t>
            </w:r>
            <w:r>
              <w:rPr>
                <w:color w:val="000000"/>
                <w:sz w:val="18"/>
                <w:lang w:eastAsia="en-US"/>
              </w:rPr>
              <w:t xml:space="preserve">recodification of statutes relating to the Public Service Commission. </w:t>
            </w:r>
            <w:r>
              <w:rPr>
                <w:b/>
                <w:color w:val="800000"/>
                <w:sz w:val="16"/>
              </w:rPr>
              <w:t>(Wilson)</w:t>
            </w:r>
          </w:p>
        </w:tc>
        <w:tc>
          <w:tcPr>
            <w:tcW w:w="5131" w:type="dxa"/>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Assigned to Transportation &amp; Telecommunications Committee.</w:t>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snapToGrid w:val="false"/>
              <w:rPr>
                <w:b/>
                <w:color w:val="000000"/>
                <w:sz w:val="18"/>
              </w:rPr>
            </w:pPr>
            <w:r>
              <w:rPr>
                <w:b/>
                <w:color w:val="000000"/>
                <w:sz w:val="18"/>
              </w:rPr>
            </w:r>
          </w:p>
        </w:tc>
        <w:tc>
          <w:tcPr>
            <w:tcW w:w="1530" w:type="dxa"/>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LR 484</w:t>
            </w:r>
          </w:p>
        </w:tc>
        <w:tc>
          <w:tcPr>
            <w:tcW w:w="6480" w:type="dxa"/>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 xml:space="preserve">Interim study - </w:t>
            </w:r>
            <w:r>
              <w:rPr>
                <w:color w:val="000000"/>
                <w:sz w:val="18"/>
                <w:lang w:eastAsia="en-US"/>
              </w:rPr>
              <w:t xml:space="preserve">natural gas service in Nebraska.  </w:t>
            </w:r>
            <w:r>
              <w:rPr>
                <w:b/>
                <w:color w:val="800000"/>
                <w:sz w:val="16"/>
              </w:rPr>
              <w:t>(Wilson)</w:t>
            </w:r>
          </w:p>
        </w:tc>
        <w:tc>
          <w:tcPr>
            <w:tcW w:w="5131" w:type="dxa"/>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Assigned to Urban Affairs Committee.</w:t>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rPr>
                <w:b/>
                <w:sz w:val="18"/>
              </w:rPr>
            </w:pPr>
            <w:r>
              <w:rPr>
                <w:b/>
                <w:sz w:val="18"/>
              </w:rPr>
              <w:t>NEW MEXICO</w:t>
            </w:r>
          </w:p>
        </w:tc>
        <w:tc>
          <w:tcPr>
            <w:tcW w:w="1530" w:type="dxa"/>
            <w:tcBorders>
              <w:top w:val="single" w:sz="6" w:space="0" w:color="000000"/>
              <w:start w:val="single" w:sz="6" w:space="0" w:color="000000"/>
              <w:bottom w:val="single" w:sz="6" w:space="0" w:color="000000"/>
              <w:end w:val="single" w:sz="6" w:space="0" w:color="000000"/>
            </w:tcBorders>
          </w:tcPr>
          <w:p>
            <w:pPr>
              <w:pStyle w:val="Normal"/>
              <w:snapToGrid w:val="false"/>
              <w:rPr>
                <w:b/>
                <w:sz w:val="18"/>
              </w:rPr>
            </w:pPr>
            <w:r>
              <w:rPr>
                <w:b/>
                <w:sz w:val="18"/>
              </w:rPr>
            </w:r>
          </w:p>
        </w:tc>
        <w:tc>
          <w:tcPr>
            <w:tcW w:w="6480" w:type="dxa"/>
            <w:tcBorders>
              <w:top w:val="single" w:sz="6" w:space="0" w:color="000000"/>
              <w:start w:val="single" w:sz="6" w:space="0" w:color="000000"/>
              <w:bottom w:val="single" w:sz="6" w:space="0" w:color="000000"/>
              <w:end w:val="single" w:sz="6" w:space="0" w:color="000000"/>
            </w:tcBorders>
          </w:tcPr>
          <w:p>
            <w:pPr>
              <w:pStyle w:val="Normal"/>
              <w:snapToGrid w:val="false"/>
              <w:rPr>
                <w:sz w:val="18"/>
              </w:rPr>
            </w:pPr>
            <w:r>
              <w:rPr>
                <w:sz w:val="18"/>
              </w:rPr>
            </w:r>
          </w:p>
        </w:tc>
        <w:tc>
          <w:tcPr>
            <w:tcW w:w="5131" w:type="dxa"/>
            <w:tcBorders>
              <w:top w:val="single" w:sz="6" w:space="0" w:color="000000"/>
              <w:start w:val="single" w:sz="6" w:space="0" w:color="000000"/>
              <w:bottom w:val="single" w:sz="6" w:space="0" w:color="000000"/>
              <w:end w:val="single" w:sz="6" w:space="0" w:color="000000"/>
            </w:tcBorders>
          </w:tcPr>
          <w:p>
            <w:pPr>
              <w:pStyle w:val="Normal"/>
              <w:snapToGrid w:val="false"/>
              <w:rPr>
                <w:sz w:val="18"/>
              </w:rPr>
            </w:pPr>
            <w:r>
              <w:rPr>
                <w:sz w:val="18"/>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jc w:val="end"/>
              <w:rPr>
                <w:b/>
                <w:sz w:val="18"/>
              </w:rPr>
            </w:pPr>
            <w:r>
              <w:rPr>
                <w:b/>
                <w:sz w:val="18"/>
              </w:rPr>
              <w:t>Legislative</w:t>
            </w:r>
          </w:p>
        </w:tc>
        <w:tc>
          <w:tcPr>
            <w:tcW w:w="1530" w:type="dxa"/>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2000 Legislature</w:t>
            </w:r>
          </w:p>
        </w:tc>
        <w:tc>
          <w:tcPr>
            <w:tcW w:w="6480" w:type="dxa"/>
            <w:tcBorders>
              <w:top w:val="single" w:sz="6" w:space="0" w:color="000000"/>
              <w:start w:val="single" w:sz="6" w:space="0" w:color="000000"/>
              <w:bottom w:val="single" w:sz="6" w:space="0" w:color="000000"/>
              <w:end w:val="single" w:sz="6" w:space="0" w:color="000000"/>
            </w:tcBorders>
          </w:tcPr>
          <w:p>
            <w:pPr>
              <w:pStyle w:val="Normal"/>
              <w:rPr>
                <w:sz w:val="18"/>
              </w:rPr>
            </w:pPr>
            <w:r>
              <w:rPr>
                <w:color w:val="000000"/>
                <w:sz w:val="18"/>
              </w:rPr>
              <w:t xml:space="preserve">Republicans hold the governor’s office. Democrats control of the House (40D-30R) and the Senate (25D-17R). </w:t>
            </w:r>
            <w:r>
              <w:rPr>
                <w:b/>
                <w:color w:val="800000"/>
                <w:sz w:val="16"/>
              </w:rPr>
              <w:t>(Stanton or Wilson)</w:t>
            </w:r>
          </w:p>
        </w:tc>
        <w:tc>
          <w:tcPr>
            <w:tcW w:w="5131" w:type="dxa"/>
            <w:tcBorders>
              <w:top w:val="single" w:sz="6" w:space="0" w:color="000000"/>
              <w:start w:val="single" w:sz="6" w:space="0" w:color="000000"/>
              <w:bottom w:val="single" w:sz="6" w:space="0" w:color="000000"/>
              <w:end w:val="single" w:sz="6" w:space="0" w:color="000000"/>
            </w:tcBorders>
          </w:tcPr>
          <w:p>
            <w:pPr>
              <w:pStyle w:val="Normal"/>
              <w:rPr/>
            </w:pPr>
            <w:r>
              <w:rPr>
                <w:color w:val="000000"/>
                <w:sz w:val="18"/>
              </w:rPr>
              <w:t>The 2000 New Mexico Legislature concluded a 30-day session on Feb. 15</w:t>
            </w:r>
            <w:r>
              <w:rPr>
                <w:color w:val="000000"/>
                <w:sz w:val="18"/>
                <w:vertAlign w:val="superscript"/>
              </w:rPr>
              <w:t>th</w:t>
            </w:r>
            <w:r>
              <w:rPr>
                <w:color w:val="000000"/>
                <w:sz w:val="18"/>
              </w:rPr>
              <w:t>.</w:t>
            </w:r>
          </w:p>
        </w:tc>
      </w:tr>
      <w:tr>
        <w:trPr/>
        <w:tc>
          <w:tcPr>
            <w:tcW w:w="1440" w:type="dxa"/>
            <w:tcBorders>
              <w:top w:val="single" w:sz="6" w:space="0" w:color="000000"/>
              <w:start w:val="single" w:sz="6" w:space="0" w:color="000000"/>
              <w:bottom w:val="single" w:sz="6" w:space="0" w:color="000000"/>
              <w:end w:val="single" w:sz="6" w:space="0" w:color="000000"/>
            </w:tcBorders>
          </w:tcPr>
          <w:p>
            <w:pPr>
              <w:pStyle w:val="Heading1"/>
              <w:snapToGrid w:val="false"/>
              <w:ind w:hanging="0" w:start="0"/>
              <w:rPr>
                <w:color w:val="000000"/>
                <w:sz w:val="18"/>
              </w:rPr>
            </w:pPr>
            <w:r>
              <w:rPr>
                <w:color w:val="000000"/>
                <w:sz w:val="18"/>
              </w:rPr>
            </w:r>
          </w:p>
        </w:tc>
        <w:tc>
          <w:tcPr>
            <w:tcW w:w="1530" w:type="dxa"/>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FF"/>
                <w:sz w:val="18"/>
              </w:rPr>
              <w:t>*</w:t>
            </w:r>
            <w:r>
              <w:rPr>
                <w:b/>
                <w:i/>
                <w:color w:val="0000FF"/>
                <w:sz w:val="18"/>
              </w:rPr>
              <w:t>2001 Legislature</w:t>
            </w:r>
          </w:p>
        </w:tc>
        <w:tc>
          <w:tcPr>
            <w:tcW w:w="6480" w:type="dxa"/>
            <w:tcBorders>
              <w:top w:val="single" w:sz="6" w:space="0" w:color="000000"/>
              <w:start w:val="single" w:sz="6" w:space="0" w:color="000000"/>
              <w:bottom w:val="single" w:sz="6" w:space="0" w:color="000000"/>
              <w:end w:val="single" w:sz="6" w:space="0" w:color="000000"/>
            </w:tcBorders>
          </w:tcPr>
          <w:p>
            <w:pPr>
              <w:pStyle w:val="Normal"/>
              <w:rPr/>
            </w:pPr>
            <w:r>
              <w:rPr>
                <w:color w:val="000000"/>
                <w:sz w:val="18"/>
              </w:rPr>
              <w:t xml:space="preserve">Democrats held on to control of the House </w:t>
            </w:r>
            <w:r>
              <w:rPr>
                <w:b/>
                <w:i/>
                <w:color w:val="0000FF"/>
                <w:sz w:val="18"/>
              </w:rPr>
              <w:t>42D-28R</w:t>
            </w:r>
            <w:r>
              <w:rPr>
                <w:color w:val="000000"/>
                <w:sz w:val="18"/>
              </w:rPr>
              <w:t xml:space="preserve"> as well as the Senate 24D-18R. The governor's office, not up for election, remains in Republican hands.</w:t>
            </w:r>
          </w:p>
        </w:tc>
        <w:tc>
          <w:tcPr>
            <w:tcW w:w="5131" w:type="dxa"/>
            <w:tcBorders>
              <w:top w:val="single" w:sz="6" w:space="0" w:color="000000"/>
              <w:start w:val="single" w:sz="6" w:space="0" w:color="000000"/>
              <w:bottom w:val="single" w:sz="6" w:space="0" w:color="000000"/>
              <w:end w:val="single" w:sz="6" w:space="0" w:color="000000"/>
            </w:tcBorders>
          </w:tcPr>
          <w:p>
            <w:pPr>
              <w:pStyle w:val="Normal"/>
              <w:rPr/>
            </w:pPr>
            <w:r>
              <w:rPr>
                <w:b/>
                <w:i/>
                <w:color w:val="0000FF"/>
                <w:sz w:val="18"/>
              </w:rPr>
              <w:t>New Mexico's 2001 session begins Tue., Jan. 16</w:t>
            </w:r>
            <w:r>
              <w:rPr>
                <w:b/>
                <w:i/>
                <w:color w:val="0000FF"/>
                <w:sz w:val="18"/>
                <w:vertAlign w:val="superscript"/>
              </w:rPr>
              <w:t>th</w:t>
            </w:r>
            <w:r>
              <w:rPr>
                <w:b/>
                <w:i/>
                <w:color w:val="0000FF"/>
                <w:sz w:val="18"/>
              </w:rPr>
              <w:t>.</w:t>
            </w:r>
          </w:p>
        </w:tc>
      </w:tr>
      <w:tr>
        <w:trPr/>
        <w:tc>
          <w:tcPr>
            <w:tcW w:w="1440" w:type="dxa"/>
            <w:tcBorders>
              <w:top w:val="single" w:sz="6" w:space="0" w:color="000000"/>
              <w:start w:val="single" w:sz="6" w:space="0" w:color="000000"/>
              <w:bottom w:val="single" w:sz="6" w:space="0" w:color="000000"/>
              <w:end w:val="single" w:sz="6" w:space="0" w:color="000000"/>
            </w:tcBorders>
          </w:tcPr>
          <w:p>
            <w:pPr>
              <w:pStyle w:val="Heading1"/>
              <w:ind w:hanging="0" w:start="0"/>
              <w:rPr/>
            </w:pPr>
            <w:r>
              <w:rPr/>
              <w:t>Regulatory</w:t>
            </w:r>
          </w:p>
        </w:tc>
        <w:tc>
          <w:tcPr>
            <w:tcW w:w="1530" w:type="dxa"/>
            <w:tcBorders>
              <w:top w:val="single" w:sz="6" w:space="0" w:color="000000"/>
              <w:start w:val="single" w:sz="6" w:space="0" w:color="000000"/>
              <w:bottom w:val="single" w:sz="6" w:space="0" w:color="000000"/>
              <w:end w:val="single" w:sz="6" w:space="0" w:color="000000"/>
            </w:tcBorders>
          </w:tcPr>
          <w:p>
            <w:pPr>
              <w:pStyle w:val="Normal"/>
              <w:rPr>
                <w:sz w:val="18"/>
              </w:rPr>
            </w:pPr>
            <w:r>
              <w:rPr>
                <w:color w:val="000000"/>
                <w:sz w:val="18"/>
              </w:rPr>
              <w:t>Air Quality Permit Rules</w:t>
            </w:r>
          </w:p>
        </w:tc>
        <w:tc>
          <w:tcPr>
            <w:tcW w:w="6480" w:type="dxa"/>
            <w:tcBorders>
              <w:top w:val="single" w:sz="6" w:space="0" w:color="000000"/>
              <w:start w:val="single" w:sz="6" w:space="0" w:color="000000"/>
              <w:bottom w:val="single" w:sz="6" w:space="0" w:color="000000"/>
              <w:end w:val="single" w:sz="6" w:space="0" w:color="000000"/>
            </w:tcBorders>
          </w:tcPr>
          <w:p>
            <w:pPr>
              <w:pStyle w:val="Normal"/>
              <w:rPr>
                <w:sz w:val="18"/>
              </w:rPr>
            </w:pPr>
            <w:r>
              <w:rPr>
                <w:color w:val="000000"/>
                <w:sz w:val="18"/>
              </w:rPr>
              <w:t xml:space="preserve">The New Mexico Air Quality Bureau is drafting rules that implement a new air quality permit process, which will reduce state action time from 180 to 90 days. </w:t>
            </w:r>
            <w:r>
              <w:rPr>
                <w:b/>
                <w:color w:val="800000"/>
                <w:sz w:val="16"/>
              </w:rPr>
              <w:t>(Stanton or Wilson)</w:t>
            </w:r>
          </w:p>
        </w:tc>
        <w:tc>
          <w:tcPr>
            <w:tcW w:w="5131" w:type="dxa"/>
            <w:tcBorders>
              <w:top w:val="single" w:sz="6" w:space="0" w:color="000000"/>
              <w:start w:val="single" w:sz="6" w:space="0" w:color="000000"/>
              <w:bottom w:val="single" w:sz="6" w:space="0" w:color="000000"/>
              <w:end w:val="single" w:sz="6" w:space="0" w:color="000000"/>
            </w:tcBorders>
          </w:tcPr>
          <w:p>
            <w:pPr>
              <w:pStyle w:val="Normal"/>
              <w:rPr>
                <w:sz w:val="18"/>
              </w:rPr>
            </w:pPr>
            <w:r>
              <w:rPr>
                <w:color w:val="000000"/>
                <w:sz w:val="18"/>
              </w:rPr>
              <w:t>A meeting was held in July 1999 with the Bureau.  Draft rules are being prepared.</w:t>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rPr>
                <w:b/>
                <w:sz w:val="18"/>
              </w:rPr>
            </w:pPr>
            <w:r>
              <w:rPr>
                <w:b/>
                <w:sz w:val="18"/>
              </w:rPr>
              <w:t>SO. DAKOTA</w:t>
            </w:r>
          </w:p>
        </w:tc>
        <w:tc>
          <w:tcPr>
            <w:tcW w:w="1530" w:type="dxa"/>
            <w:tcBorders>
              <w:top w:val="single" w:sz="6" w:space="0" w:color="000000"/>
              <w:start w:val="single" w:sz="6" w:space="0" w:color="000000"/>
              <w:bottom w:val="single" w:sz="6" w:space="0" w:color="000000"/>
              <w:end w:val="single" w:sz="6" w:space="0" w:color="000000"/>
            </w:tcBorders>
          </w:tcPr>
          <w:p>
            <w:pPr>
              <w:pStyle w:val="Normal"/>
              <w:snapToGrid w:val="false"/>
              <w:rPr>
                <w:b/>
                <w:sz w:val="18"/>
              </w:rPr>
            </w:pPr>
            <w:r>
              <w:rPr>
                <w:b/>
                <w:sz w:val="18"/>
              </w:rPr>
            </w:r>
          </w:p>
        </w:tc>
        <w:tc>
          <w:tcPr>
            <w:tcW w:w="6480" w:type="dxa"/>
            <w:tcBorders>
              <w:top w:val="single" w:sz="6" w:space="0" w:color="000000"/>
              <w:start w:val="single" w:sz="6" w:space="0" w:color="000000"/>
              <w:bottom w:val="single" w:sz="6" w:space="0" w:color="000000"/>
              <w:end w:val="single" w:sz="6" w:space="0" w:color="000000"/>
            </w:tcBorders>
          </w:tcPr>
          <w:p>
            <w:pPr>
              <w:pStyle w:val="Normal"/>
              <w:snapToGrid w:val="false"/>
              <w:rPr>
                <w:sz w:val="18"/>
              </w:rPr>
            </w:pPr>
            <w:r>
              <w:rPr>
                <w:sz w:val="18"/>
              </w:rPr>
            </w:r>
          </w:p>
        </w:tc>
        <w:tc>
          <w:tcPr>
            <w:tcW w:w="5131" w:type="dxa"/>
            <w:tcBorders>
              <w:top w:val="single" w:sz="6" w:space="0" w:color="000000"/>
              <w:start w:val="single" w:sz="6" w:space="0" w:color="000000"/>
              <w:bottom w:val="single" w:sz="6" w:space="0" w:color="000000"/>
              <w:end w:val="single" w:sz="6" w:space="0" w:color="000000"/>
            </w:tcBorders>
          </w:tcPr>
          <w:p>
            <w:pPr>
              <w:pStyle w:val="Normal"/>
              <w:snapToGrid w:val="false"/>
              <w:rPr>
                <w:sz w:val="18"/>
              </w:rPr>
            </w:pPr>
            <w:r>
              <w:rPr>
                <w:sz w:val="18"/>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jc w:val="end"/>
              <w:rPr>
                <w:b/>
                <w:sz w:val="18"/>
              </w:rPr>
            </w:pPr>
            <w:r>
              <w:rPr>
                <w:b/>
                <w:sz w:val="18"/>
              </w:rPr>
              <w:t>Legislative</w:t>
            </w:r>
          </w:p>
        </w:tc>
        <w:tc>
          <w:tcPr>
            <w:tcW w:w="1530" w:type="dxa"/>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2000 Legislature</w:t>
            </w:r>
          </w:p>
        </w:tc>
        <w:tc>
          <w:tcPr>
            <w:tcW w:w="6480" w:type="dxa"/>
            <w:tcBorders>
              <w:top w:val="single" w:sz="6" w:space="0" w:color="000000"/>
              <w:start w:val="single" w:sz="6" w:space="0" w:color="000000"/>
              <w:bottom w:val="single" w:sz="6" w:space="0" w:color="000000"/>
              <w:end w:val="single" w:sz="6" w:space="0" w:color="000000"/>
            </w:tcBorders>
          </w:tcPr>
          <w:p>
            <w:pPr>
              <w:pStyle w:val="Normal"/>
              <w:rPr>
                <w:sz w:val="18"/>
              </w:rPr>
            </w:pPr>
            <w:r>
              <w:rPr>
                <w:color w:val="000000"/>
                <w:sz w:val="18"/>
              </w:rPr>
              <w:t xml:space="preserve">The governor’s office is held by Republicans, who also control  the House (51R-19D) and the Senate (22R-13D).  </w:t>
            </w:r>
            <w:r>
              <w:rPr>
                <w:b/>
                <w:color w:val="800000"/>
                <w:sz w:val="16"/>
              </w:rPr>
              <w:t>(Stanton)</w:t>
            </w:r>
          </w:p>
        </w:tc>
        <w:tc>
          <w:tcPr>
            <w:tcW w:w="5131" w:type="dxa"/>
            <w:tcBorders>
              <w:top w:val="single" w:sz="6" w:space="0" w:color="000000"/>
              <w:start w:val="single" w:sz="6" w:space="0" w:color="000000"/>
              <w:bottom w:val="single" w:sz="6" w:space="0" w:color="000000"/>
              <w:end w:val="single" w:sz="6" w:space="0" w:color="000000"/>
            </w:tcBorders>
          </w:tcPr>
          <w:p>
            <w:pPr>
              <w:pStyle w:val="Normal"/>
              <w:rPr/>
            </w:pPr>
            <w:r>
              <w:rPr>
                <w:color w:val="000000"/>
                <w:sz w:val="18"/>
              </w:rPr>
              <w:t>The So. Dakota Legislature adjourned March 15</w:t>
            </w:r>
            <w:r>
              <w:rPr>
                <w:color w:val="000000"/>
                <w:sz w:val="18"/>
                <w:vertAlign w:val="superscript"/>
              </w:rPr>
              <w:t>th</w:t>
            </w:r>
            <w:r>
              <w:rPr>
                <w:color w:val="000000"/>
                <w:sz w:val="18"/>
              </w:rPr>
              <w:t>, 2000.</w:t>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snapToGrid w:val="false"/>
              <w:rPr>
                <w:b/>
                <w:color w:val="000000"/>
                <w:sz w:val="18"/>
              </w:rPr>
            </w:pPr>
            <w:r>
              <w:rPr>
                <w:b/>
                <w:color w:val="000000"/>
                <w:sz w:val="18"/>
              </w:rPr>
            </w:r>
          </w:p>
        </w:tc>
        <w:tc>
          <w:tcPr>
            <w:tcW w:w="1530" w:type="dxa"/>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FF"/>
                <w:sz w:val="18"/>
              </w:rPr>
              <w:t>*</w:t>
            </w:r>
            <w:r>
              <w:rPr>
                <w:b/>
                <w:i/>
                <w:color w:val="0000FF"/>
                <w:sz w:val="18"/>
              </w:rPr>
              <w:t>2001 Legislature</w:t>
            </w:r>
          </w:p>
        </w:tc>
        <w:tc>
          <w:tcPr>
            <w:tcW w:w="6480" w:type="dxa"/>
            <w:tcBorders>
              <w:top w:val="single" w:sz="6" w:space="0" w:color="000000"/>
              <w:start w:val="single" w:sz="6" w:space="0" w:color="000000"/>
              <w:bottom w:val="single" w:sz="6" w:space="0" w:color="000000"/>
              <w:end w:val="single" w:sz="6" w:space="0" w:color="000000"/>
            </w:tcBorders>
          </w:tcPr>
          <w:p>
            <w:pPr>
              <w:pStyle w:val="Normal"/>
              <w:rPr/>
            </w:pPr>
            <w:r>
              <w:rPr>
                <w:color w:val="000000"/>
                <w:sz w:val="18"/>
              </w:rPr>
              <w:t xml:space="preserve">Republicans maintain rule of the House 50R-20D and the Senate </w:t>
            </w:r>
            <w:r>
              <w:rPr>
                <w:b/>
                <w:i/>
                <w:color w:val="0000FF"/>
                <w:sz w:val="18"/>
              </w:rPr>
              <w:t>24R-11D</w:t>
            </w:r>
            <w:r>
              <w:rPr>
                <w:color w:val="000000"/>
                <w:sz w:val="18"/>
              </w:rPr>
              <w:t>.  The governor's office, not up for election, remains Republican.</w:t>
            </w:r>
          </w:p>
        </w:tc>
        <w:tc>
          <w:tcPr>
            <w:tcW w:w="5131" w:type="dxa"/>
            <w:tcBorders>
              <w:top w:val="single" w:sz="6" w:space="0" w:color="000000"/>
              <w:start w:val="single" w:sz="6" w:space="0" w:color="000000"/>
              <w:bottom w:val="single" w:sz="6" w:space="0" w:color="000000"/>
              <w:end w:val="single" w:sz="6" w:space="0" w:color="000000"/>
            </w:tcBorders>
          </w:tcPr>
          <w:p>
            <w:pPr>
              <w:pStyle w:val="Normal"/>
              <w:rPr/>
            </w:pPr>
            <w:r>
              <w:rPr>
                <w:b/>
                <w:i/>
                <w:color w:val="0000FF"/>
                <w:sz w:val="18"/>
              </w:rPr>
              <w:t>Tue., Jan. 9</w:t>
            </w:r>
            <w:r>
              <w:rPr>
                <w:b/>
                <w:i/>
                <w:color w:val="0000FF"/>
                <w:sz w:val="18"/>
                <w:vertAlign w:val="superscript"/>
              </w:rPr>
              <w:t>th</w:t>
            </w:r>
            <w:r>
              <w:rPr>
                <w:b/>
                <w:i/>
                <w:color w:val="0000FF"/>
                <w:sz w:val="18"/>
              </w:rPr>
              <w:t xml:space="preserve"> is the opening day of the 2001 South Dakota Legislature.</w:t>
            </w:r>
          </w:p>
        </w:tc>
      </w:tr>
    </w:tbl>
    <w:p>
      <w:pPr>
        <w:pStyle w:val="Normal"/>
        <w:rPr/>
      </w:pPr>
      <w:r>
        <w:br w:type="page"/>
      </w:r>
      <w:r>
        <w:rPr/>
      </w:r>
    </w:p>
    <w:tbl>
      <w:tblPr>
        <w:tblW w:w="14581" w:type="dxa"/>
        <w:jc w:val="start"/>
        <w:tblInd w:w="-72" w:type="dxa"/>
        <w:tblLayout w:type="fixed"/>
        <w:tblCellMar>
          <w:top w:w="0" w:type="dxa"/>
          <w:start w:w="108" w:type="dxa"/>
          <w:bottom w:w="0" w:type="dxa"/>
          <w:end w:w="108" w:type="dxa"/>
        </w:tblCellMar>
      </w:tblPr>
      <w:tblGrid>
        <w:gridCol w:w="1440"/>
        <w:gridCol w:w="1530"/>
        <w:gridCol w:w="6480"/>
        <w:gridCol w:w="5131"/>
      </w:tblGrid>
      <w:tr>
        <w:trPr/>
        <w:tc>
          <w:tcPr>
            <w:tcW w:w="1440" w:type="dxa"/>
            <w:tcBorders>
              <w:top w:val="single" w:sz="6" w:space="0" w:color="000000"/>
              <w:start w:val="single" w:sz="6" w:space="0" w:color="000000"/>
              <w:bottom w:val="single" w:sz="6" w:space="0" w:color="000000"/>
              <w:end w:val="single" w:sz="6" w:space="0" w:color="000000"/>
            </w:tcBorders>
          </w:tcPr>
          <w:p>
            <w:pPr>
              <w:pStyle w:val="Normal"/>
              <w:rPr>
                <w:b/>
                <w:sz w:val="18"/>
              </w:rPr>
            </w:pPr>
            <w:r>
              <w:rPr>
                <w:b/>
                <w:sz w:val="18"/>
              </w:rPr>
              <w:t>WISCONSIN</w:t>
            </w:r>
          </w:p>
        </w:tc>
        <w:tc>
          <w:tcPr>
            <w:tcW w:w="1530" w:type="dxa"/>
            <w:tcBorders>
              <w:top w:val="single" w:sz="6" w:space="0" w:color="000000"/>
              <w:start w:val="single" w:sz="6" w:space="0" w:color="000000"/>
              <w:bottom w:val="single" w:sz="6" w:space="0" w:color="000000"/>
              <w:end w:val="single" w:sz="6" w:space="0" w:color="000000"/>
            </w:tcBorders>
          </w:tcPr>
          <w:p>
            <w:pPr>
              <w:pStyle w:val="Normal"/>
              <w:snapToGrid w:val="false"/>
              <w:rPr>
                <w:b/>
                <w:sz w:val="18"/>
              </w:rPr>
            </w:pPr>
            <w:r>
              <w:rPr>
                <w:b/>
                <w:sz w:val="18"/>
              </w:rPr>
            </w:r>
          </w:p>
        </w:tc>
        <w:tc>
          <w:tcPr>
            <w:tcW w:w="6480" w:type="dxa"/>
            <w:tcBorders>
              <w:top w:val="single" w:sz="6" w:space="0" w:color="000000"/>
              <w:start w:val="single" w:sz="6" w:space="0" w:color="000000"/>
              <w:bottom w:val="single" w:sz="6" w:space="0" w:color="000000"/>
              <w:end w:val="single" w:sz="6" w:space="0" w:color="000000"/>
            </w:tcBorders>
          </w:tcPr>
          <w:p>
            <w:pPr>
              <w:pStyle w:val="Normal"/>
              <w:snapToGrid w:val="false"/>
              <w:rPr>
                <w:sz w:val="18"/>
              </w:rPr>
            </w:pPr>
            <w:r>
              <w:rPr>
                <w:sz w:val="18"/>
              </w:rPr>
            </w:r>
          </w:p>
        </w:tc>
        <w:tc>
          <w:tcPr>
            <w:tcW w:w="5131" w:type="dxa"/>
            <w:tcBorders>
              <w:top w:val="single" w:sz="6" w:space="0" w:color="000000"/>
              <w:start w:val="single" w:sz="6" w:space="0" w:color="000000"/>
              <w:bottom w:val="single" w:sz="6" w:space="0" w:color="000000"/>
              <w:end w:val="single" w:sz="6" w:space="0" w:color="000000"/>
            </w:tcBorders>
          </w:tcPr>
          <w:p>
            <w:pPr>
              <w:pStyle w:val="Normal"/>
              <w:snapToGrid w:val="false"/>
              <w:rPr>
                <w:sz w:val="18"/>
              </w:rPr>
            </w:pPr>
            <w:r>
              <w:rPr>
                <w:sz w:val="18"/>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jc w:val="end"/>
              <w:rPr>
                <w:b/>
                <w:sz w:val="18"/>
              </w:rPr>
            </w:pPr>
            <w:r>
              <w:rPr>
                <w:b/>
                <w:sz w:val="18"/>
              </w:rPr>
              <w:t>Regulatory</w:t>
            </w:r>
          </w:p>
        </w:tc>
        <w:tc>
          <w:tcPr>
            <w:tcW w:w="1530" w:type="dxa"/>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05-BG-101</w:t>
            </w:r>
          </w:p>
        </w:tc>
        <w:tc>
          <w:tcPr>
            <w:tcW w:w="6480" w:type="dxa"/>
            <w:tcBorders>
              <w:top w:val="single" w:sz="6" w:space="0" w:color="000000"/>
              <w:start w:val="single" w:sz="6" w:space="0" w:color="000000"/>
              <w:bottom w:val="single" w:sz="6" w:space="0" w:color="000000"/>
              <w:end w:val="single" w:sz="6" w:space="0" w:color="000000"/>
            </w:tcBorders>
          </w:tcPr>
          <w:p>
            <w:pPr>
              <w:pStyle w:val="Normal"/>
              <w:rPr>
                <w:sz w:val="18"/>
              </w:rPr>
            </w:pPr>
            <w:r>
              <w:rPr>
                <w:color w:val="000000"/>
                <w:sz w:val="18"/>
              </w:rPr>
              <w:t xml:space="preserve">Investigation into appropriate certification or registration requirements for non-utility natural gas suppliers. </w:t>
            </w:r>
            <w:r>
              <w:rPr>
                <w:b/>
                <w:color w:val="800000"/>
                <w:sz w:val="16"/>
              </w:rPr>
              <w:t>(Stanton)</w:t>
            </w:r>
          </w:p>
        </w:tc>
        <w:tc>
          <w:tcPr>
            <w:tcW w:w="5131" w:type="dxa"/>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ET&amp;S commented Nov. 1997 on appropriate operating standards for holding firm capacity, saying that such standards should ensure that aggregate firm pipeline capacity is contracted for and that any standards must be developed in concert with federal regulatory rules governing pipeline capacity.  In Apr. 1998 the PSC requested comments on a  proposed tariff.  Northern filed comments addressing proposed requirements related to firm interstate pipeline capacity.</w:t>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snapToGrid w:val="false"/>
              <w:jc w:val="end"/>
              <w:rPr>
                <w:b/>
                <w:color w:val="000000"/>
                <w:sz w:val="18"/>
              </w:rPr>
            </w:pPr>
            <w:r>
              <w:rPr>
                <w:b/>
                <w:color w:val="000000"/>
                <w:sz w:val="18"/>
              </w:rPr>
            </w:r>
          </w:p>
        </w:tc>
        <w:tc>
          <w:tcPr>
            <w:tcW w:w="1530" w:type="dxa"/>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3270-CG-113</w:t>
            </w:r>
          </w:p>
        </w:tc>
        <w:tc>
          <w:tcPr>
            <w:tcW w:w="6480" w:type="dxa"/>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 xml:space="preserve">Madison Gas and Electric Company application to construct a pipeline to interconnect its gate station south of Madison with its gate station located east of Madison.  The project is designed to give MG&amp;E more flexibility in choosing between ANR, Northern, or a third pipeline to source its gas supplies. </w:t>
            </w:r>
            <w:r>
              <w:rPr>
                <w:b/>
                <w:color w:val="800000"/>
                <w:sz w:val="16"/>
              </w:rPr>
              <w:t>(Stanton)</w:t>
            </w:r>
          </w:p>
        </w:tc>
        <w:tc>
          <w:tcPr>
            <w:tcW w:w="5131" w:type="dxa"/>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Filed in August 1998.  This project, originally proposed for completion in the Fall of 1999, was set back to 2000.</w:t>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snapToGrid w:val="false"/>
              <w:jc w:val="end"/>
              <w:rPr>
                <w:b/>
                <w:color w:val="000000"/>
                <w:sz w:val="18"/>
              </w:rPr>
            </w:pPr>
            <w:r>
              <w:rPr>
                <w:b/>
                <w:color w:val="000000"/>
                <w:sz w:val="18"/>
              </w:rPr>
            </w:r>
          </w:p>
        </w:tc>
        <w:tc>
          <w:tcPr>
            <w:tcW w:w="1530" w:type="dxa"/>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FF"/>
                <w:sz w:val="18"/>
              </w:rPr>
              <w:t>*</w:t>
            </w:r>
            <w:r>
              <w:rPr>
                <w:b/>
                <w:i/>
                <w:color w:val="0000FF"/>
                <w:sz w:val="18"/>
              </w:rPr>
              <w:t>3270-UR-110</w:t>
            </w:r>
          </w:p>
        </w:tc>
        <w:tc>
          <w:tcPr>
            <w:tcW w:w="6480" w:type="dxa"/>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lang w:eastAsia="en-US"/>
              </w:rPr>
              <w:t xml:space="preserve">Madison Gas and Electric Company gas and electricity rate increase request seeking a $4,466,000 (4.4%) increase for gas and a 12.9% return on equity.  MG&amp;E says the primary reason for the proposed gas increase is additional infrastructure improvements to keep up with "tremendous" growth and cited as examples plans to build a high pressure main in the City of Madison to improve downtown gas supply and reinforcement of the gas system in the Mount Horeb area. </w:t>
            </w:r>
            <w:r>
              <w:rPr>
                <w:b/>
                <w:color w:val="800000"/>
                <w:sz w:val="16"/>
              </w:rPr>
              <w:t>(Stanton)</w:t>
            </w:r>
          </w:p>
        </w:tc>
        <w:tc>
          <w:tcPr>
            <w:tcW w:w="5131" w:type="dxa"/>
            <w:tcBorders>
              <w:top w:val="single" w:sz="6" w:space="0" w:color="000000"/>
              <w:start w:val="single" w:sz="6" w:space="0" w:color="000000"/>
              <w:bottom w:val="single" w:sz="6" w:space="0" w:color="000000"/>
              <w:end w:val="single" w:sz="6" w:space="0" w:color="000000"/>
            </w:tcBorders>
          </w:tcPr>
          <w:p>
            <w:pPr>
              <w:pStyle w:val="Normal"/>
              <w:rPr/>
            </w:pPr>
            <w:r>
              <w:rPr>
                <w:color w:val="000000"/>
                <w:sz w:val="18"/>
              </w:rPr>
              <w:t>Filed April 17</w:t>
            </w:r>
            <w:r>
              <w:rPr>
                <w:color w:val="000000"/>
                <w:sz w:val="18"/>
                <w:vertAlign w:val="superscript"/>
              </w:rPr>
              <w:t>th</w:t>
            </w:r>
            <w:r>
              <w:rPr>
                <w:color w:val="000000"/>
                <w:sz w:val="18"/>
                <w:lang w:eastAsia="en-US"/>
              </w:rPr>
              <w:t>.   An order is expected by the end of the year.  Northern filed to intervene on July 6</w:t>
            </w:r>
            <w:r>
              <w:rPr>
                <w:color w:val="000000"/>
                <w:sz w:val="18"/>
                <w:vertAlign w:val="superscript"/>
                <w:lang w:eastAsia="en-US"/>
              </w:rPr>
              <w:t>th</w:t>
            </w:r>
            <w:r>
              <w:rPr>
                <w:color w:val="000000"/>
                <w:sz w:val="18"/>
                <w:lang w:eastAsia="en-US"/>
              </w:rPr>
              <w:t>.  A prehearing conference was held July 11</w:t>
            </w:r>
            <w:r>
              <w:rPr>
                <w:color w:val="000000"/>
                <w:sz w:val="18"/>
                <w:vertAlign w:val="superscript"/>
                <w:lang w:eastAsia="en-US"/>
              </w:rPr>
              <w:t>th</w:t>
            </w:r>
            <w:r>
              <w:rPr>
                <w:color w:val="000000"/>
                <w:sz w:val="18"/>
                <w:lang w:eastAsia="en-US"/>
              </w:rPr>
              <w:t xml:space="preserve"> and the following schedule was set:  MG&amp;E supplemental testimony due Aug. 1; Staff and intervenor direct testimony due Sep. 6</w:t>
            </w:r>
            <w:r>
              <w:rPr>
                <w:color w:val="000000"/>
                <w:sz w:val="18"/>
                <w:vertAlign w:val="superscript"/>
                <w:lang w:eastAsia="en-US"/>
              </w:rPr>
              <w:t>th</w:t>
            </w:r>
            <w:r>
              <w:rPr>
                <w:color w:val="000000"/>
                <w:sz w:val="18"/>
                <w:lang w:eastAsia="en-US"/>
              </w:rPr>
              <w:t>.  A hearing was held Sep. 20</w:t>
            </w:r>
            <w:r>
              <w:rPr>
                <w:color w:val="000000"/>
                <w:sz w:val="18"/>
                <w:vertAlign w:val="superscript"/>
                <w:lang w:eastAsia="en-US"/>
              </w:rPr>
              <w:t>th</w:t>
            </w:r>
            <w:r>
              <w:rPr>
                <w:color w:val="000000"/>
                <w:sz w:val="18"/>
                <w:lang w:eastAsia="en-US"/>
              </w:rPr>
              <w:t xml:space="preserve">.  </w:t>
            </w:r>
            <w:r>
              <w:rPr>
                <w:b/>
                <w:i/>
                <w:color w:val="0000FF"/>
                <w:sz w:val="18"/>
              </w:rPr>
              <w:t>The PSC on 11/28 approved a $7.6 million electric rate increase and $3.4 million natural gas rate increase. ROE was set at 12.9%.</w:t>
            </w:r>
          </w:p>
          <w:p>
            <w:pPr>
              <w:pStyle w:val="Normal"/>
              <w:rPr>
                <w:b/>
                <w:i/>
                <w:i/>
                <w:color w:val="000000"/>
                <w:sz w:val="18"/>
              </w:rPr>
            </w:pPr>
            <w:r>
              <w:rPr>
                <w:b/>
                <w:i/>
                <w:color w:val="000000"/>
                <w:sz w:val="18"/>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snapToGrid w:val="false"/>
              <w:jc w:val="end"/>
              <w:rPr>
                <w:b/>
                <w:color w:val="000000"/>
                <w:sz w:val="18"/>
              </w:rPr>
            </w:pPr>
            <w:r>
              <w:rPr>
                <w:b/>
                <w:color w:val="000000"/>
                <w:sz w:val="18"/>
              </w:rPr>
            </w:r>
          </w:p>
        </w:tc>
        <w:tc>
          <w:tcPr>
            <w:tcW w:w="1530" w:type="dxa"/>
            <w:tcBorders>
              <w:top w:val="single" w:sz="6" w:space="0" w:color="000000"/>
              <w:start w:val="single" w:sz="6" w:space="0" w:color="000000"/>
              <w:bottom w:val="single" w:sz="6" w:space="0" w:color="000000"/>
              <w:end w:val="single" w:sz="6" w:space="0" w:color="000000"/>
            </w:tcBorders>
          </w:tcPr>
          <w:p>
            <w:pPr>
              <w:pStyle w:val="Normal"/>
              <w:rPr>
                <w:sz w:val="18"/>
              </w:rPr>
            </w:pPr>
            <w:r>
              <w:rPr>
                <w:color w:val="000000"/>
                <w:sz w:val="18"/>
              </w:rPr>
              <w:t>6650-CG-194</w:t>
            </w:r>
          </w:p>
        </w:tc>
        <w:tc>
          <w:tcPr>
            <w:tcW w:w="6480" w:type="dxa"/>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 xml:space="preserve">Wisconsin Gas Company application for construction of a 35-mile connection from the proposed Guardian Pipeline near Ixonia to existing WGC distribution facilities in Brookfield and Menomonee Falls. </w:t>
            </w:r>
            <w:r>
              <w:rPr>
                <w:b/>
                <w:color w:val="800000"/>
                <w:sz w:val="16"/>
              </w:rPr>
              <w:t>(Stanton)</w:t>
            </w:r>
          </w:p>
        </w:tc>
        <w:tc>
          <w:tcPr>
            <w:tcW w:w="5131" w:type="dxa"/>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Filed Nov. 30.  On Feb. 16</w:t>
            </w:r>
            <w:r>
              <w:rPr>
                <w:color w:val="000000"/>
                <w:sz w:val="18"/>
                <w:vertAlign w:val="superscript"/>
              </w:rPr>
              <w:t>th</w:t>
            </w:r>
            <w:r>
              <w:rPr>
                <w:color w:val="000000"/>
                <w:sz w:val="18"/>
              </w:rPr>
              <w:t xml:space="preserve"> the ALJ granted limited intervention status to Northern and ANR giving the companies full -party rights for the purpose of the PSC hearing but not for the purpose of an appeal.  NNG testified on Apr. 4</w:t>
            </w:r>
            <w:r>
              <w:rPr>
                <w:color w:val="000000"/>
                <w:sz w:val="18"/>
                <w:vertAlign w:val="superscript"/>
              </w:rPr>
              <w:t>th</w:t>
            </w:r>
            <w:r>
              <w:rPr>
                <w:color w:val="000000"/>
                <w:sz w:val="18"/>
              </w:rPr>
              <w:t xml:space="preserve">.  </w:t>
            </w:r>
            <w:r>
              <w:rPr>
                <w:color w:val="000000"/>
                <w:sz w:val="18"/>
                <w:lang w:eastAsia="en-US"/>
              </w:rPr>
              <w:t>The hearings concluded Apr. 27</w:t>
            </w:r>
            <w:r>
              <w:rPr>
                <w:color w:val="000000"/>
                <w:sz w:val="18"/>
                <w:vertAlign w:val="superscript"/>
                <w:lang w:eastAsia="en-US"/>
              </w:rPr>
              <w:t>th</w:t>
            </w:r>
            <w:r>
              <w:rPr>
                <w:color w:val="000000"/>
                <w:sz w:val="18"/>
                <w:lang w:eastAsia="en-US"/>
              </w:rPr>
              <w:t>. Hearings on the environmental aspects of the lateral will scheduled for early 2001.  On Oct. 19</w:t>
            </w:r>
            <w:r>
              <w:rPr>
                <w:color w:val="000000"/>
                <w:sz w:val="18"/>
                <w:vertAlign w:val="superscript"/>
                <w:lang w:eastAsia="en-US"/>
              </w:rPr>
              <w:t>th</w:t>
            </w:r>
            <w:r>
              <w:rPr>
                <w:color w:val="000000"/>
                <w:sz w:val="18"/>
                <w:lang w:eastAsia="en-US"/>
              </w:rPr>
              <w:t xml:space="preserve"> the PSC decided unanimously in favor of Wisconsin Gas on 30 issues related to building the lateral.  The commissioners emphasized that these economic decisions were subject to their findings in the upcoming environmental phase of the process.</w:t>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jc w:val="end"/>
              <w:rPr>
                <w:b/>
                <w:sz w:val="18"/>
              </w:rPr>
            </w:pPr>
            <w:r>
              <w:rPr>
                <w:b/>
                <w:sz w:val="18"/>
              </w:rPr>
              <w:t>Legislative</w:t>
            </w:r>
          </w:p>
        </w:tc>
        <w:tc>
          <w:tcPr>
            <w:tcW w:w="1530" w:type="dxa"/>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2000 Legislature</w:t>
            </w:r>
          </w:p>
        </w:tc>
        <w:tc>
          <w:tcPr>
            <w:tcW w:w="6480" w:type="dxa"/>
            <w:tcBorders>
              <w:top w:val="single" w:sz="6" w:space="0" w:color="000000"/>
              <w:start w:val="single" w:sz="6" w:space="0" w:color="000000"/>
              <w:bottom w:val="single" w:sz="6" w:space="0" w:color="000000"/>
              <w:end w:val="single" w:sz="6" w:space="0" w:color="000000"/>
            </w:tcBorders>
          </w:tcPr>
          <w:p>
            <w:pPr>
              <w:pStyle w:val="Normal"/>
              <w:rPr/>
            </w:pPr>
            <w:r>
              <w:rPr>
                <w:color w:val="000000"/>
                <w:sz w:val="18"/>
              </w:rPr>
              <w:t xml:space="preserve">Republicans control the governor's office and the House (55R-44D).  Democrats command the Senate (17D-16R).  </w:t>
            </w:r>
            <w:r>
              <w:rPr>
                <w:b/>
                <w:color w:val="800000"/>
                <w:sz w:val="16"/>
              </w:rPr>
              <w:t>(Stanton)</w:t>
            </w:r>
          </w:p>
        </w:tc>
        <w:tc>
          <w:tcPr>
            <w:tcW w:w="5131" w:type="dxa"/>
            <w:tcBorders>
              <w:top w:val="single" w:sz="6" w:space="0" w:color="000000"/>
              <w:start w:val="single" w:sz="6" w:space="0" w:color="000000"/>
              <w:bottom w:val="single" w:sz="6" w:space="0" w:color="000000"/>
              <w:end w:val="single" w:sz="6" w:space="0" w:color="000000"/>
            </w:tcBorders>
          </w:tcPr>
          <w:p>
            <w:pPr>
              <w:pStyle w:val="Normal"/>
              <w:rPr/>
            </w:pPr>
            <w:r>
              <w:rPr>
                <w:color w:val="000000"/>
                <w:sz w:val="18"/>
              </w:rPr>
              <w:t>The 2000 session of the Wisconsin Legislature began Jan 25</w:t>
            </w:r>
            <w:r>
              <w:rPr>
                <w:color w:val="000000"/>
                <w:sz w:val="18"/>
                <w:vertAlign w:val="superscript"/>
              </w:rPr>
              <w:t>th</w:t>
            </w:r>
            <w:r>
              <w:rPr>
                <w:color w:val="000000"/>
                <w:sz w:val="18"/>
              </w:rPr>
              <w:t>. Thursday Mar. 30th was the final general business floor period of the 1999-2000 legislative session.  Bills were sent to the governor on June 1, thus ending the legislative session.</w:t>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snapToGrid w:val="false"/>
              <w:jc w:val="end"/>
              <w:rPr>
                <w:b/>
                <w:color w:val="000000"/>
                <w:sz w:val="18"/>
              </w:rPr>
            </w:pPr>
            <w:r>
              <w:rPr>
                <w:b/>
                <w:color w:val="000000"/>
                <w:sz w:val="18"/>
              </w:rPr>
            </w:r>
          </w:p>
        </w:tc>
        <w:tc>
          <w:tcPr>
            <w:tcW w:w="1530" w:type="dxa"/>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FF"/>
                <w:sz w:val="18"/>
              </w:rPr>
              <w:t>*</w:t>
            </w:r>
            <w:r>
              <w:rPr>
                <w:b/>
                <w:i/>
                <w:color w:val="0000FF"/>
                <w:sz w:val="18"/>
              </w:rPr>
              <w:t>2001 Legislature</w:t>
            </w:r>
          </w:p>
        </w:tc>
        <w:tc>
          <w:tcPr>
            <w:tcW w:w="6480" w:type="dxa"/>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Democrats held on to power in the Senate 18D-15R, Republicans maintain power in the House 56R-43D and the governor's office, not up for election, remains in Republican hands.</w:t>
            </w:r>
          </w:p>
        </w:tc>
        <w:tc>
          <w:tcPr>
            <w:tcW w:w="5131" w:type="dxa"/>
            <w:tcBorders>
              <w:top w:val="single" w:sz="6" w:space="0" w:color="000000"/>
              <w:start w:val="single" w:sz="6" w:space="0" w:color="000000"/>
              <w:bottom w:val="single" w:sz="6" w:space="0" w:color="000000"/>
              <w:end w:val="single" w:sz="6" w:space="0" w:color="000000"/>
            </w:tcBorders>
          </w:tcPr>
          <w:p>
            <w:pPr>
              <w:pStyle w:val="Normal"/>
              <w:rPr/>
            </w:pPr>
            <w:r>
              <w:rPr>
                <w:b/>
                <w:i/>
                <w:color w:val="0000FF"/>
                <w:sz w:val="18"/>
              </w:rPr>
              <w:t>The 2001 Wisconsin Legislature begins Wed., Jan. 3</w:t>
            </w:r>
            <w:r>
              <w:rPr>
                <w:b/>
                <w:i/>
                <w:color w:val="0000FF"/>
                <w:sz w:val="18"/>
                <w:vertAlign w:val="superscript"/>
              </w:rPr>
              <w:t>rd</w:t>
            </w:r>
            <w:r>
              <w:rPr>
                <w:b/>
                <w:i/>
                <w:color w:val="0000FF"/>
                <w:sz w:val="18"/>
              </w:rPr>
              <w:t>.</w:t>
            </w:r>
          </w:p>
        </w:tc>
      </w:tr>
    </w:tbl>
    <w:p>
      <w:pPr>
        <w:pStyle w:val="Normal"/>
        <w:rPr/>
      </w:pPr>
      <w:r>
        <w:rPr/>
      </w:r>
    </w:p>
    <w:sectPr>
      <w:headerReference w:type="default" r:id="rId2"/>
      <w:headerReference w:type="first" r:id="rId3"/>
      <w:type w:val="nextPage"/>
      <w:pgSz w:orient="landscape" w:w="15840" w:h="12240"/>
      <w:pgMar w:left="720" w:right="720" w:gutter="0" w:header="706" w:top="762" w:footer="0" w:bottom="576"/>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ook Antiqua">
    <w:charset w:val="00" w:characterSet="windows-1252"/>
    <w:family w:val="roman"/>
    <w:pitch w:val="variable"/>
  </w:font>
  <w:font w:name="Helv">
    <w:altName w:val="Arial"/>
    <w:charset w:val="00" w:characterSet="windows-1252"/>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end="360"/>
      <w:jc w:val="end"/>
      <w:rPr/>
    </w:pPr>
    <w:r>
      <w:rPr/>
      <w:t xml:space="preserve">12/1/2000 Govt. Affairs Report Page </w:t>
    </w: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end"/>
      <w:outlineLvl w:val="0"/>
    </w:pPr>
    <w:rPr>
      <w:b/>
      <w:sz w:val="18"/>
    </w:rPr>
  </w:style>
  <w:style w:type="paragraph" w:styleId="Heading2">
    <w:name w:val="heading 2"/>
    <w:basedOn w:val="Normal"/>
    <w:next w:val="Normal"/>
    <w:qFormat/>
    <w:pPr>
      <w:keepNext w:val="true"/>
      <w:numPr>
        <w:ilvl w:val="1"/>
        <w:numId w:val="1"/>
      </w:numPr>
      <w:outlineLvl w:val="1"/>
    </w:pPr>
    <w:rPr>
      <w:b/>
      <w:i/>
      <w:color w:val="0000FF"/>
      <w:sz w:val="18"/>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jc w:val="center"/>
    </w:pPr>
    <w:rPr>
      <w:b/>
    </w:rPr>
  </w:style>
  <w:style w:type="paragraph" w:styleId="BodyText">
    <w:name w:val="Body Text"/>
    <w:basedOn w:val="Normal"/>
    <w:pPr/>
    <w:rPr>
      <w:b/>
      <w:i/>
      <w:color w:val="0000FF"/>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lon.dot</Template>
  <TotalTime>128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2000-11-28T14:45:00Z</dcterms:created>
  <dc:creator>ET&amp;S Field Support</dc:creator>
  <dc:description/>
  <dc:language>en-CA</dc:language>
  <cp:lastModifiedBy>Lon Stanton</cp:lastModifiedBy>
  <cp:lastPrinted>2000-12-01T11:46:00Z</cp:lastPrinted>
  <dcterms:modified xsi:type="dcterms:W3CDTF">2000-12-01T15:22:00Z</dcterms:modified>
  <cp:revision>41</cp:revision>
  <dc:subject/>
  <dc:title>Northern Natural Gas Company</dc:title>
</cp:coreProperties>
</file>