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303" w:leader="none"/>
        </w:tabs>
        <w:rPr>
          <w:color w:val="0000FF"/>
        </w:rPr>
      </w:pPr>
      <w:r>
        <w:rPr/>
        <w:t>Enron Transportation and Storage Company</w:t>
      </w:r>
    </w:p>
    <w:p>
      <w:pPr>
        <w:pStyle w:val="Normal"/>
        <w:tabs>
          <w:tab w:val="clear" w:pos="720"/>
          <w:tab w:val="left" w:pos="4770" w:leader="none"/>
        </w:tabs>
        <w:jc w:val="center"/>
        <w:rPr/>
      </w:pPr>
      <w:r>
        <w:rPr>
          <w:b/>
          <w:color w:val="000000"/>
        </w:rPr>
        <w:t>Government</w:t>
      </w:r>
      <w:r>
        <w:rPr>
          <w:b/>
          <w:color w:val="0000FF"/>
        </w:rPr>
        <w:t xml:space="preserve"> </w:t>
      </w:r>
      <w:r>
        <w:rPr>
          <w:b/>
          <w:color w:val="000000"/>
        </w:rPr>
        <w:t>Affairs</w:t>
      </w:r>
      <w:r>
        <w:rPr>
          <w:b/>
        </w:rPr>
        <w:t xml:space="preserve"> Report</w:t>
      </w:r>
    </w:p>
    <w:p>
      <w:pPr>
        <w:pStyle w:val="Normal"/>
        <w:jc w:val="center"/>
        <w:rPr/>
      </w:pPr>
      <w:r>
        <w:rPr/>
        <w:t xml:space="preserve">11/15/2000 </w:t>
      </w:r>
    </w:p>
    <w:tbl>
      <w:tblPr>
        <w:tblW w:w="14582" w:type="dxa"/>
        <w:jc w:val="start"/>
        <w:tblInd w:w="-72" w:type="dxa"/>
        <w:tblLayout w:type="fixed"/>
        <w:tblCellMar>
          <w:top w:w="0" w:type="dxa"/>
          <w:start w:w="108" w:type="dxa"/>
          <w:bottom w:w="0" w:type="dxa"/>
          <w:end w:w="108" w:type="dxa"/>
        </w:tblCellMar>
      </w:tblPr>
      <w:tblGrid>
        <w:gridCol w:w="1440"/>
        <w:gridCol w:w="1073"/>
        <w:gridCol w:w="457"/>
        <w:gridCol w:w="6480"/>
        <w:gridCol w:w="5130"/>
        <w:gridCol w:w="2"/>
      </w:tblGrid>
      <w:tr>
        <w:trPr/>
        <w:tc>
          <w:tcPr>
            <w:tcW w:w="2513" w:type="dxa"/>
            <w:gridSpan w:val="2"/>
            <w:tcBorders/>
          </w:tcPr>
          <w:p>
            <w:pPr>
              <w:pStyle w:val="Normal"/>
              <w:rPr>
                <w:b/>
              </w:rPr>
            </w:pPr>
            <w:r>
              <w:rPr>
                <w:b/>
                <w:sz w:val="16"/>
              </w:rPr>
              <w:t>KEY</w:t>
            </w:r>
          </w:p>
          <w:p>
            <w:pPr>
              <w:pStyle w:val="Normal"/>
              <w:rPr>
                <w:color w:val="0000FF"/>
                <w:sz w:val="18"/>
              </w:rPr>
            </w:pPr>
            <w:r>
              <w:rPr>
                <w:color w:val="0000FF"/>
                <w:sz w:val="16"/>
              </w:rPr>
              <w:t>*</w:t>
            </w:r>
            <w:r>
              <w:rPr>
                <w:sz w:val="16"/>
              </w:rPr>
              <w:t xml:space="preserve">  </w:t>
            </w:r>
            <w:r>
              <w:rPr>
                <w:color w:val="0000FF"/>
                <w:sz w:val="16"/>
              </w:rPr>
              <w:t>= Updated item</w:t>
            </w:r>
          </w:p>
          <w:p>
            <w:pPr>
              <w:pStyle w:val="Normal"/>
              <w:rPr/>
            </w:pPr>
            <w:r>
              <w:rPr>
                <w:color w:val="0000FF"/>
                <w:sz w:val="16"/>
              </w:rPr>
              <w:t>**  =</w:t>
            </w:r>
            <w:r>
              <w:rPr>
                <w:color w:val="0000FF"/>
                <w:sz w:val="18"/>
              </w:rPr>
              <w:t xml:space="preserve"> </w:t>
            </w:r>
            <w:r>
              <w:rPr>
                <w:color w:val="0000FF"/>
                <w:sz w:val="16"/>
              </w:rPr>
              <w:t>New item</w:t>
            </w:r>
          </w:p>
          <w:p>
            <w:pPr>
              <w:pStyle w:val="Normal"/>
              <w:rPr>
                <w:b/>
                <w:sz w:val="16"/>
              </w:rPr>
            </w:pPr>
            <w:r>
              <w:rPr>
                <w:b/>
                <w:i/>
                <w:color w:val="0000FF"/>
                <w:sz w:val="18"/>
              </w:rPr>
              <w:t>Bold Italics</w:t>
            </w:r>
            <w:r>
              <w:rPr>
                <w:b/>
                <w:i/>
                <w:color w:val="0000FF"/>
                <w:sz w:val="16"/>
              </w:rPr>
              <w:t xml:space="preserve"> = new information</w:t>
            </w:r>
          </w:p>
        </w:tc>
        <w:tc>
          <w:tcPr>
            <w:tcW w:w="12067" w:type="dxa"/>
            <w:gridSpan w:val="3"/>
            <w:tcBorders/>
          </w:tcPr>
          <w:p>
            <w:pPr>
              <w:pStyle w:val="Normal"/>
              <w:rPr>
                <w:sz w:val="16"/>
              </w:rPr>
            </w:pPr>
            <w:r>
              <w:rPr>
                <w:b/>
                <w:color w:val="000000"/>
                <w:sz w:val="16"/>
              </w:rPr>
              <w:t>Primary Contacts</w:t>
            </w:r>
            <w:r>
              <w:rPr>
                <w:b/>
                <w:sz w:val="16"/>
              </w:rPr>
              <w:t>:</w:t>
            </w:r>
          </w:p>
          <w:p>
            <w:pPr>
              <w:pStyle w:val="Normal"/>
              <w:rPr/>
            </w:pPr>
            <w:r>
              <w:rPr>
                <w:b/>
                <w:color w:val="800000"/>
                <w:sz w:val="16"/>
              </w:rPr>
              <w:t>Stanton</w:t>
            </w:r>
            <w:r>
              <w:rPr>
                <w:color w:val="800000"/>
                <w:sz w:val="16"/>
              </w:rPr>
              <w:t xml:space="preserve"> </w:t>
            </w:r>
            <w:r>
              <w:rPr>
                <w:sz w:val="16"/>
              </w:rPr>
              <w:t>=  Lon Stanton @  952-887-1777</w:t>
            </w:r>
          </w:p>
          <w:p>
            <w:pPr>
              <w:pStyle w:val="Normal"/>
              <w:rPr>
                <w:b/>
                <w:sz w:val="16"/>
              </w:rPr>
            </w:pPr>
            <w:r>
              <w:rPr>
                <w:b/>
                <w:color w:val="800000"/>
                <w:sz w:val="16"/>
              </w:rPr>
              <w:t xml:space="preserve">Wilson  </w:t>
            </w:r>
            <w:r>
              <w:rPr>
                <w:color w:val="000000"/>
                <w:sz w:val="16"/>
              </w:rPr>
              <w:t>= Rob Wilson @ 402-398-7103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STATE</w:t>
            </w:r>
          </w:p>
          <w:p>
            <w:pPr>
              <w:pStyle w:val="Normal"/>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 xml:space="preserve">REFERENCE </w:t>
            </w:r>
          </w:p>
        </w:tc>
        <w:tc>
          <w:tcPr>
            <w:tcW w:w="6480"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ISSUE AND CONTACT</w:t>
            </w:r>
          </w:p>
          <w:p>
            <w:pPr>
              <w:pStyle w:val="Normal"/>
              <w:jc w:val="center"/>
              <w:rPr>
                <w:b/>
                <w:sz w:val="18"/>
              </w:rPr>
            </w:pPr>
            <w:r>
              <w:rPr>
                <w:b/>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jc w:val="center"/>
              <w:rPr>
                <w:b/>
                <w:sz w:val="18"/>
              </w:rPr>
            </w:pPr>
            <w:r>
              <w:rPr>
                <w:b/>
                <w:sz w:val="18"/>
              </w:rPr>
              <w:t>STATUS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ARIZONA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House (40R-20D) and the Senate (16R-14D).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Arizona Legislature adjourned April 18</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Book Antiqua" w:hAnsi="Book Antiqua" w:cs="Book Antiqua"/>
                <w:b/>
                <w:color w:val="000000"/>
                <w:sz w:val="18"/>
              </w:rPr>
            </w:pPr>
            <w:r>
              <w:rPr>
                <w:rFonts w:cs="Book Antiqua" w:ascii="Book Antiqua" w:hAnsi="Book Antiqua"/>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election produced a 15R-15D tie in the Senate. Republicans maintained control of the House 36R-24D.  The governor's office was not up for election and remains Republican.</w:t>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CALIFORNIA</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R98-01-011</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CPUC rulemaking to assess the current market and regulatory framework for California’s natural gas industry and to adopt reforms that emphasize market-oriented policies that will benefit all California natural gas consumers. </w:t>
            </w:r>
            <w:r>
              <w:rPr>
                <w:b/>
                <w:color w:val="800000"/>
                <w:sz w:val="16"/>
              </w:rPr>
              <w:t xml:space="preserve">(Stanton or Wilson)                                           </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Administrative Law Judge (ALJ) is drafting a proposed decision for the CPUC.</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Democrats control the governor's office, the House (47D-32R-1I) and the Senate (25D-15R).  </w:t>
            </w:r>
            <w:r>
              <w:rPr>
                <w:b/>
                <w:color w:val="800000"/>
                <w:sz w:val="16"/>
              </w:rPr>
              <w:t>(Stanton or 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California Legislature began January 3.</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Democrats retained control of the House 80D-50R.  The governor's office was not up for election and remains Democratic.</w:t>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ILLINOIS</w:t>
            </w:r>
            <w:r>
              <w:rPr>
                <w:b/>
                <w:color w:val="800000"/>
                <w:sz w:val="16"/>
              </w:rPr>
              <w:t xml:space="preserve"> </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p>
            <w:pPr>
              <w:pStyle w:val="Normal"/>
              <w:jc w:val="end"/>
              <w:rPr>
                <w:b/>
                <w:sz w:val="18"/>
              </w:rPr>
            </w:pPr>
            <w:r>
              <w:rPr>
                <w:b/>
                <w:sz w:val="18"/>
              </w:rPr>
            </w:r>
          </w:p>
          <w:p>
            <w:pPr>
              <w:pStyle w:val="Normal"/>
              <w:jc w:val="end"/>
              <w:rPr>
                <w:b/>
                <w:sz w:val="18"/>
              </w:rPr>
            </w:pPr>
            <w:r>
              <w:rPr>
                <w:b/>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Unbundling</w:t>
            </w:r>
          </w:p>
          <w:p>
            <w:pPr>
              <w:pStyle w:val="Normal"/>
              <w:rPr>
                <w:color w:val="000000"/>
                <w:sz w:val="18"/>
              </w:rPr>
            </w:pPr>
            <w:r>
              <w:rPr>
                <w:color w:val="000000"/>
                <w:sz w:val="18"/>
              </w:rPr>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Illinois Commerce Commission (ICC) is considering expanding transportation options to smaller customers. In early 1997 the ICC’s Gas Policy Committee heard the views of staff, LDCs, pipelines, marketers and others.  ET&amp;S filed comments similar to those filed in other states addressing present and future adequate pipeline capacity issues.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ICC workshops were held in August 1997 and in Oct. 1997 the Gas Policy Committee reported to the General Assembly possible legislative changes to facilitate unbundling.  No legislative action was taken.  Illinois LDCs outlined their plans and schedules for opening up their systems to supplier choice for all customers at a Gas Policy Committee meeting in Sept. 1998 in Springfield. Nicor gas said it is preparing for choice for all customers at the end of its three-year pilot, which began in May 1998. On July 13</w:t>
            </w:r>
            <w:r>
              <w:rPr>
                <w:color w:val="000000"/>
                <w:sz w:val="18"/>
                <w:vertAlign w:val="superscript"/>
              </w:rPr>
              <w:t>th</w:t>
            </w:r>
            <w:r>
              <w:rPr>
                <w:color w:val="000000"/>
                <w:sz w:val="18"/>
              </w:rPr>
              <w:t>, 2000 t</w:t>
            </w:r>
            <w:r>
              <w:rPr>
                <w:color w:val="000000"/>
                <w:sz w:val="18"/>
                <w:lang w:eastAsia="en-US"/>
              </w:rPr>
              <w:t>he ICC announced it has established a Marketing Monitoring Unit (MMU) to study the development of competition in the telephone, gas, and electric industries and to identify any impediments to the full emergence of competition in these industries within Illinois.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2000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and the Senate (32R-27D).  Democrats control the House (62D-56R).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Illinois Legislature’s 2000 session convened on Jan. 12</w:t>
            </w:r>
            <w:r>
              <w:rPr>
                <w:color w:val="000000"/>
                <w:sz w:val="18"/>
                <w:vertAlign w:val="superscript"/>
              </w:rPr>
              <w:t>th</w:t>
            </w:r>
            <w:r>
              <w:rPr>
                <w:color w:val="000000"/>
                <w:sz w:val="18"/>
              </w:rPr>
              <w:t>.  The Legislature adjourned April 15</w:t>
            </w:r>
            <w:r>
              <w:rPr>
                <w:color w:val="000000"/>
                <w:sz w:val="18"/>
                <w:vertAlign w:val="superscript"/>
              </w:rPr>
              <w:t>th</w:t>
            </w:r>
            <w:r>
              <w:rPr>
                <w:color w:val="000000"/>
                <w:sz w:val="18"/>
              </w:rPr>
              <w:t>, but will return for a veto session in November.</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2001 Legislature</w:t>
            </w:r>
          </w:p>
        </w:tc>
        <w:tc>
          <w:tcPr>
            <w:tcW w:w="6480"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Republicans retained control of the House 32R-27D as well as the governor's office, which was not up for election.  Democrats maintained power in the Senate 62D-56R.</w:t>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r>
    </w:tbl>
    <w:p>
      <w:pPr>
        <w:pStyle w:val="Normal"/>
        <w:rPr/>
      </w:pPr>
      <w:r>
        <w:br w:type="page"/>
      </w:r>
      <w:r>
        <w:rPr/>
      </w:r>
    </w:p>
    <w:tbl>
      <w:tblPr>
        <w:tblW w:w="14582" w:type="dxa"/>
        <w:jc w:val="start"/>
        <w:tblInd w:w="-72" w:type="dxa"/>
        <w:tblLayout w:type="fixed"/>
        <w:tblCellMar>
          <w:top w:w="0" w:type="dxa"/>
          <w:start w:w="108" w:type="dxa"/>
          <w:bottom w:w="0" w:type="dxa"/>
          <w:end w:w="108" w:type="dxa"/>
        </w:tblCellMar>
      </w:tblPr>
      <w:tblGrid>
        <w:gridCol w:w="1440"/>
        <w:gridCol w:w="1530"/>
        <w:gridCol w:w="6342"/>
        <w:gridCol w:w="138"/>
        <w:gridCol w:w="5130"/>
        <w:gridCol w:w="1"/>
        <w:gridCol w:w="1"/>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IOWA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INU-00-1</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rules review pursuant to Executive Order Eight, which requires state agencies to comprehensively review their rules. ET&amp;S and Northern Plains submitted a letter of intent to participate in the following reviews: </w:t>
            </w:r>
            <w:r>
              <w:rPr>
                <w:color w:val="000000"/>
                <w:sz w:val="18"/>
                <w:lang w:eastAsia="en-US"/>
              </w:rPr>
              <w:t>Chapter 9-Protection of Underground Improvements/Restoration After Pipeline Construction (NNG &amp; NPNG are involved in a current rulemaking on this), Chapter 12-Interstate Natural Gas Pipelines &amp; Underground Storage, New Chapter 14-Pipeline Permit Proceeding Rules (NNG participated in some workshops on this in 1995 but no rules were ever proposed or adopted), Chapter 19-Service supplied by Gas Utilities, Chapter 15-Cogeneration and Small Power Production, Chapter 24-Location and Construction of Electric Generating Facilities.</w:t>
            </w:r>
            <w:r>
              <w:rPr>
                <w:b/>
                <w:color w:val="800000"/>
                <w:sz w:val="16"/>
              </w:rPr>
              <w:t xml:space="preserve"> (Stanton)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IUB staff-proposed changes to Chapters 9 and 12 were issued and interested parties were invited to make their own suggestions for changes and comment on the staff's list of proposed changes. These comments were due by August 15, 2000.  Informal staff proposals to parts of Chapters 19, 15 and 24 were issued the first week of Oct. NNG is drafting comments related to capacity reserve margins for possible submission by the Nov. 15</w:t>
            </w:r>
            <w:r>
              <w:rPr>
                <w:color w:val="000000"/>
                <w:sz w:val="18"/>
                <w:vertAlign w:val="superscript"/>
              </w:rPr>
              <w:t>th</w:t>
            </w:r>
            <w:r>
              <w:rPr>
                <w:color w:val="000000"/>
                <w:sz w:val="18"/>
              </w:rPr>
              <w:t xml:space="preserve"> deadline.  There also will be additional opportunities at later dates to comment during the formal stage of the rulemaking.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NOI-98-3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Established workshops on small volume natural gas (SVG) transportation filings, which resulted from rules adopted in October 1997 (RMU-96-12).  These rules allowed LDCs to file individual plans in lieu of tariffs required under the rules (Iowa Administrative Code 199-19.13(4)"e" (1999).  Issues included the following: customer education, standards of conduct, marketer certification, market roles, consumer protection, price setting, public benefits, implementation, and transition costs. Workshops were held on end-state, marketer requirements, operational, and transition issues, which included pipeline capacity. MidAm, Utilicorp and Alliant agreed with Northern that LDCs are in the best position to monitor pipeline capacity requirements.  MidAm did not, however, feel that LDCs should hold backup capacity.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On Mar. 3, 2000 the IUB issued an order that found that the LDCs' SVG plans, which were the basis of this NOI, were not a satisfactory means of opening natural gas markets for small volume users.  The Board closed all of those dockets.  On August 8</w:t>
            </w:r>
            <w:r>
              <w:rPr>
                <w:color w:val="000000"/>
                <w:sz w:val="18"/>
                <w:vertAlign w:val="superscript"/>
              </w:rPr>
              <w:t>th</w:t>
            </w:r>
            <w:r>
              <w:rPr>
                <w:color w:val="000000"/>
                <w:sz w:val="18"/>
              </w:rPr>
              <w:t xml:space="preserve"> the Board ordered Iowa LDCs to file draft tariffs to implement natural gas transportation to small volume end-users.  The Board suggested tariffs for an existing school district transportation pilot program as a model.  The draft tariffs were filed in early October and comments were due Oct. 30.  MidAm filed comments suggesting that the IUB abandon this effort since electricity restructuring appears to be a dead issue in Iowa for some time to come. The company expressed concern that Iowa LDCs would incur considerable expense preparing for a gas market that is not likely to develop.  MidAm said marketers would be less likely to come to an open Iowa natural gas market if they can go to other jurisdictions that offer both open natural gas and electric markets.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RMU-99-10</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IUB rule making to implement the pipeline construction land restoration law passed by the 1999 Iowa Legislature (SF 160), which became effective July 1, 1999.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 workshop was held Nov. 17</w:t>
            </w:r>
            <w:r>
              <w:rPr>
                <w:color w:val="000000"/>
                <w:sz w:val="18"/>
                <w:vertAlign w:val="superscript"/>
              </w:rPr>
              <w:t>th</w:t>
            </w:r>
            <w:r>
              <w:rPr>
                <w:color w:val="000000"/>
                <w:sz w:val="18"/>
              </w:rPr>
              <w:t xml:space="preserve"> and o</w:t>
            </w:r>
            <w:r>
              <w:rPr>
                <w:color w:val="000000"/>
                <w:sz w:val="18"/>
                <w:lang w:eastAsia="en-US"/>
              </w:rPr>
              <w:t>n May 19</w:t>
            </w:r>
            <w:r>
              <w:rPr>
                <w:color w:val="000000"/>
                <w:sz w:val="18"/>
                <w:vertAlign w:val="superscript"/>
                <w:lang w:eastAsia="en-US"/>
              </w:rPr>
              <w:t>th</w:t>
            </w:r>
            <w:r>
              <w:rPr>
                <w:color w:val="000000"/>
                <w:sz w:val="18"/>
                <w:lang w:eastAsia="en-US"/>
              </w:rPr>
              <w:t xml:space="preserve"> the Board issued proposed modifications to its originally proposed rules.  Rejected were suggestions for generic plans and exempting blanket certificate projects. The Board declined to modify a 120-day pre-construction filing requirement, though it would accept draft or best-available information at the outset and would allow a FERC Environmental Assessment (EA) as an alternative to a land restoration plan. The modifications would exempt emergency repairs, and the plan for "less significant construction" not requiring a certificate would be the rules themselves. Northern and Northern Border filed comments on the modified rules.  A hearing was held July 19</w:t>
            </w:r>
            <w:r>
              <w:rPr>
                <w:color w:val="000000"/>
                <w:sz w:val="18"/>
                <w:vertAlign w:val="superscript"/>
                <w:lang w:eastAsia="en-US"/>
              </w:rPr>
              <w:t>th</w:t>
            </w:r>
            <w:r>
              <w:rPr>
                <w:color w:val="000000"/>
                <w:sz w:val="18"/>
                <w:lang w:eastAsia="en-US"/>
              </w:rPr>
              <w:t>.  August 18</w:t>
            </w:r>
            <w:r>
              <w:rPr>
                <w:color w:val="000000"/>
                <w:sz w:val="18"/>
                <w:vertAlign w:val="superscript"/>
                <w:lang w:eastAsia="en-US"/>
              </w:rPr>
              <w:t>th</w:t>
            </w:r>
            <w:r>
              <w:rPr>
                <w:color w:val="000000"/>
                <w:sz w:val="18"/>
                <w:lang w:eastAsia="en-US"/>
              </w:rPr>
              <w:t xml:space="preserve"> was set as the deadline for the filing of additional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Heading2"/>
              <w:ind w:hanging="0" w:start="0"/>
              <w:rPr>
                <w:b w:val="false"/>
                <w:i w:val="false"/>
                <w:i w:val="false"/>
                <w:color w:val="000000"/>
              </w:rPr>
            </w:pPr>
            <w:r>
              <w:rPr>
                <w:b w:val="false"/>
                <w:i w:val="false"/>
                <w:color w:val="000000"/>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Democrats control the governor’s office.  Republicans command the Senate (30R-20D) and House (56R-44D).</w:t>
            </w:r>
            <w:r>
              <w:rPr>
                <w:i/>
                <w:color w:val="0000FF"/>
                <w:sz w:val="18"/>
              </w:rPr>
              <w:t xml:space="preserve"> </w:t>
            </w:r>
            <w:r>
              <w:rPr>
                <w:b/>
                <w:color w:val="800000"/>
                <w:sz w:val="16"/>
              </w:rPr>
              <w:t>(Stanton)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Iowa’s 2000 Legislature adjourned Wednesday, Apr. 26</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Republicans rule the House 56R-44D as well as the Senate 30R-20D.  Democrats hold the governor's office, which was not up for election.</w:t>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KANSAS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Senate (27-13) and the House (77R-48D).  </w:t>
            </w:r>
            <w:r>
              <w:rPr>
                <w:b/>
                <w:color w:val="800000"/>
                <w:sz w:val="16"/>
              </w:rPr>
              <w:t>(Wilson)</w:t>
            </w:r>
          </w:p>
        </w:tc>
        <w:tc>
          <w:tcPr>
            <w:tcW w:w="513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Kansas Legislature adjourned Wed. May 24</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Republicans retain control of the Senate 30R-10D and the House 79R-46D.  There was no election for the governor's office and it remains Republican.</w:t>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Kansas Ad Valorem Tax Refunds</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Bills were introduced in both houses of the Kansas Legislature in the 2000 session that would have imposed a $0.01 to $0.02 per mmcf tax on natural gas transported from, within and through Kansas by pipeline. The local distribution, production and gathering of natural gas would have been exempted.  Proceeds from the tax would have been used to pay off bonds that would halve been floated to reimburse Kansas natural gas producers for any refunds they have to pay under the Kansas ad valorem tax refund proceeding that is underway at the FERC.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None of the bills were passed, but legislative leadership said similar bills would be introduced in the 2001 session if some sort of compromise settlement is not reached that protects smaller producers and royalty owners.  An interim legislative committee on Sep. 27</w:t>
            </w:r>
            <w:r>
              <w:rPr>
                <w:color w:val="000000"/>
                <w:sz w:val="18"/>
                <w:vertAlign w:val="superscript"/>
              </w:rPr>
              <w:t>th</w:t>
            </w:r>
            <w:r>
              <w:rPr>
                <w:color w:val="000000"/>
                <w:sz w:val="18"/>
              </w:rPr>
              <w:t xml:space="preserve"> heard updates on pipeline settlement discussions and NNG met with legislative leadership to further discuss the issue.  At the fifth settlement conference, held Oct. 4-5 in Omaha, </w:t>
            </w:r>
            <w:r>
              <w:rPr>
                <w:color w:val="000000"/>
                <w:sz w:val="18"/>
                <w:lang w:eastAsia="en-US"/>
              </w:rPr>
              <w:t xml:space="preserve">a settlement in principal was reached on NNG's system. All issues were resolved and all participants agreed with the provisions of the settlement.  The settlement will likely be filed with the FERC in mid November.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00-GIMG-425-GIG</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 Feb. 1999 the KCC opened Docket No. 99-GIMG-538 to investigate whether the benefits of the restructured natural gas market could be extended to all of the state’s retail customers.  Based on the comments received, the commission issued an order directing that a new generic docket be opened to consider an index pricing system for natural gas.  The order directed Staff to propose a performance based ratemaking mechanism. This docket was opened for this purpose and Docket 99-GIMG-538 was closed.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A July 3 staff report recommends the Commission implement a gas purchase PBR mechanism that sets index-based benchmark prices that are term and pipeline specific. For instance, the benchmark price applied to daily contracts for gas delivered to Panhandle would be identical to the PEPL (Oklahoma) index as published in Gas Daily. That same benchmark would apply to any Kansas jurisdictional LDC having purchased contracts of that type. Staff also recommends that only those contracts with daily and monthly terms be subject to a benchmark standard. Mid-term and long-term contracts would NOT be subject to the benchmarks.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KDHE Rule Review</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Kansas Department of Health and Environment (KDHE) is beginning a review of all of the agency's rules and regulations, and is seeking input from the public for this process. The review is required by an executive order from Governor Graves. ET&amp;S is monitoring a proposed change within the Permitting Section of the KDHE, requiring a construction permit on like-for-like engine exchanges. </w:t>
            </w:r>
            <w:r>
              <w:rPr>
                <w:b/>
                <w:color w:val="800000"/>
                <w:sz w:val="16"/>
              </w:rPr>
              <w:t>(Wilson)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The Air Advisory Board held a meeting on the topic May 18</w:t>
            </w:r>
            <w:r>
              <w:rPr>
                <w:color w:val="000000"/>
                <w:sz w:val="18"/>
                <w:vertAlign w:val="superscript"/>
                <w:lang w:eastAsia="en-US"/>
              </w:rPr>
              <w:t>th</w:t>
            </w:r>
            <w:r>
              <w:rPr>
                <w:color w:val="000000"/>
                <w:sz w:val="18"/>
                <w:lang w:eastAsia="en-US"/>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Underground Utility Damage Prevention Task Force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This group was assembled at the request of the Kansas House of Representatives Resolution 6011. The resolution directs the KCC to conduct a review and study of the one call law and submit a report and recommendations to the Legislature and Governor. </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ET&amp;S will be represented at the meetings of the Task Force and provide comments.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MICHIGAN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the Senate (23R-15D), and the House (58R-52D).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Michigan Legislature began Jan. 12</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lang w:eastAsia="en-US"/>
              </w:rPr>
            </w:pPr>
            <w:r>
              <w:rPr>
                <w:b/>
                <w:i/>
                <w:color w:val="0000FF"/>
                <w:sz w:val="18"/>
                <w:lang w:eastAsia="en-US"/>
              </w:rPr>
              <w:t>Republicans remain in control of both chambers ( House 59R-51D, and Senate 23R-15D) as well as the governor's office, which was not up for election.</w:t>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lang w:eastAsia="en-US"/>
              </w:rPr>
            </w:pPr>
            <w:r>
              <w:rPr>
                <w:b/>
                <w:i/>
                <w:color w:val="0000FF"/>
                <w:sz w:val="18"/>
                <w:lang w:eastAsia="en-US"/>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Natural gas unbundling.</w:t>
            </w:r>
          </w:p>
          <w:p>
            <w:pPr>
              <w:pStyle w:val="Normal"/>
              <w:rPr>
                <w:color w:val="000000"/>
                <w:sz w:val="18"/>
              </w:rPr>
            </w:pPr>
            <w:r>
              <w:rPr>
                <w:color w:val="000000"/>
                <w:sz w:val="18"/>
              </w:rPr>
            </w:r>
          </w:p>
          <w:p>
            <w:pPr>
              <w:pStyle w:val="BodyText"/>
              <w:rPr>
                <w:b w:val="false"/>
                <w:i w:val="false"/>
                <w:i w:val="false"/>
                <w:color w:val="000000"/>
              </w:rPr>
            </w:pPr>
            <w:r>
              <w:rPr>
                <w:b w:val="false"/>
                <w:i w:val="false"/>
                <w:color w:val="000000"/>
              </w:rPr>
              <w:t>House Bills 5201 through 5207</w:t>
            </w:r>
          </w:p>
          <w:p>
            <w:pPr>
              <w:pStyle w:val="Normal"/>
              <w:rPr>
                <w:b/>
                <w:i/>
                <w:i/>
                <w:color w:val="000000"/>
                <w:sz w:val="18"/>
              </w:rPr>
            </w:pPr>
            <w:r>
              <w:rPr>
                <w:b/>
                <w:i/>
                <w:color w:val="000000"/>
                <w:sz w:val="18"/>
              </w:rPr>
            </w:r>
          </w:p>
          <w:p>
            <w:pPr>
              <w:pStyle w:val="Normal"/>
              <w:rPr>
                <w:color w:val="000000"/>
                <w:sz w:val="18"/>
              </w:rPr>
            </w:pPr>
            <w:r>
              <w:rPr>
                <w:color w:val="000000"/>
                <w:sz w:val="18"/>
              </w:rPr>
              <w:t>Senate Bills 916 through 922</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800000"/>
                <w:sz w:val="18"/>
              </w:rPr>
            </w:pPr>
            <w:r>
              <w:rPr>
                <w:color w:val="000000"/>
                <w:sz w:val="18"/>
                <w:lang w:eastAsia="en-US"/>
              </w:rPr>
              <w:t>A package of bills has been introduced in the Michigan Legislature to formalize and revise the natural gas customer choice programs that have been implemented under the authority of the Michigan Public Service Commission. HB 5201 &amp; SB 916</w:t>
            </w:r>
            <w:r>
              <w:rPr>
                <w:b/>
                <w:i/>
                <w:color w:val="000000"/>
                <w:sz w:val="18"/>
                <w:lang w:eastAsia="en-US"/>
              </w:rPr>
              <w:t>-</w:t>
            </w:r>
            <w:r>
              <w:rPr>
                <w:color w:val="000000"/>
                <w:sz w:val="18"/>
                <w:lang w:eastAsia="en-US"/>
              </w:rPr>
              <w:t xml:space="preserve">  Require LDCs to file at least 6 months prior to the expiration of an existing choice plan a new plan that complies with the new law.  If the LDC does not have an existing plan then it must file one by 10/1/03.    The new plans would call for a 3-year phase in for all of an LDC's customers to customer choice based on the size of the utility.  LDCs with more than 300,000 customers would have to have all customers on a choice program by 4/1/2004.  Those with less than 300,000 would have to have all customers converted by 4/1/05.  LDCs with less than 200,000 are allowed a different percentage phase-in schedule but still must have all converted by 4/1/05.  HB 5202 &amp; SB 917- Require LDCs to establish a market-based "Safe Haven Gas Commodity Service" for customers who do not choose an alternate supplier.  This service is NYMEX based and allows the LDC to add a service charge of 12% to 16%.  Other bills include: HB 5203 &amp; SB 918 - marketer licensing; HB 5204 &amp; SB 919 - prohibit slamming; HB 5205 &amp; SB 920 - Code of conduct; HB 5206 &amp; SB 921- prohibit cramming; HB 5207 &amp; SB 922 - Establish penalties.</w:t>
            </w:r>
            <w:r>
              <w:rPr>
                <w:rFonts w:cs="Helv;Arial" w:ascii="Helv;Arial" w:hAnsi="Helv;Arial"/>
                <w:i/>
                <w:color w:val="000000"/>
                <w:sz w:val="18"/>
                <w:lang w:eastAsia="en-US"/>
              </w:rPr>
              <w:t xml:space="preserve"> </w:t>
            </w:r>
            <w:r>
              <w:rPr>
                <w:rFonts w:cs="Helv;Arial" w:ascii="Helv;Arial" w:hAnsi="Helv;Arial"/>
                <w:color w:val="000000"/>
                <w:sz w:val="18"/>
                <w:lang w:eastAsia="en-US"/>
              </w:rPr>
              <w:t xml:space="preserv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sz w:val="18"/>
              </w:rPr>
              <w:t xml:space="preserve"> </w:t>
            </w:r>
            <w:r>
              <w:rPr>
                <w:color w:val="000000"/>
                <w:sz w:val="18"/>
              </w:rPr>
              <w:t>The House bills were introduced Dec. 9</w:t>
            </w:r>
            <w:r>
              <w:rPr>
                <w:color w:val="000000"/>
                <w:sz w:val="18"/>
                <w:vertAlign w:val="superscript"/>
              </w:rPr>
              <w:t>th</w:t>
            </w:r>
            <w:r>
              <w:rPr>
                <w:color w:val="000000"/>
                <w:sz w:val="18"/>
              </w:rPr>
              <w:t xml:space="preserve"> and referred to the House Energy and Technology Committee.  The Senate bills were introduced Jan. 12</w:t>
            </w:r>
            <w:r>
              <w:rPr>
                <w:color w:val="000000"/>
                <w:sz w:val="18"/>
                <w:vertAlign w:val="superscript"/>
              </w:rPr>
              <w:t>th</w:t>
            </w:r>
            <w:r>
              <w:rPr>
                <w:color w:val="000000"/>
                <w:sz w:val="18"/>
              </w:rPr>
              <w:t xml:space="preserve"> and referred to the Senate Technology and Energy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FF"/>
                <w:sz w:val="18"/>
              </w:rPr>
            </w:pPr>
            <w:r>
              <w:rPr>
                <w:color w:val="000000"/>
                <w:sz w:val="18"/>
              </w:rPr>
              <w:t>U-12550</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sz w:val="18"/>
                <w:lang w:eastAsia="en-US"/>
              </w:rPr>
            </w:pPr>
            <w:r>
              <w:rPr>
                <w:color w:val="000000"/>
                <w:sz w:val="18"/>
                <w:lang w:eastAsia="en-US"/>
              </w:rPr>
              <w:t xml:space="preserve">The Michigan PSC scheduled a series of four public meetings designed to "take the next step" in providing choice to all natural gas customers in Michigan.  The Commission directed its staff to begin a collaborative process with the state's largest LDCs and all interested persons to develop uniform terms and conditions for choice programs for all residential and business customers throughout the state. </w:t>
            </w:r>
            <w:r>
              <w:rPr>
                <w:b/>
                <w:color w:val="800000"/>
                <w:sz w:val="16"/>
              </w:rPr>
              <w:t>(Stanton)</w:t>
            </w:r>
          </w:p>
          <w:p>
            <w:pPr>
              <w:pStyle w:val="Normal"/>
              <w:rPr>
                <w:color w:val="000000"/>
                <w:sz w:val="18"/>
                <w:lang w:eastAsia="en-US"/>
              </w:rPr>
            </w:pPr>
            <w:r>
              <w:rPr>
                <w:color w:val="000000"/>
                <w:sz w:val="18"/>
                <w:lang w:eastAsia="en-US"/>
              </w:rPr>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Order issued Aug. 4</w:t>
            </w:r>
            <w:r>
              <w:rPr>
                <w:color w:val="000000"/>
                <w:sz w:val="18"/>
                <w:vertAlign w:val="superscript"/>
                <w:lang w:eastAsia="en-US"/>
              </w:rPr>
              <w:t>th</w:t>
            </w:r>
            <w:r>
              <w:rPr>
                <w:color w:val="000000"/>
                <w:sz w:val="18"/>
                <w:lang w:eastAsia="en-US"/>
              </w:rPr>
              <w:t>. Northern filed comments August 14th.   The final meeting Sep. 7</w:t>
            </w:r>
            <w:r>
              <w:rPr>
                <w:color w:val="000000"/>
                <w:sz w:val="18"/>
                <w:vertAlign w:val="superscript"/>
                <w:lang w:eastAsia="en-US"/>
              </w:rPr>
              <w:t>th</w:t>
            </w:r>
            <w:r>
              <w:rPr>
                <w:color w:val="000000"/>
                <w:sz w:val="18"/>
                <w:lang w:eastAsia="en-US"/>
              </w:rPr>
              <w:t xml:space="preserve"> ended with a consensus that medium to smaller sized LDCs should be carved out of the current process, leaving just the state's two largest utilities, Consumers Energy and MichCon--representing about 94% of the total customers in the state--as the focus of this proceeding.  The two medium sized utilities, SEMCO and Michigan Gas Utilities, will be the subject of a new proceeding, which will be initiated by the filing of proposals by these two LDCs by January 1, 2001.  In a final order issued Oct. 13</w:t>
            </w:r>
            <w:r>
              <w:rPr>
                <w:color w:val="000000"/>
                <w:sz w:val="18"/>
                <w:vertAlign w:val="superscript"/>
                <w:lang w:eastAsia="en-US"/>
              </w:rPr>
              <w:t>th</w:t>
            </w:r>
            <w:r>
              <w:rPr>
                <w:color w:val="000000"/>
                <w:sz w:val="18"/>
                <w:lang w:eastAsia="en-US"/>
              </w:rPr>
              <w:t xml:space="preserve"> the MPUC exempted small utilities (including Xcel and Peninsular) from plan-filing requirements but encouraged them to voluntarily develop choice plans on their own timetable.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MINNESOTA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E,G999/DI-99-1073</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MN DOC investigation into energy restructuring.  This docket established the work group proceeding set up by the DOC to carry out the MPUC’s order in Docket No. E,G999/CI-99-687, which called for an unbundling investigation by the DOC.   The DOC formed the following six work groups to develop issues and options:  (1) Consumer Issues, (2) Policing of Utilities and Other Providers, (3) Energy Conservation and Alternative Technologies, (4) Service Reliability - Wholesale and Retail, (5) Unbundling of Functions/Pricing of Remaining Regulated Functions and Services, and (6) Stranded Costs/Stranded Benefits.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work groups concluded in Nov. 1999.  In Sept. the</w:t>
            </w:r>
            <w:r>
              <w:rPr>
                <w:color w:val="000000"/>
                <w:sz w:val="18"/>
                <w:lang w:eastAsia="en-US"/>
              </w:rPr>
              <w:t xml:space="preserve"> Dept. said it had determined that restructuring is not in the public at this time and announced instead a new plan aimed at electricity reliability to be known as "Keeping the Lights On."  The four main components of the plan are as follows: (1) establishing a statewide energy resource plan and streamlining the approval process for generation and transmission, (2) increasing efficiency of conservation programs, (3) promoting increase use of renewables and distributed generation, and (4) measures to encourage wholesale competition.  NNG filed comments Nov. 1 stressing its ability as a pipeline to serve substantial amounts of new natural gas fired electric generation in Minnesota.</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G-007,011/</w:t>
            </w:r>
          </w:p>
          <w:p>
            <w:pPr>
              <w:pStyle w:val="Normal"/>
              <w:rPr>
                <w:color w:val="000000"/>
                <w:sz w:val="18"/>
              </w:rPr>
            </w:pPr>
            <w:r>
              <w:rPr>
                <w:color w:val="000000"/>
                <w:sz w:val="18"/>
              </w:rPr>
              <w:t>GR-00-951</w:t>
            </w:r>
          </w:p>
          <w:p>
            <w:pPr>
              <w:pStyle w:val="Normal"/>
              <w:rPr>
                <w:color w:val="000000"/>
                <w:sz w:val="18"/>
              </w:rPr>
            </w:pPr>
            <w:r>
              <w:rPr>
                <w:color w:val="000000"/>
                <w:sz w:val="18"/>
              </w:rPr>
              <w:t>UtiliCorp Rate Case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The filing proposes to combine the two separate operating divisions, Peoples Natural Gas and Northern Minnesota Utilities.  Separate rates would be maintained where necessary to recognize the difference in the cost of providing service.  The filing asks for an $8.4 million increase (7.26%) for Peoples and an increase of $1.3 million (3.29%) for NMU.  The combined requests total about $9.8 million and represent an overall 6.24% increase for UtiliCorp in Minnesota. The company seeks a 12.5% ROE.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Filed Aug. 11</w:t>
            </w:r>
            <w:r>
              <w:rPr>
                <w:color w:val="000000"/>
                <w:sz w:val="18"/>
                <w:vertAlign w:val="superscript"/>
              </w:rPr>
              <w:t>th</w:t>
            </w:r>
            <w:r>
              <w:rPr>
                <w:color w:val="000000"/>
                <w:sz w:val="18"/>
              </w:rPr>
              <w:t>.  This is a replacement for --and essentially identical to--rate case G-007,011/GR-00-517, which was filed last May.  The new filing was made to avoid procedural complications that arose in the initial filing. Accepted Sep. 21</w:t>
            </w:r>
            <w:r>
              <w:rPr>
                <w:color w:val="000000"/>
                <w:sz w:val="18"/>
                <w:vertAlign w:val="superscript"/>
              </w:rPr>
              <w:t>st</w:t>
            </w:r>
            <w:r>
              <w:rPr>
                <w:color w:val="000000"/>
                <w:sz w:val="18"/>
              </w:rPr>
              <w:t>.  NNG's intervention was approved at the prehearing conference held Oct. 11</w:t>
            </w:r>
            <w:r>
              <w:rPr>
                <w:color w:val="000000"/>
                <w:sz w:val="18"/>
                <w:vertAlign w:val="superscript"/>
              </w:rPr>
              <w:t>th</w:t>
            </w:r>
            <w:r>
              <w:rPr>
                <w:color w:val="000000"/>
                <w:sz w:val="18"/>
              </w:rPr>
              <w:t>.  Intervenor initial testimony is due Dec. 13</w:t>
            </w:r>
            <w:r>
              <w:rPr>
                <w:color w:val="000000"/>
                <w:sz w:val="18"/>
                <w:vertAlign w:val="superscript"/>
              </w:rPr>
              <w:t>th</w:t>
            </w:r>
            <w:r>
              <w:rPr>
                <w:color w:val="000000"/>
                <w:sz w:val="18"/>
              </w:rPr>
              <w:t>.  Hearings are scheduled to begin in late January 2001.</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Reform Party holds the governor’s office. Republicans command the House (70R-63D-1I).  Democrats control the Senate (42D-24R-1I).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2000 Minnesota Legislature ended May 17th.</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The state retained a tri-party system with Republicans maintaining control of the House 69R-65D, Democrats ruling the Senate 39D-27R-I1, and the Independence party(Gov. changed from the Reform party) holding the governor's office, which was not up for election.</w:t>
            </w:r>
          </w:p>
        </w:tc>
        <w:tc>
          <w:tcPr>
            <w:tcW w:w="5131"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Other</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Compressor fuel tax</w:t>
            </w:r>
          </w:p>
        </w:tc>
        <w:tc>
          <w:tcPr>
            <w:tcW w:w="6480"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The MN Dept. of Revenue is attempting to collect a use tax on natural gas used as compressor fuel.  </w:t>
            </w:r>
            <w:r>
              <w:rPr>
                <w:b/>
                <w:color w:val="800000"/>
                <w:sz w:val="16"/>
              </w:rPr>
              <w:t>(Stanton)</w:t>
            </w:r>
          </w:p>
        </w:tc>
        <w:tc>
          <w:tcPr>
            <w:tcW w:w="5131"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Enron tax department made a presentation to the DOR in Dec. 1998 outlining the reasons the company believes NNG is not subject to this tax.  In Nov. 1999 another presentation was made arguing gas industry parallels to the "integrated plant theory," which allows Minnesota electric utilities to basically avoid 100% of the MN sales and use tax.  Parties are next awaiting a court decision on a Great Lakes Pipeline case now in the courts.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NEBRASKA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control  the governor’s office.  The Nebraska Unicameral Legislature is nonpartisan (no party structure) but breaks down as follows: 27R-21D-1I.  </w:t>
            </w:r>
            <w:r>
              <w:rPr>
                <w:b/>
                <w:color w:val="800000"/>
                <w:sz w:val="16"/>
              </w:rPr>
              <w:t>(Wilson)</w:t>
            </w:r>
          </w:p>
        </w:tc>
        <w:tc>
          <w:tcPr>
            <w:tcW w:w="5268"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2000 Nebraska Unicameral Legislature adjourned April 12</w:t>
            </w:r>
            <w:r>
              <w:rPr>
                <w:color w:val="000000"/>
                <w:sz w:val="18"/>
                <w:vertAlign w:val="superscript"/>
              </w:rPr>
              <w:t>th</w:t>
            </w:r>
            <w:r>
              <w:rPr>
                <w:color w:val="000000"/>
                <w:sz w:val="18"/>
              </w:rPr>
              <w:t xml:space="preserve">.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Republicans control the nonpartisan Unicameral 28R-18D-3I.  The Republican-held governor's office was not up for election.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LR 74</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A resolution  requesting an interim study to examine the natural gas industry in Nebraska.  The study would include a comprehensive overview of the organization, structure, governance, regulation, effectiveness, and consumer satisfaction with existing natural gas utility systems, both publicly and privately owned, in Nebraska and the emerging issues of competition , deregulation, and restructuring in the natural gas industry and their effect upon those natural gas utility systems.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Legislature passed and the governor signed on May 18</w:t>
            </w:r>
            <w:r>
              <w:rPr>
                <w:color w:val="000000"/>
                <w:sz w:val="18"/>
                <w:vertAlign w:val="superscript"/>
              </w:rPr>
              <w:t>th</w:t>
            </w:r>
            <w:r>
              <w:rPr>
                <w:color w:val="000000"/>
                <w:sz w:val="18"/>
              </w:rPr>
              <w:t xml:space="preserve"> LB 805, which allocates $200,000 to fund this study.  NNG is participating on an advisory committee to the Urban Affairs Committee, which has </w:t>
            </w:r>
            <w:r>
              <w:rPr>
                <w:color w:val="000000"/>
                <w:sz w:val="18"/>
                <w:lang w:eastAsia="en-US"/>
              </w:rPr>
              <w:t xml:space="preserve">selected Economic &amp; Financial Resources (EFR) of Ankeny, IA as the consultant to conduct the study.  </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447</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examination of the Nebraska electric industry and expanded services in telecommunications, as well as other services, by public power.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These issues will be the subjects of a joint study by the Transportation &amp; Telecommunications Committee and the Natural Resources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461</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recodification of statutes relating to the Public Service Commission.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Transportation &amp; Telecommunications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LR 484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Interim study - </w:t>
            </w:r>
            <w:r>
              <w:rPr>
                <w:color w:val="000000"/>
                <w:sz w:val="18"/>
                <w:lang w:eastAsia="en-US"/>
              </w:rPr>
              <w:t xml:space="preserve">natural gas service in Nebraska.  </w:t>
            </w:r>
            <w:r>
              <w:rPr>
                <w:b/>
                <w:color w:val="800000"/>
                <w:sz w:val="16"/>
              </w:rPr>
              <w:t>(Wilson)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Assigned to Urban Affairs Committee.</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NEW MEXICO</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Republicans hold the governor’s office. Democrats control of the House (40D-30R) and the Senate (25D-17R). </w:t>
            </w:r>
            <w:r>
              <w:rPr>
                <w:b/>
                <w:color w:val="800000"/>
                <w:sz w:val="16"/>
              </w:rPr>
              <w:t>(Stanton or 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New Mexico Legislature concluded a 30-day session on Feb. 15</w:t>
            </w:r>
            <w:r>
              <w:rPr>
                <w:color w:val="000000"/>
                <w:sz w:val="18"/>
                <w:vertAlign w:val="superscript"/>
              </w:rPr>
              <w:t>th</w:t>
            </w:r>
            <w:r>
              <w:rPr>
                <w:color w:val="000000"/>
                <w:sz w:val="18"/>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color w:val="000000"/>
                <w:sz w:val="18"/>
              </w:rPr>
            </w:pPr>
            <w:r>
              <w:rPr>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Democrats held on to control of the House 42D-27R as well as the Senate 24D-18R. The governor's office, not up for election, remains in Republican hands.</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Air Quality Permit Rules</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New Mexico Air Quality Bureau is drafting rules that implement a new air quality permit process, which will reduce state action time from 180 to 90 days. </w:t>
            </w:r>
            <w:r>
              <w:rPr>
                <w:b/>
                <w:color w:val="800000"/>
                <w:sz w:val="16"/>
              </w:rPr>
              <w:t>(Stanton or Wilson)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A meeting was held in July 1999 with the Bureau.  Draft rules are being prepared.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SO. DAKOTA</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The governor’s office is held by Republicans, who also control  the House (51R-19D) and the Senate (22R-13D).  </w:t>
            </w:r>
            <w:r>
              <w:rPr>
                <w:b/>
                <w:color w:val="800000"/>
                <w:sz w:val="16"/>
              </w:rPr>
              <w:t>(Stanton)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So. Dakota Legislature adjourned March 15</w:t>
            </w:r>
            <w:r>
              <w:rPr>
                <w:color w:val="000000"/>
                <w:sz w:val="18"/>
                <w:vertAlign w:val="superscript"/>
              </w:rPr>
              <w:t>th</w:t>
            </w:r>
            <w:r>
              <w:rPr>
                <w:color w:val="000000"/>
                <w:sz w:val="18"/>
              </w:rPr>
              <w:t>,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Republicans maintain rule of the House 50R-20D and the Senate 23R-12D.  The governor's office, not up for election, remains Republican.</w:t>
            </w:r>
          </w:p>
        </w:tc>
        <w:tc>
          <w:tcPr>
            <w:tcW w:w="5269"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FF"/>
                <w:sz w:val="18"/>
              </w:rPr>
            </w:pPr>
            <w:r>
              <w:rPr>
                <w:b/>
                <w:i/>
                <w:color w:val="0000FF"/>
                <w:sz w:val="18"/>
              </w:rPr>
            </w:r>
          </w:p>
        </w:tc>
      </w:tr>
    </w:tbl>
    <w:p>
      <w:pPr>
        <w:pStyle w:val="Normal"/>
        <w:rPr/>
      </w:pPr>
      <w:r>
        <w:br w:type="page"/>
      </w:r>
      <w:r>
        <w:rPr/>
      </w:r>
    </w:p>
    <w:tbl>
      <w:tblPr>
        <w:tblW w:w="14581" w:type="dxa"/>
        <w:jc w:val="start"/>
        <w:tblInd w:w="-72" w:type="dxa"/>
        <w:tblLayout w:type="fixed"/>
        <w:tblCellMar>
          <w:top w:w="0" w:type="dxa"/>
          <w:start w:w="108" w:type="dxa"/>
          <w:bottom w:w="0" w:type="dxa"/>
          <w:end w:w="108" w:type="dxa"/>
        </w:tblCellMar>
      </w:tblPr>
      <w:tblGrid>
        <w:gridCol w:w="1440"/>
        <w:gridCol w:w="1530"/>
        <w:gridCol w:w="6342"/>
        <w:gridCol w:w="5269"/>
      </w:tblGrid>
      <w:tr>
        <w:trPr/>
        <w:tc>
          <w:tcPr>
            <w:tcW w:w="1440" w:type="dxa"/>
            <w:tcBorders>
              <w:top w:val="single" w:sz="6" w:space="0" w:color="000000"/>
              <w:start w:val="single" w:sz="6" w:space="0" w:color="000000"/>
              <w:bottom w:val="single" w:sz="6" w:space="0" w:color="000000"/>
              <w:end w:val="single" w:sz="6" w:space="0" w:color="000000"/>
            </w:tcBorders>
          </w:tcPr>
          <w:p>
            <w:pPr>
              <w:pStyle w:val="Normal"/>
              <w:rPr>
                <w:b/>
                <w:sz w:val="18"/>
              </w:rPr>
            </w:pPr>
            <w:r>
              <w:rPr>
                <w:b/>
                <w:sz w:val="18"/>
              </w:rPr>
              <w:t>WISCONSIN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18"/>
              </w:rPr>
            </w:pPr>
            <w:r>
              <w:rPr>
                <w:b/>
                <w:sz w:val="18"/>
              </w:rPr>
            </w:r>
          </w:p>
        </w:tc>
        <w:tc>
          <w:tcPr>
            <w:tcW w:w="6342"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Regulatory</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05-BG-101</w:t>
            </w:r>
          </w:p>
        </w:tc>
        <w:tc>
          <w:tcPr>
            <w:tcW w:w="6342"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 xml:space="preserve">Investigation into appropriate certification or registration requirements for non-utility natural gas suppliers.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ET&amp;S commented Nov. 1997 on appropriate operating standards for holding firm capacity, saying that such standards should ensure that aggregate firm pipeline capacity is contracted for and that any standards must be developed in concert with federal regulatory rules governing pipeline capacity.  In Apr. 1998 the PSC requested comments on a  proposed tariff.  Northern filed comments addressing proposed requirements related to firm interstate pipeline capacity.</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3270-CG-113</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Madison Gas and Electric Company application to construct a pipeline to interconnect its gate station south of Madison with its gate station located east of Madison.  The project is designed to give MG&amp;E more flexibility in choosing between ANR, Northern, or a third pipeline to source its gas supplies.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in August 1998.  This project, originally proposed for completion in the Fall of 1999, was set back to 2000.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3270-UR-110</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lang w:eastAsia="en-US"/>
              </w:rPr>
              <w:t xml:space="preserve">Madison Gas and Electric Company gas and electricity rate increase request seeking a $4,466,000 (4.4%) increase for gas and a 12.9% return on equity.  MG&amp;E says the primary reason for the proposed gas increase is additional infrastructure improvements to keep up with "tremendous" growth and cited as examples plans to build a high pressure main in the City of Madison to improve downtown gas supply and reinforcement of the gas system in the Mount Horeb area.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April 17</w:t>
            </w:r>
            <w:r>
              <w:rPr>
                <w:color w:val="000000"/>
                <w:sz w:val="18"/>
                <w:vertAlign w:val="superscript"/>
              </w:rPr>
              <w:t>th</w:t>
            </w:r>
            <w:r>
              <w:rPr>
                <w:color w:val="000000"/>
                <w:sz w:val="18"/>
                <w:lang w:eastAsia="en-US"/>
              </w:rPr>
              <w:t>.   An order is expected by the end of the year.  Northern filed to intervene on July 6</w:t>
            </w:r>
            <w:r>
              <w:rPr>
                <w:color w:val="000000"/>
                <w:sz w:val="18"/>
                <w:vertAlign w:val="superscript"/>
                <w:lang w:eastAsia="en-US"/>
              </w:rPr>
              <w:t>th</w:t>
            </w:r>
            <w:r>
              <w:rPr>
                <w:color w:val="000000"/>
                <w:sz w:val="18"/>
                <w:lang w:eastAsia="en-US"/>
              </w:rPr>
              <w:t>.  A prehearing conference was held July 11</w:t>
            </w:r>
            <w:r>
              <w:rPr>
                <w:color w:val="000000"/>
                <w:sz w:val="18"/>
                <w:vertAlign w:val="superscript"/>
                <w:lang w:eastAsia="en-US"/>
              </w:rPr>
              <w:t>th</w:t>
            </w:r>
            <w:r>
              <w:rPr>
                <w:color w:val="000000"/>
                <w:sz w:val="18"/>
                <w:lang w:eastAsia="en-US"/>
              </w:rPr>
              <w:t xml:space="preserve"> and the following schedule was set:  MG&amp;E supplemental testimony due Aug. 1; Staff and intervenor direct testimony due Sep. 6</w:t>
            </w:r>
            <w:r>
              <w:rPr>
                <w:color w:val="000000"/>
                <w:sz w:val="18"/>
                <w:vertAlign w:val="superscript"/>
                <w:lang w:eastAsia="en-US"/>
              </w:rPr>
              <w:t>th</w:t>
            </w:r>
            <w:r>
              <w:rPr>
                <w:color w:val="000000"/>
                <w:sz w:val="18"/>
                <w:lang w:eastAsia="en-US"/>
              </w:rPr>
              <w:t>.  A hearing was held Sep. 20</w:t>
            </w:r>
            <w:r>
              <w:rPr>
                <w:color w:val="000000"/>
                <w:sz w:val="18"/>
                <w:vertAlign w:val="superscript"/>
                <w:lang w:eastAsia="en-US"/>
              </w:rPr>
              <w:t>th</w:t>
            </w:r>
            <w:r>
              <w:rPr>
                <w:color w:val="000000"/>
                <w:sz w:val="18"/>
                <w:lang w:eastAsia="en-US"/>
              </w:rPr>
              <w:t>.</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5820-CG-104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Superior Water, Light &amp; Power application to build a 10" high pressure gas main to connect to Great Lakes pipeline and serve as a second natural gas feed to the city of Superior, WI.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Application filed Jun. 20</w:t>
            </w:r>
            <w:r>
              <w:rPr>
                <w:color w:val="000000"/>
                <w:sz w:val="18"/>
                <w:vertAlign w:val="superscript"/>
              </w:rPr>
              <w:t>th</w:t>
            </w:r>
            <w:r>
              <w:rPr>
                <w:color w:val="000000"/>
                <w:sz w:val="18"/>
              </w:rPr>
              <w:t xml:space="preserve">.  Notice issued 8/17/00.  Action may be taken 15 days after notice.  </w:t>
            </w:r>
            <w:r>
              <w:rPr>
                <w:b/>
                <w:i/>
                <w:color w:val="0000FF"/>
                <w:sz w:val="18"/>
              </w:rPr>
              <w:t>Approved.  Order issued.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i/>
                <w:i/>
                <w:color w:val="0000FF"/>
                <w:sz w:val="18"/>
              </w:rPr>
            </w:pPr>
            <w:r>
              <w:rPr>
                <w:b/>
                <w:i/>
                <w:color w:val="0000FF"/>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6650-CG-194</w:t>
            </w:r>
          </w:p>
        </w:tc>
        <w:tc>
          <w:tcPr>
            <w:tcW w:w="6342"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 xml:space="preserve">Wisconsin Gas Company application for construction of a 35-mile connection from the proposed Guardian Pipeline near Ixonia to existing WGC distribution facilities in Brookfield and Menomonee Falls.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Filed Nov. 30.  On Feb. 16</w:t>
            </w:r>
            <w:r>
              <w:rPr>
                <w:color w:val="000000"/>
                <w:sz w:val="18"/>
                <w:vertAlign w:val="superscript"/>
              </w:rPr>
              <w:t>th</w:t>
            </w:r>
            <w:r>
              <w:rPr>
                <w:color w:val="000000"/>
                <w:sz w:val="18"/>
              </w:rPr>
              <w:t xml:space="preserve"> the ALJ granted limited intervention status to Northern and ANR giving the companies full -party rights for the purpose of the PSC hearing but not for the purpose of an appeal.  NNG testified on Apr. 4</w:t>
            </w:r>
            <w:r>
              <w:rPr>
                <w:color w:val="000000"/>
                <w:sz w:val="18"/>
                <w:vertAlign w:val="superscript"/>
              </w:rPr>
              <w:t>th</w:t>
            </w:r>
            <w:r>
              <w:rPr>
                <w:color w:val="000000"/>
                <w:sz w:val="18"/>
              </w:rPr>
              <w:t xml:space="preserve">.  </w:t>
            </w:r>
            <w:r>
              <w:rPr>
                <w:color w:val="000000"/>
                <w:sz w:val="18"/>
                <w:lang w:eastAsia="en-US"/>
              </w:rPr>
              <w:t>The hearings concluded Apr. 27</w:t>
            </w:r>
            <w:r>
              <w:rPr>
                <w:color w:val="000000"/>
                <w:sz w:val="18"/>
                <w:vertAlign w:val="superscript"/>
                <w:lang w:eastAsia="en-US"/>
              </w:rPr>
              <w:t>th</w:t>
            </w:r>
            <w:r>
              <w:rPr>
                <w:color w:val="000000"/>
                <w:sz w:val="18"/>
                <w:lang w:eastAsia="en-US"/>
              </w:rPr>
              <w:t>. Hearings on the environmental aspects of the lateral will scheduled for early 2001.  On Oct. 19</w:t>
            </w:r>
            <w:r>
              <w:rPr>
                <w:color w:val="000000"/>
                <w:sz w:val="18"/>
                <w:vertAlign w:val="superscript"/>
                <w:lang w:eastAsia="en-US"/>
              </w:rPr>
              <w:t>th</w:t>
            </w:r>
            <w:r>
              <w:rPr>
                <w:color w:val="000000"/>
                <w:sz w:val="18"/>
                <w:lang w:eastAsia="en-US"/>
              </w:rPr>
              <w:t xml:space="preserve"> the PSC decided unanimously in favor of Wisconsin Gas on 30 issues related to building the lateral.  The commissioners emphasized that these economic decisions were subject to their findings in the upcoming environmental phase of the process.</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end"/>
              <w:rPr>
                <w:b/>
                <w:sz w:val="18"/>
              </w:rPr>
            </w:pPr>
            <w:r>
              <w:rPr>
                <w:b/>
                <w:sz w:val="18"/>
              </w:rPr>
              <w:t>Legislative</w:t>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2000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 xml:space="preserve">Republicans control the governor's office and the House (55R-44D).  Democrats command the Senate (17D-16R).  </w:t>
            </w:r>
            <w:r>
              <w:rPr>
                <w:b/>
                <w:color w:val="800000"/>
                <w:sz w:val="16"/>
              </w:rPr>
              <w:t>(Stanton)</w:t>
            </w:r>
          </w:p>
        </w:tc>
        <w:tc>
          <w:tcPr>
            <w:tcW w:w="5269" w:type="dxa"/>
            <w:tcBorders>
              <w:top w:val="single" w:sz="6" w:space="0" w:color="000000"/>
              <w:start w:val="single" w:sz="6" w:space="0" w:color="000000"/>
              <w:bottom w:val="single" w:sz="6" w:space="0" w:color="000000"/>
              <w:end w:val="single" w:sz="6" w:space="0" w:color="000000"/>
            </w:tcBorders>
          </w:tcPr>
          <w:p>
            <w:pPr>
              <w:pStyle w:val="Normal"/>
              <w:rPr/>
            </w:pPr>
            <w:r>
              <w:rPr>
                <w:color w:val="000000"/>
                <w:sz w:val="18"/>
              </w:rPr>
              <w:t>The 2000 session of the Wisconsin Legislature began Jan 25</w:t>
            </w:r>
            <w:r>
              <w:rPr>
                <w:color w:val="000000"/>
                <w:sz w:val="18"/>
                <w:vertAlign w:val="superscript"/>
              </w:rPr>
              <w:t>th</w:t>
            </w:r>
            <w:r>
              <w:rPr>
                <w:color w:val="000000"/>
                <w:sz w:val="18"/>
              </w:rPr>
              <w:t>. Thursday Mar. 30th was the final general business floor period of the 1999-2000 legislative session.  Bills were sent to the governor on June 1, thus ending the legislative session.</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end"/>
              <w:rPr>
                <w:b/>
                <w:color w:val="000000"/>
                <w:sz w:val="18"/>
              </w:rPr>
            </w:pPr>
            <w:r>
              <w:rPr>
                <w:b/>
                <w:color w:val="000000"/>
                <w:sz w:val="18"/>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FF"/>
                <w:sz w:val="18"/>
              </w:rPr>
              <w:t>**</w:t>
            </w:r>
            <w:r>
              <w:rPr>
                <w:b/>
                <w:i/>
                <w:color w:val="0000FF"/>
                <w:sz w:val="18"/>
              </w:rPr>
              <w:t>2001 Legislature</w:t>
            </w:r>
          </w:p>
        </w:tc>
        <w:tc>
          <w:tcPr>
            <w:tcW w:w="6342" w:type="dxa"/>
            <w:tcBorders>
              <w:top w:val="single" w:sz="6" w:space="0" w:color="000000"/>
              <w:start w:val="single" w:sz="6" w:space="0" w:color="000000"/>
              <w:bottom w:val="single" w:sz="6" w:space="0" w:color="000000"/>
              <w:end w:val="single" w:sz="6" w:space="0" w:color="000000"/>
            </w:tcBorders>
          </w:tcPr>
          <w:p>
            <w:pPr>
              <w:pStyle w:val="Normal"/>
              <w:rPr>
                <w:b/>
                <w:i/>
                <w:i/>
                <w:color w:val="0000FF"/>
                <w:sz w:val="18"/>
              </w:rPr>
            </w:pPr>
            <w:r>
              <w:rPr>
                <w:b/>
                <w:i/>
                <w:color w:val="0000FF"/>
                <w:sz w:val="18"/>
              </w:rPr>
              <w:t>Democrats held on to power in the Senate 18D-15R, Republicans maintain power in the House 56R-43D and the governor's office, not up for election, remains in Republican hands.</w:t>
            </w:r>
          </w:p>
        </w:tc>
        <w:tc>
          <w:tcPr>
            <w:tcW w:w="5269" w:type="dxa"/>
            <w:tcBorders>
              <w:top w:val="single" w:sz="6" w:space="0" w:color="000000"/>
              <w:start w:val="single" w:sz="6" w:space="0" w:color="000000"/>
              <w:bottom w:val="single" w:sz="6" w:space="0" w:color="000000"/>
              <w:end w:val="single" w:sz="6" w:space="0" w:color="000000"/>
            </w:tcBorders>
          </w:tcPr>
          <w:p>
            <w:pPr>
              <w:pStyle w:val="Normal"/>
              <w:snapToGrid w:val="false"/>
              <w:rPr>
                <w:b/>
                <w:i/>
                <w:i/>
                <w:color w:val="000000"/>
                <w:sz w:val="18"/>
              </w:rPr>
            </w:pPr>
            <w:r>
              <w:rPr>
                <w:b/>
                <w:i/>
                <w:color w:val="000000"/>
                <w:sz w:val="18"/>
              </w:rPr>
            </w:r>
          </w:p>
        </w:tc>
      </w:tr>
    </w:tbl>
    <w:p>
      <w:pPr>
        <w:pStyle w:val="Normal"/>
        <w:rPr/>
      </w:pPr>
      <w:r>
        <w:rPr/>
      </w:r>
    </w:p>
    <w:sectPr>
      <w:headerReference w:type="default" r:id="rId2"/>
      <w:headerReference w:type="first" r:id="rId3"/>
      <w:type w:val="nextPage"/>
      <w:pgSz w:orient="landscape" w:w="15840" w:h="12240"/>
      <w:pgMar w:left="720" w:right="720" w:gutter="0" w:header="706" w:top="762" w:footer="0" w:bottom="5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end"/>
      <w:rPr/>
    </w:pPr>
    <w:r>
      <w:rPr/>
      <w:t xml:space="preserve">11/15/2000 Govt. Affairs Report 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18"/>
    </w:rPr>
  </w:style>
  <w:style w:type="paragraph" w:styleId="Heading2">
    <w:name w:val="heading 2"/>
    <w:basedOn w:val="Normal"/>
    <w:next w:val="Normal"/>
    <w:qFormat/>
    <w:pPr>
      <w:keepNext w:val="true"/>
      <w:numPr>
        <w:ilvl w:val="1"/>
        <w:numId w:val="1"/>
      </w:numPr>
      <w:outlineLvl w:val="1"/>
    </w:pPr>
    <w:rPr>
      <w:b/>
      <w:i/>
      <w:color w:val="0000FF"/>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b/>
      <w:i/>
      <w:color w:val="0000FF"/>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2000-11-15T13:47:00Z</dcterms:created>
  <dc:creator>ET&amp;S Field Support</dc:creator>
  <dc:description/>
  <dc:language>en-CA</dc:language>
  <cp:lastModifiedBy>Lon Stanton</cp:lastModifiedBy>
  <cp:lastPrinted>2000-11-15T13:35:00Z</cp:lastPrinted>
  <dcterms:modified xsi:type="dcterms:W3CDTF">2000-11-15T17:38:00Z</dcterms:modified>
  <cp:revision>19</cp:revision>
  <dc:subject/>
  <dc:title>Northern Natural Gas Company</dc:title>
</cp:coreProperties>
</file>