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303" w:leader="none"/>
        </w:tabs>
        <w:rPr/>
      </w:pPr>
      <w:r>
        <w:rPr/>
        <w:t>Enron Transportation Services</w:t>
      </w:r>
    </w:p>
    <w:p>
      <w:pPr>
        <w:pStyle w:val="Normal"/>
        <w:tabs>
          <w:tab w:val="clear" w:pos="720"/>
          <w:tab w:val="left" w:pos="4770" w:leader="none"/>
        </w:tabs>
        <w:jc w:val="center"/>
        <w:rPr/>
      </w:pPr>
      <w:r>
        <w:rPr>
          <w:b/>
          <w:color w:val="000000"/>
        </w:rPr>
        <w:t>State Government</w:t>
      </w:r>
      <w:r>
        <w:rPr>
          <w:b/>
          <w:color w:val="0000FF"/>
        </w:rPr>
        <w:t xml:space="preserve"> </w:t>
      </w:r>
      <w:r>
        <w:rPr>
          <w:b/>
          <w:color w:val="000000"/>
        </w:rPr>
        <w:t>Affairs</w:t>
      </w:r>
      <w:r>
        <w:rPr>
          <w:b/>
        </w:rPr>
        <w:t xml:space="preserve"> Report</w:t>
      </w:r>
    </w:p>
    <w:p>
      <w:pPr>
        <w:pStyle w:val="Normal"/>
        <w:jc w:val="center"/>
        <w:rPr>
          <w:b/>
        </w:rPr>
      </w:pPr>
      <w:r>
        <w:rPr>
          <w:b/>
        </w:rPr>
        <w:t xml:space="preserve">10/1/2001 </w:t>
      </w:r>
    </w:p>
    <w:p>
      <w:pPr>
        <w:pStyle w:val="Normal"/>
        <w:jc w:val="center"/>
        <w:rPr>
          <w:b/>
        </w:rPr>
      </w:pPr>
      <w:r>
        <w:rPr>
          <w:b/>
        </w:rPr>
      </w:r>
    </w:p>
    <w:tbl>
      <w:tblPr>
        <w:tblW w:w="14582" w:type="dxa"/>
        <w:jc w:val="start"/>
        <w:tblInd w:w="-72" w:type="dxa"/>
        <w:tblLayout w:type="fixed"/>
        <w:tblCellMar>
          <w:top w:w="0" w:type="dxa"/>
          <w:start w:w="108" w:type="dxa"/>
          <w:bottom w:w="0" w:type="dxa"/>
          <w:end w:w="108" w:type="dxa"/>
        </w:tblCellMar>
      </w:tblPr>
      <w:tblGrid>
        <w:gridCol w:w="1440"/>
        <w:gridCol w:w="1073"/>
        <w:gridCol w:w="457"/>
        <w:gridCol w:w="2970"/>
        <w:gridCol w:w="3510"/>
        <w:gridCol w:w="5132"/>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3427" w:type="dxa"/>
            <w:gridSpan w:val="2"/>
            <w:tcBorders/>
          </w:tcPr>
          <w:p>
            <w:pPr>
              <w:pStyle w:val="Normal"/>
              <w:rPr/>
            </w:pPr>
            <w:r>
              <w:rPr>
                <w:b/>
                <w:color w:val="000000"/>
                <w:sz w:val="16"/>
              </w:rPr>
              <w:t>Primary Contacts</w:t>
            </w:r>
            <w:r>
              <w:rPr>
                <w:b/>
                <w:sz w:val="16"/>
              </w:rPr>
              <w:t>:</w:t>
            </w:r>
          </w:p>
          <w:p>
            <w:pPr>
              <w:pStyle w:val="Normal"/>
              <w:rPr/>
            </w:pPr>
            <w:r>
              <w:rPr>
                <w:b/>
                <w:color w:val="800000"/>
                <w:sz w:val="16"/>
              </w:rPr>
              <w:t xml:space="preserve">Hass </w:t>
            </w:r>
            <w:r>
              <w:rPr>
                <w:b/>
                <w:color w:val="000000"/>
                <w:sz w:val="16"/>
              </w:rPr>
              <w:t xml:space="preserve">= </w:t>
            </w:r>
            <w:r>
              <w:rPr>
                <w:color w:val="000000"/>
                <w:sz w:val="16"/>
              </w:rPr>
              <w:t>Glen Hass @ 402-398-7419</w:t>
            </w:r>
          </w:p>
          <w:p>
            <w:pPr>
              <w:pStyle w:val="Normal"/>
              <w:rPr/>
            </w:pPr>
            <w:r>
              <w:rPr>
                <w:b/>
                <w:color w:val="800000"/>
                <w:sz w:val="16"/>
              </w:rPr>
              <w:t>Loeffler</w:t>
            </w:r>
            <w:r>
              <w:rPr>
                <w:color w:val="800000"/>
                <w:sz w:val="16"/>
              </w:rPr>
              <w:t xml:space="preserve"> </w:t>
            </w:r>
            <w:r>
              <w:rPr>
                <w:sz w:val="16"/>
              </w:rPr>
              <w:t xml:space="preserve">= Mike Loeffler @ 402-398-7103 </w:t>
            </w:r>
          </w:p>
          <w:p>
            <w:pPr>
              <w:pStyle w:val="Normal"/>
              <w:rPr/>
            </w:pPr>
            <w:r>
              <w:rPr>
                <w:b/>
                <w:color w:val="800000"/>
                <w:sz w:val="16"/>
              </w:rPr>
              <w:t>Stanton</w:t>
            </w:r>
            <w:r>
              <w:rPr>
                <w:color w:val="800000"/>
                <w:sz w:val="16"/>
              </w:rPr>
              <w:t xml:space="preserve"> </w:t>
            </w:r>
            <w:r>
              <w:rPr>
                <w:sz w:val="16"/>
              </w:rPr>
              <w:t>=  Lon Stanton @  952-887-1777</w:t>
            </w:r>
          </w:p>
          <w:p>
            <w:pPr>
              <w:pStyle w:val="Normal"/>
              <w:rPr/>
            </w:pPr>
            <w:r>
              <w:rPr>
                <w:b/>
                <w:color w:val="800000"/>
                <w:sz w:val="16"/>
              </w:rPr>
              <w:t xml:space="preserve">Wilson  </w:t>
            </w:r>
            <w:r>
              <w:rPr>
                <w:color w:val="000000"/>
                <w:sz w:val="16"/>
              </w:rPr>
              <w:t>=  Rob Wilson @ 850-350-5018</w:t>
            </w:r>
            <w:r>
              <w:rPr>
                <w:sz w:val="16"/>
              </w:rPr>
              <w:t xml:space="preserve">      </w:t>
            </w:r>
          </w:p>
        </w:tc>
        <w:tc>
          <w:tcPr>
            <w:tcW w:w="8642" w:type="dxa"/>
            <w:gridSpan w:val="2"/>
            <w:tcBorders/>
          </w:tcPr>
          <w:p>
            <w:pPr>
              <w:pStyle w:val="Normal"/>
              <w:rPr>
                <w:b/>
                <w:color w:val="000080"/>
                <w:sz w:val="16"/>
              </w:rPr>
            </w:pPr>
            <w:bookmarkStart w:id="0" w:name="_Hlk522506676"/>
            <w:r>
              <w:rPr>
                <w:b/>
                <w:color w:val="000000"/>
                <w:sz w:val="16"/>
              </w:rPr>
              <w:t>States</w:t>
            </w:r>
            <w:bookmarkEnd w:id="0"/>
            <w:r>
              <w:rPr>
                <w:b/>
                <w:color w:val="000000"/>
                <w:sz w:val="16"/>
              </w:rPr>
              <w:t>:</w:t>
            </w:r>
          </w:p>
          <w:p>
            <w:pPr>
              <w:pStyle w:val="Normal"/>
              <w:rPr>
                <w:b/>
                <w:color w:val="000080"/>
                <w:sz w:val="16"/>
              </w:rPr>
            </w:pPr>
            <w:hyperlink w:anchor="_Hlk522505865">
              <w:r>
                <w:rPr>
                  <w:rStyle w:val="Hyperlink"/>
                  <w:color w:val="000080"/>
                  <w:sz w:val="16"/>
                </w:rPr>
                <w:t>Arizona</w:t>
              </w:r>
            </w:hyperlink>
            <w:r>
              <w:rPr>
                <w:b/>
                <w:color w:val="000080"/>
                <w:sz w:val="16"/>
              </w:rPr>
              <w:t xml:space="preserve">           </w:t>
            </w:r>
            <w:hyperlink w:anchor="_Hlk522506098">
              <w:r>
                <w:rPr>
                  <w:rStyle w:val="Hyperlink"/>
                  <w:color w:val="000080"/>
                  <w:sz w:val="16"/>
                </w:rPr>
                <w:t xml:space="preserve">Illinois </w:t>
              </w:r>
            </w:hyperlink>
            <w:r>
              <w:rPr>
                <w:b/>
                <w:color w:val="000080"/>
                <w:sz w:val="16"/>
              </w:rPr>
              <w:t xml:space="preserve">       </w:t>
            </w:r>
            <w:hyperlink w:anchor="_Hlk522506295">
              <w:r>
                <w:rPr>
                  <w:rStyle w:val="Hyperlink"/>
                  <w:color w:val="000080"/>
                  <w:sz w:val="16"/>
                </w:rPr>
                <w:t>Michigan</w:t>
              </w:r>
            </w:hyperlink>
            <w:r>
              <w:rPr>
                <w:b/>
                <w:color w:val="000080"/>
                <w:sz w:val="16"/>
              </w:rPr>
              <w:t xml:space="preserve">       </w:t>
            </w:r>
            <w:hyperlink w:anchor="_Hlk522507125">
              <w:r>
                <w:rPr>
                  <w:rStyle w:val="Hyperlink"/>
                  <w:color w:val="000080"/>
                  <w:sz w:val="16"/>
                </w:rPr>
                <w:t>New Mexico</w:t>
              </w:r>
            </w:hyperlink>
          </w:p>
          <w:p>
            <w:pPr>
              <w:pStyle w:val="Normal"/>
              <w:rPr/>
            </w:pPr>
            <w:hyperlink w:anchor="_Hlk522505916">
              <w:r>
                <w:rPr>
                  <w:rStyle w:val="Hyperlink"/>
                  <w:color w:val="000080"/>
                  <w:sz w:val="16"/>
                </w:rPr>
                <w:t>California</w:t>
              </w:r>
            </w:hyperlink>
            <w:r>
              <w:rPr>
                <w:b/>
                <w:color w:val="000080"/>
                <w:sz w:val="16"/>
              </w:rPr>
              <w:t xml:space="preserve">        </w:t>
            </w:r>
            <w:hyperlink w:anchor="_Hlk522506139">
              <w:r>
                <w:rPr>
                  <w:rStyle w:val="Hyperlink"/>
                  <w:color w:val="000080"/>
                  <w:sz w:val="16"/>
                </w:rPr>
                <w:t>Iowa</w:t>
              </w:r>
            </w:hyperlink>
            <w:r>
              <w:rPr>
                <w:b/>
                <w:color w:val="000080"/>
                <w:sz w:val="16"/>
              </w:rPr>
              <w:t xml:space="preserve">           </w:t>
            </w:r>
            <w:hyperlink w:anchor="_Hlk522506361">
              <w:r>
                <w:rPr>
                  <w:rStyle w:val="Hyperlink"/>
                  <w:color w:val="000080"/>
                  <w:sz w:val="16"/>
                </w:rPr>
                <w:t>Minnesota</w:t>
              </w:r>
            </w:hyperlink>
            <w:r>
              <w:rPr>
                <w:b/>
                <w:color w:val="000080"/>
                <w:sz w:val="16"/>
              </w:rPr>
              <w:t xml:space="preserve">      </w:t>
            </w:r>
            <w:hyperlink w:anchor="_Hlk522508494">
              <w:r>
                <w:rPr>
                  <w:rStyle w:val="Hyperlink"/>
                  <w:color w:val="000080"/>
                  <w:sz w:val="16"/>
                </w:rPr>
                <w:t>So. Dakota</w:t>
              </w:r>
            </w:hyperlink>
            <w:r>
              <w:rPr>
                <w:b/>
                <w:color w:val="000080"/>
                <w:sz w:val="16"/>
              </w:rPr>
              <w:t xml:space="preserve"> </w:t>
            </w:r>
          </w:p>
          <w:p>
            <w:pPr>
              <w:pStyle w:val="Normal"/>
              <w:rPr/>
            </w:pPr>
            <w:hyperlink w:anchor="_Hlk522505969">
              <w:r>
                <w:rPr>
                  <w:rStyle w:val="Hyperlink"/>
                  <w:color w:val="000080"/>
                  <w:sz w:val="16"/>
                </w:rPr>
                <w:t>Florida</w:t>
              </w:r>
            </w:hyperlink>
            <w:r>
              <w:rPr>
                <w:b/>
                <w:color w:val="000080"/>
                <w:sz w:val="16"/>
              </w:rPr>
              <w:t xml:space="preserve">             </w:t>
            </w:r>
            <w:hyperlink w:anchor="_Hlk522506209">
              <w:r>
                <w:rPr>
                  <w:rStyle w:val="Hyperlink"/>
                  <w:color w:val="000080"/>
                  <w:sz w:val="16"/>
                </w:rPr>
                <w:t>Kansas</w:t>
              </w:r>
            </w:hyperlink>
            <w:r>
              <w:rPr>
                <w:b/>
                <w:color w:val="000080"/>
                <w:sz w:val="16"/>
              </w:rPr>
              <w:t xml:space="preserve">       </w:t>
            </w:r>
            <w:hyperlink w:anchor="_Hlk522506470">
              <w:r>
                <w:rPr>
                  <w:rStyle w:val="Hyperlink"/>
                  <w:color w:val="000080"/>
                  <w:sz w:val="16"/>
                </w:rPr>
                <w:t>Nebraska</w:t>
              </w:r>
            </w:hyperlink>
            <w:r>
              <w:rPr>
                <w:b/>
                <w:color w:val="000080"/>
                <w:sz w:val="16"/>
              </w:rPr>
              <w:t xml:space="preserve">        </w:t>
            </w:r>
            <w:hyperlink w:anchor="_Hlk522508552">
              <w:r>
                <w:rPr>
                  <w:rStyle w:val="Hyperlink"/>
                  <w:color w:val="000080"/>
                  <w:sz w:val="16"/>
                </w:rPr>
                <w:t>Wisconsin</w:t>
              </w:r>
            </w:hyperlink>
          </w:p>
          <w:p>
            <w:pPr>
              <w:pStyle w:val="Normal"/>
              <w:rPr>
                <w:rStyle w:val="Hyperlink"/>
              </w:rPr>
            </w:pPr>
            <w:hyperlink w:anchor="_Hlk522508552">
              <w:r>
                <w:rPr/>
              </w:r>
            </w:hyperlink>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STATE</w:t>
            </w:r>
          </w:p>
          <w:p>
            <w:pPr>
              <w:pStyle w:val="Normal"/>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ARIZONA</w:t>
            </w:r>
          </w:p>
          <w:p>
            <w:pPr>
              <w:pStyle w:val="Normal"/>
              <w:jc w:val="end"/>
              <w:rPr>
                <w:b/>
                <w:color w:val="000080"/>
                <w:sz w:val="16"/>
              </w:rPr>
            </w:pPr>
            <w:hyperlink w:anchor="_Hlk522506676">
              <w:r>
                <w:rPr>
                  <w:rStyle w:val="Hyperlink"/>
                  <w:color w:val="000080"/>
                  <w:sz w:val="16"/>
                </w:rPr>
                <w:t>States</w:t>
              </w:r>
            </w:hyperlink>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There is a 15R-15D tie in the Senate. Republicans control the House 36R-24D.  Republican Jane Dee Hull holds the governor's office.</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Arizona Legislature concluded its regular session May 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CALIFORNIA</w:t>
            </w:r>
          </w:p>
          <w:p>
            <w:pPr>
              <w:pStyle w:val="Normal"/>
              <w:jc w:val="end"/>
              <w:rPr>
                <w:b/>
                <w:color w:val="000080"/>
                <w:sz w:val="16"/>
              </w:rPr>
            </w:pPr>
            <w:hyperlink w:anchor="_Hlk522506676">
              <w:r>
                <w:rPr>
                  <w:rStyle w:val="Hyperlink"/>
                  <w:color w:val="000080"/>
                  <w:sz w:val="16"/>
                </w:rPr>
                <w:t>States</w:t>
              </w:r>
            </w:hyperlink>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House 50D-30R, the Senate 26D-14R, and the governor's office (Gray Davis).</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b/>
                <w:i/>
                <w:color w:val="0000FF"/>
                <w:sz w:val="18"/>
              </w:rPr>
              <w:t>The 2001 California Legislature concluded it regular session Sep. 14</w:t>
            </w:r>
            <w:r>
              <w:rPr>
                <w:b/>
                <w:i/>
                <w:color w:val="0000FF"/>
                <w:sz w:val="18"/>
                <w:vertAlign w:val="superscript"/>
              </w:rPr>
              <w:t>th</w:t>
            </w:r>
            <w:r>
              <w:rPr>
                <w:b/>
                <w:i/>
                <w:color w:val="0000FF"/>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23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Requires CPUC to report to the Legislature by August 1, 2001 whether or not current and proposed natural gas tariffs encourage past investment recovery and new investments, protect consumers and encourage appropriate storage levels.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Re-referred to Committee on Appropriations.  Hearing held May 8. Passed House May 24 and sent to the Senate.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42</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Accelerates CPUC review certificate application review of natural gas storage and pipeline facilities.  CPUC would be required to issue or deny a certificate within 12 months.  Expedited environmental review requires agencies to provide final comments within 100 days.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Referred to the Committee on Energy Costs and Availability (E. C. &amp; A.)  Hearing held May 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73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Allows California gas that doesn't meet minimum quality standards (low Btu) to be produced, transported and sold to five end users without making the producer a public utility regulated by the CPUC.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Referred to Committee on E. C. &amp; A.  Hearing held May 8.  The committee recommended the bill for passage.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ABX 78</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Exempts gas pipelines and storage facilities from obtaining duplicative eminent domain rights from the CPUC.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Referred to Committee on E. C. &amp; A.  Hearing held May 8.  The bill was re-referred to the Committee on Appropriations.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I99-07-003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Proposed Decision to change the SoCalGas' natural gas system regulatory and market structure.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At a May 24 Commission hearing presenters including Transwestern and EES/ENA generally supported the alternative Comprehensive Settlement (CS) instead of the Interim Settlement as modified by the Proposed Decision (PD).  Support for the PD and opposition to the CS came from the generators.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I00-11-002</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Investigation into the adequacy of the Southern California Gas Company’s and San Diego Gas &amp; Electric Company’s (SDG&amp;E) gas transmission systems to serve the present and future gas requirements of SDG&amp;E’s core and noncore customers.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investigation was bifurcated.  The SoCalGas gas transmission system adequacy will be addressed in Phase II of this proceeding while the rest of the issues will be dealt with in Phase I.  On June 15, 2001, Transwestern filed testimony  supporting SoCal's alternative proposal for allocating firm receipt point capacity and urging the Commission to adopt the natural gas regulatory reform measures outlined in the Comprehensive Settlement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I01-06-047</w:t>
            </w:r>
          </w:p>
          <w:p>
            <w:pPr>
              <w:pStyle w:val="Normal"/>
              <w:rPr>
                <w:color w:val="000000"/>
                <w:sz w:val="18"/>
              </w:rPr>
            </w:pPr>
            <w:r>
              <w:rPr>
                <w:color w:val="000000"/>
                <w:sz w:val="18"/>
              </w:rPr>
            </w:r>
          </w:p>
          <w:p>
            <w:pPr>
              <w:pStyle w:val="Normal"/>
              <w:rPr>
                <w:color w:val="000000"/>
                <w:sz w:val="18"/>
              </w:rPr>
            </w:pPr>
            <w:r>
              <w:rPr>
                <w:color w:val="00000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CPUC investigation into the reasonableness of Southwest Gas' natural gas procurement practices. This case is a result of numerous customer complaints primarily in the San Bernardino County area.  The CPUC received a petition with more than 20,000 signatures.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b/>
                <w:i/>
                <w:i/>
                <w:color w:val="000000"/>
                <w:sz w:val="18"/>
              </w:rPr>
            </w:pPr>
            <w:r>
              <w:rPr>
                <w:color w:val="000000"/>
                <w:sz w:val="18"/>
              </w:rPr>
              <w:t>As required, SWG filed its response explaining the company's procurement costs and practices on July 17.  This included an explanation of how SWG minimized costs and factors that led to increased costs.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R01-03-023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Rulemaking into whether the curtailment and diversion priorities for noncore PG&amp;E and SoCalGas should be changed. At issue is whether natural gas-fired electric generators should be given a higher priority than other noncore gas customers.  The proceeding was subsequently expanded to include storage issues and policies.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Order issued Mar. 15.  Opening comments were filed on or before the Fri. Apr. 6 deadline by the following 10 parties: California Manufacturers &amp; Technology Association - California Industrial Group; City of Palo Alto; ORA/GILEAU/PUC; PanCanadian Energy Services, Inc.; The Utility Reform Network; Ultramar Inc.; Aquila Inc.; Duke energy North America; Wild Goose Storage Inc.; Cogeneration Association of California Energy Producers and Users Coalition Indicated Producers.  A prehearing conference was held Apr. 17.  Additional comments were filed by Pacific Gas and Electric (late), Western Hub Properties, Tractebel Power, Southern California Gas, Southern California Edison and California Generation Coalition.  The Commission determined that no hearing is required and a final decision is expected soon.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FLORIDA</w:t>
            </w:r>
          </w:p>
          <w:p>
            <w:pPr>
              <w:pStyle w:val="Normal"/>
              <w:jc w:val="end"/>
              <w:rPr>
                <w:color w:val="000080"/>
                <w:sz w:val="16"/>
              </w:rPr>
            </w:pPr>
            <w:hyperlink w:anchor="_Hlk522506676">
              <w:r>
                <w:rPr>
                  <w:rStyle w:val="Hyperlink"/>
                  <w:color w:val="000080"/>
                  <w:sz w:val="16"/>
                </w:rPr>
                <w:t>States</w:t>
              </w:r>
            </w:hyperlink>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8"/>
              </w:rPr>
            </w:pPr>
            <w:r>
              <w:rPr>
                <w:color w:val="00000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color w:val="000000"/>
                <w:sz w:val="18"/>
              </w:rPr>
            </w:pPr>
            <w:r>
              <w:rPr>
                <w:color w:val="000000"/>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8"/>
              </w:rPr>
            </w:pPr>
            <w:r>
              <w:rPr>
                <w:b/>
                <w:color w:val="000000"/>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Senate 25R-15D, the House 77R-43D, and the governor's office (Jeb Bush).</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The 2001 Florida Legislature adjourned May 4. </w:t>
            </w:r>
            <w:r>
              <w:rPr>
                <w:b/>
                <w:i/>
                <w:color w:val="0000FF"/>
                <w:sz w:val="18"/>
              </w:rPr>
              <w:t>The governor is expected to call a special session later this month to deal with projected revenue shortfalls.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Anti-Terrorism Initiative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00"/>
                <w:sz w:val="18"/>
              </w:rPr>
            </w:pPr>
            <w:r>
              <w:rPr>
                <w:b/>
                <w:i/>
                <w:color w:val="0000FF"/>
                <w:sz w:val="18"/>
              </w:rPr>
              <w:t xml:space="preserve">The House has created the Select Committee on Security to examine and make recommendations regarding the safety and protection of  the state's citizens and infrastructure. FGT has been notified by committee staff that an appearance before the committee to discuss their emergency response procedures and current security precautions will be requested.  The Senate, meanwhile, created the Select Committee on Public Security and Crisis Management for the similar purposes. Senate staff has also notified FGT an appearance before the committee will be scheduled.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spacing w:lineRule="atLeast" w:line="240"/>
              <w:rPr>
                <w:b/>
                <w:i/>
                <w:i/>
                <w:color w:val="0000FF"/>
                <w:sz w:val="18"/>
              </w:rPr>
            </w:pPr>
            <w:r>
              <w:rPr>
                <w:b/>
                <w:i/>
                <w:color w:val="0000FF"/>
                <w:sz w:val="18"/>
              </w:rPr>
              <w:t>The FGT House committee presentation will be scheduled by staff within  the next three weeks. The initial organizational meeting of the Senate committee will take place on Oct. 10.</w:t>
            </w:r>
          </w:p>
          <w:p>
            <w:pPr>
              <w:pStyle w:val="Normal"/>
              <w:rPr>
                <w:b/>
                <w:i/>
                <w:i/>
                <w:color w:val="0000FF"/>
                <w:sz w:val="18"/>
              </w:rPr>
            </w:pPr>
            <w:r>
              <w:rPr>
                <w:b/>
                <w:i/>
                <w:color w:val="0000FF"/>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18"/>
              </w:rPr>
            </w:pPr>
            <w:r>
              <w:rPr>
                <w:b/>
                <w:color w:val="000000"/>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010265-EI </w:t>
            </w:r>
          </w:p>
          <w:p>
            <w:pPr>
              <w:pStyle w:val="Normal"/>
              <w:rPr>
                <w:color w:val="000000"/>
                <w:sz w:val="18"/>
              </w:rPr>
            </w:pPr>
            <w:r>
              <w:rPr>
                <w:color w:val="00000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Enron Compression Services (ECS) and Gulf Power joint petition asking the Florida Public Service Commission to grant ECS' request for electric service from Gulf.  At present ECS' Washington County compressor station is served by West Florida Electric Cooperative.  There is concern over the coop's ability to serve the load.   </w:t>
            </w:r>
            <w:r>
              <w:rPr>
                <w:b/>
                <w:color w:val="800000"/>
                <w:sz w:val="16"/>
              </w:rPr>
              <w:t xml:space="preserve">(Wilson)    </w:t>
            </w:r>
          </w:p>
        </w:tc>
        <w:tc>
          <w:tcPr>
            <w:tcW w:w="513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GPC and Enron filed a letter waiving the 90-day decision deadline.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010441-EU</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West Florida Electric Cooperative petition to resolve the territorial dispute with Gulf Power Company in Washington County (see 010265-EI).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The final hearing was held on September 19th. Briefs are due 10/10/01, a staff recommendation will be out about 11/9/01 and the case decided at the PSC meeting of 11/19/01. A  WFEC subpoena to FGT has been withdrawn.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10-Year Plans</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PSC workshop to discuss the ten-year site plans submitted by Florida's electric utilities. Utilities will describe their plans, the key assumptions underlying the plans, and the impact of demand side management goals on the plans. The FL Reliability Coordinating Council will present the Peninsular Florida Load and Resource Plan and the Peninsular Florida Reliability Assessment.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workshop was held August 13</w:t>
            </w:r>
            <w:r>
              <w:rPr>
                <w:color w:val="000000"/>
                <w:sz w:val="18"/>
                <w:vertAlign w:val="superscript"/>
              </w:rPr>
              <w:t>th</w:t>
            </w:r>
            <w:r>
              <w:rPr>
                <w:color w:val="000000"/>
                <w:sz w:val="18"/>
              </w:rPr>
              <w:t xml:space="preserve">. The Commission accepted the 10-year site plans submitted by individual Florida electric utilities. In addition, The FRCC Reliability Assessment concluded, from a planning perspective, the peninsular Florida electric system is reliable for the next ten years. The FRCC report included information regarding FGT expansions, capacity and access to supply. Commission staff will submit a final report to the Commission in early December for approval and forwarding to the DEP and DCA.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Performance Based Permitting</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Florida Department of Environmental Protection (DEP) proposed performance-based permitting program. In the 2001 Legislative session, bills were introduced which would have required the Department to consider an applicant's compliance history when reviewing permit applications. The bills spelled out potential consequences, both positive and negative, resulting from this review. The public meeting is intended to foster continuing discussion on how to create and implement a performance-based permitting program.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At a Sept. 5th public meeting DEP staff received primarily negative responses to changing the current permitting process. Staff concluded another meeting may not be necessary, and will monitor the progress of Sen. Rod Smith's performance-based permitting legislation expected to be introduced in January.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w:t>
            </w:r>
            <w:r>
              <w:rPr>
                <w:b/>
                <w:i/>
                <w:color w:val="0000FF"/>
                <w:sz w:val="18"/>
              </w:rPr>
              <w:t>Power Plant Siting</w:t>
            </w:r>
            <w:r>
              <w:rPr>
                <w:color w:val="000000"/>
                <w:sz w:val="18"/>
              </w:rPr>
              <w:t xml:space="preserve"> </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Governor and Cabinet, sitting as the Power Plant Siting Board, is  considering the Recommended Order dated July 23rd, 2001, from the Administrative Law Judge concerning certification of the Curtis H. Stanton Energy Center, Combined Cycle Unit A. The Board  also is considering the Recommended Order dated July 5th, 2001 from the Administrative Law Judge, finding that JEA Brandy Branch Combined Cycle Conversion is in compliance with existing land use and zoning ordinances.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spacing w:lineRule="atLeast" w:line="240"/>
              <w:rPr>
                <w:b/>
                <w:i/>
                <w:i/>
                <w:color w:val="0000FF"/>
                <w:sz w:val="18"/>
              </w:rPr>
            </w:pPr>
            <w:r>
              <w:rPr>
                <w:b/>
                <w:i/>
                <w:color w:val="0000FF"/>
                <w:sz w:val="18"/>
              </w:rPr>
              <w:t xml:space="preserve">The JEA project approval was postponed and remanded to the Administrative Law Judge. A hearing will be held in early December on environmental issues. Currently, the stack height does not comply with local planning regulations and JEA will have to shorten the stack or seek an exemption. A  hearing will occur in February to determine final approval. </w:t>
            </w:r>
          </w:p>
          <w:p>
            <w:pPr>
              <w:pStyle w:val="Normal"/>
              <w:spacing w:lineRule="atLeast" w:line="240"/>
              <w:rPr>
                <w:b/>
                <w:i/>
                <w:i/>
                <w:color w:val="0000FF"/>
                <w:sz w:val="18"/>
              </w:rPr>
            </w:pPr>
            <w:r>
              <w:rPr>
                <w:b/>
                <w:i/>
                <w:color w:val="0000FF"/>
                <w:sz w:val="18"/>
              </w:rPr>
            </w:r>
          </w:p>
          <w:p>
            <w:pPr>
              <w:pStyle w:val="Normal"/>
              <w:rPr>
                <w:b/>
                <w:i/>
                <w:i/>
                <w:color w:val="000000"/>
                <w:sz w:val="18"/>
              </w:rPr>
            </w:pPr>
            <w:r>
              <w:rPr>
                <w:b/>
                <w:i/>
                <w:color w:val="0000FF"/>
                <w:sz w:val="18"/>
              </w:rPr>
              <w:t>The OUC project was approved by the Board.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Rule No. 25-7.72</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Codes of Conduct.  PSC rule development workshop to provide a code of conduct governing natural gas utilities and their affiliates.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schedule is expected to be issued shortly.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Other</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w:t>
            </w:r>
            <w:r>
              <w:rPr>
                <w:b/>
                <w:i/>
                <w:color w:val="0000FF"/>
                <w:sz w:val="18"/>
              </w:rPr>
              <w:t>Florida Energy 2020</w:t>
            </w:r>
            <w:r>
              <w:rPr>
                <w:color w:val="000000"/>
                <w:sz w:val="18"/>
              </w:rPr>
              <w:t xml:space="preserve"> </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governor issued an executive order (Executive Order 2000-127) in May 2000 creating a new commission charged with proposing an energy plan and strategy for Florida.</w:t>
            </w:r>
            <w:r>
              <w:rPr>
                <w:rFonts w:cs="Arial" w:ascii="Arial" w:hAnsi="Arial"/>
              </w:rPr>
              <w:t xml:space="preserve">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The next schedule meeting is set for Oct. 17.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One Call</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Sunshine State One Call of Florida (SSOCOF) workshops to examine various changes to the state one-call statutes. Among the many workshop topics to be considered are excavator definition, pre-marking, penalties, positive response, and abandoned facilities.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rPr>
            </w:pPr>
            <w:r>
              <w:rPr>
                <w:color w:val="000000"/>
                <w:sz w:val="18"/>
              </w:rPr>
              <w:t>On Sept. 21st the SSOCOF Board will determine whether to pursue the statutory changes recommended at various workshops they hosted throughout the state. The primary issues of discussion in the workshops have been; positive response, treatment of abandoned facilities, premarking, and flag removal. The Florida DOT has been actively engaged in the workshops.</w:t>
            </w:r>
          </w:p>
          <w:p>
            <w:pPr>
              <w:pStyle w:val="Normal"/>
              <w:rPr>
                <w:color w:val="000000"/>
                <w:sz w:val="18"/>
              </w:rPr>
            </w:pPr>
            <w:r>
              <w:rPr>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pPr>
            <w:r>
              <w:rPr>
                <w:b/>
                <w:color w:val="000000"/>
                <w:sz w:val="18"/>
              </w:rPr>
              <w:t>ILLINOIS</w:t>
            </w:r>
            <w:r>
              <w:rPr>
                <w:b/>
                <w:color w:val="000000"/>
                <w:sz w:val="16"/>
              </w:rPr>
              <w:t xml:space="preserve"> </w:t>
            </w:r>
          </w:p>
          <w:p>
            <w:pPr>
              <w:pStyle w:val="Normal"/>
              <w:jc w:val="end"/>
              <w:rPr>
                <w:b/>
                <w:color w:val="000080"/>
                <w:sz w:val="16"/>
              </w:rPr>
            </w:pPr>
            <w:hyperlink w:anchor="_Hlk522506676">
              <w:r>
                <w:rPr>
                  <w:rStyle w:val="Hyperlink"/>
                  <w:color w:val="000080"/>
                  <w:sz w:val="16"/>
                </w:rPr>
                <w:t>States</w:t>
              </w:r>
            </w:hyperlink>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Regulatory</w:t>
            </w:r>
          </w:p>
          <w:p>
            <w:pPr>
              <w:pStyle w:val="Normal"/>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00-0620</w:t>
            </w:r>
          </w:p>
          <w:p>
            <w:pPr>
              <w:pStyle w:val="Normal"/>
              <w:rPr>
                <w:color w:val="0000FF"/>
                <w:sz w:val="18"/>
              </w:rPr>
            </w:pPr>
            <w:r>
              <w:rPr>
                <w:color w:val="000000"/>
                <w:sz w:val="18"/>
              </w:rPr>
              <w:t>00-0621</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Nicor Gas filed a request with the Illinois Commerce Commission to expand its Customer Select customer choice pilot program to all of its business and residential customers. The ICC voted to suspend the proposed expansion and initiated hearings about the program. Nicor then filed a plan that would enable customers currently participating in the program to continue until the ICC hearing process is completed</w:t>
            </w:r>
            <w:r>
              <w:rPr>
                <w:color w:val="000000"/>
              </w:rPr>
              <w:t xml:space="preserve">. </w:t>
            </w:r>
            <w:r>
              <w:rPr>
                <w:b/>
                <w:color w:val="800000"/>
                <w:sz w:val="16"/>
              </w:rPr>
              <w:t>(Loeffler)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On May 22, an administrative law judge issued a proposed decision that would continue the program. Among the issues addressed: Nicor must explicitly state that it will not impose a Customer Select OFO unless it imposes similar conditions on all other classes of non-Customer Select transportation customers, as well as on itself. And the order would deny supplier proposals that they be given enhanced access to Nicor storage because they already have 15% flexibility that Nicor says effectively amounts to storage</w:t>
            </w:r>
            <w:r>
              <w:rPr/>
              <w:t>.</w:t>
            </w:r>
          </w:p>
          <w:p>
            <w:pPr>
              <w:pStyle w:val="Normal"/>
              <w:rPr>
                <w:color w:val="000000"/>
                <w:sz w:val="18"/>
              </w:rPr>
            </w:pPr>
            <w:r>
              <w:rPr>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hold the Senate 32R-27D as well as the governor's office (George Ryan).  Democrats maintain power in the House 62D-56R.</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Illinois Legislature adjourned Thu. May 31 but will reconvene for seven days in November.</w:t>
            </w:r>
          </w:p>
        </w:tc>
      </w:tr>
    </w:tbl>
    <w:p>
      <w:pPr>
        <w:pStyle w:val="Normal"/>
        <w:rPr/>
      </w:pPr>
      <w:r>
        <w:br w:type="page"/>
      </w:r>
      <w:r>
        <w:rPr/>
      </w:r>
    </w:p>
    <w:tbl>
      <w:tblPr>
        <w:tblW w:w="14582" w:type="dxa"/>
        <w:jc w:val="start"/>
        <w:tblInd w:w="-72" w:type="dxa"/>
        <w:tblLayout w:type="fixed"/>
        <w:tblCellMar>
          <w:top w:w="0" w:type="dxa"/>
          <w:start w:w="108" w:type="dxa"/>
          <w:bottom w:w="0" w:type="dxa"/>
          <w:end w:w="108" w:type="dxa"/>
        </w:tblCellMar>
      </w:tblPr>
      <w:tblGrid>
        <w:gridCol w:w="1440"/>
        <w:gridCol w:w="1530"/>
        <w:gridCol w:w="6480"/>
        <w:gridCol w:w="5132"/>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IOWA</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IUB rules review pursuant to Executive Order Eight, which requires state agencies to comprehensively review their rules. ET&amp;S and Northern Plains submitted a letter of intent to participate in the following reviews: Chapter 9-Protection of Underground Improvements/Restoration After Pipeline Construction, Chapter 12-Interstate Natural Gas Pipelines &amp; Underground Storage, New Chapter 14-Pipeline Permit Proceeding Rules (NNG participated in some workshops on this in 1995 but no rules were ever proposed or adopted), Chapter 19-Service supplied by Gas Utilities, Chapter 15-Cogeneration and Small Power Production, Chapter 24-Location and Construction of Electric Generating Facilities.</w:t>
            </w:r>
            <w:r>
              <w:rPr>
                <w:b/>
                <w:color w:val="800000"/>
                <w:sz w:val="16"/>
              </w:rPr>
              <w:t xml:space="preserve"> (Stanton)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NNG continues to monitor these proposals and comments being filed on them.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INU-00-6</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Iowa Utilities Board investigation into the gas procurement and allocation practices and procedures of Iowa's regulated public utilities (IES Utilities, Interstate Power, MidAmerican Energy, Peoples Natural Gas, and United Cities Gas).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order gave LDCs until May 1 to respond to a series of 15 questions.  Northern filed a motion to intervene Apr. 5.  Northern's motion to intervene was granted Apr. 17.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NOI-98-3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Established workshops on small volume natural gas (SVG) transportation filings, which resulted from rules adopted in October 1997 (RMU-96-12).  These rules allowed LDCs to file individual plans in lieu of tariffs required under the rules (Iowa Administrative Code 199-19.13(4)"e" (1999).  Issues included the following: customer education, standards of conduct, marketer certification, market roles, consumer protection, price setting, public benefits, implementation, and transition costs. 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 Mar. 2000 the IUB found that LDCs' SVG plans, which were the basis of this NOI, were not satisfactory and closed all of those dockets.  In August the Board ordered Iowa LDCs to file draft tariffs and suggested an existing school district transportation pilot program as a model.  The draft tariffs were filed in early October.  MidAm filed comments suggesting that the IUB abandon this effort since electricity restructuring appears to be a dead issue in Iowa for some time to come. The company said marketers would be less likely to come to an open Iowa natural gas market if they can go to other jurisdictions that offer both open natural gas and electric markets.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RMU-99-10</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On Jan. 10, 2001 the Board issued an order adopting the proposed rules with modifications.  Northern and Northern Border met with IUB legal and environmental staff Jun. 13 to notify them a court challenge of the law and rules was imminent.  A complaint was filed in U.S. District Court on Aug. 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House 56R-44D as well as the Senate 30R-20D.  Democrats hold the governor's office (Tom Vilsack).</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2001 Iowa Legislature adjourned Tue. May 8.  A special session was held Jun. 19.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KANSAS</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rule the Senate 30R-10D, the House 79R-46D and hold the governor's office (Bill Graves).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The 2001 Kansas Legislature formally adjourned May 31.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Natural Gas Prices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An interim legislative committee has been authorized to study natural gas price issues. </w:t>
            </w:r>
            <w:r>
              <w:rPr>
                <w:b/>
                <w:color w:val="800000"/>
                <w:sz w:val="16"/>
              </w:rPr>
              <w:t>(Loeffler)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Seven days have been authorized for hearings and testimony.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99-GIMG-068-GIG</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Kansas Corporation Commission general investigation to establish policies for distribution of Kansas ad valorem tax refunds from interstate pipelines to Kansas jurisdictional direct retail sales customers.  Staff believes that the FERC refund order did not address non-FERC jurisdiction refunds and that pipelines might "attempt to retain" refunds due Kansas direct retail sales customers.   </w:t>
            </w:r>
            <w:r>
              <w:rPr>
                <w:b/>
                <w:color w:val="800000"/>
                <w:sz w:val="16"/>
              </w:rPr>
              <w:t>(Loeffler)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NNG filed comments in Nov. 1999 stating its position that the KCC has no jurisdiction and that during the time period for which ad valorem tax refunds are claimed Northern did not engage in direct sales to Kansas jurisdictional customers.  In July 2000 </w:t>
            </w:r>
            <w:r>
              <w:rPr>
                <w:sz w:val="18"/>
              </w:rPr>
              <w:t xml:space="preserve">the KCC issued an order dismissing Northern from this proceeding </w:t>
            </w:r>
            <w:r>
              <w:rPr>
                <w:color w:val="000000"/>
                <w:sz w:val="18"/>
              </w:rPr>
              <w:t>based on Northern's affidavit that it did not engage in direct sales during the period in question.  The Commission rescinded this order in Oct. saying there was some evidence Northern may have made direct sales after all.  An NNG request for reconsideration was rejected Dec. 11.  On Apr. 5 the KCC granted a ONEOK motion to compel Northern to answer certain data requests.  The previously adopted procedural schedule was suspended and a prehearing conference was set for May 16 to establish new testimony and hearing dates.  Northern filed Apr. 20 a motion for reconsideration of the data request ruling.  ONEOK filed a response May 7 urging the Commission to reject Northern's motion.  At the May 16</w:t>
            </w:r>
            <w:r>
              <w:rPr>
                <w:color w:val="000000"/>
                <w:sz w:val="18"/>
                <w:vertAlign w:val="superscript"/>
              </w:rPr>
              <w:t>th</w:t>
            </w:r>
            <w:r>
              <w:rPr>
                <w:color w:val="000000"/>
                <w:sz w:val="18"/>
              </w:rPr>
              <w:t xml:space="preserve"> prehearing conference the following new procedural schedule was set: staff testimony due Sep. 21, company testimony due Oct. 12, hearings begin Dec. 11.  On May 21 the KCC denied Northern's motion for reconsideration.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Natural Gas Storage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Kansas Department of Health and Environment (KDHE) and Kansas Corporation Commission  rulemakings to implement the provision HB 2000 passed by the 2001 Kansas Legislature.The KDHE is addressing natural gas storage in salt mines and the KCC is working on regulations for porosity storage.   </w:t>
            </w:r>
            <w:r>
              <w:rPr>
                <w:b/>
                <w:color w:val="800000"/>
                <w:sz w:val="16"/>
              </w:rPr>
              <w:t>(Loeffler)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b/>
                <w:i/>
                <w:color w:val="0000FF"/>
                <w:sz w:val="18"/>
              </w:rPr>
              <w:t>The KCC has backed away from a proposal to require retrofitting of existing porosity wells with double casings.  A conference call will be held next Oct. 2 between the KCC and representatives of the natural gas storage industry.  The KCC is expected to announce the formation of subcommittees to examine specific issues and to assist in the drafting of proposed regulations.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MICHIGAN</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both chambers ( House 59R-51D, and Senate 23R-15D) as well as the governor's office (John Engler).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2001 Michigan Legislature opened Wed., Jan.10</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U-12550</w:t>
            </w:r>
          </w:p>
        </w:tc>
        <w:tc>
          <w:tcPr>
            <w:tcW w:w="648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rPr>
            </w:pPr>
            <w:r>
              <w:rPr>
                <w:color w:val="000000"/>
                <w:sz w:val="18"/>
              </w:rPr>
              <w:t xml:space="preserve">The Michigan PSC in August 2000 scheduled four public meetings designed to "take the next step" to provide choice to all Michigan natural gas customers.  The Commission directed its staff to collaborate with the state's largest LDCs and all interested persons to develop choice programs for all residential and business customers. An Oct. 2000 order adopted larger LDCs' permanent customer choice plans, exempted small utilities (including Xcel and Peninsular) from plan-filing requirements (but encouraged them to voluntarily develop choice plans on their own timetable) and initiated an additional proceeding for the two medium sized utilities, SEMCO and Michigan Gas Utilities.  On Jan. 16 the MPUC invited comments on proposals submitted by SEMCO and MGU.  Northern filed comments Feb. 1 and again on Jul. 20.  </w:t>
            </w:r>
            <w:r>
              <w:rPr>
                <w:b/>
                <w:color w:val="800000"/>
                <w:sz w:val="16"/>
              </w:rPr>
              <w:t>(Stanton)</w:t>
            </w:r>
          </w:p>
          <w:p>
            <w:pPr>
              <w:pStyle w:val="Normal"/>
              <w:rPr>
                <w:color w:val="000000"/>
                <w:sz w:val="18"/>
              </w:rPr>
            </w:pPr>
            <w:r>
              <w:rPr>
                <w:color w:val="000000"/>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At a PSC collaborative meeting on Aug. 2 marketers said they had no problem with staff and LDC proposals that marketers would have to show that they held adequate pipeline capacity during the winter to serve their customers.  But they began expressing concern when staff and the LDCs said they wanted a 100% firm capacity showing for all winter months, November through March.  There was further marketer concern over the staff's position that the capacity showing would also have to include an allowance for colder than normal weather, just like the LDCs. On Aug. 14 MPSC staff issued a request for comments on questions related to the remaining unresolved issues.  On Aug. 28 Northern filed comments saying that staff-proposed compromises, if agreed to by LDCs and Suppliers, would adequately address Northern's concerns related to pipeline capacity planning.   </w:t>
            </w:r>
            <w:r>
              <w:rPr>
                <w:b/>
                <w:i/>
                <w:color w:val="0000FF"/>
                <w:sz w:val="18"/>
              </w:rPr>
              <w:t>A staff report issued Sep. 27 made several recommendations to be submitted to the Commission, including one that SEMCO release pipeline capacity to suppliers on a recallable basis.  Comments on the staff report are due by Oct. 11.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U-13077</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 xml:space="preserve">SEMCO filing to extend its experimental pilot program for residential customer choice through March 2005.  This would be an alternative to any proposal that might come out of the MI PSC's mid-sized LDC expanded customer choice forums (see U-12550).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Prehearing conference set for Oct. 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MINNESOTA</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2000 Demand Entitlement Filings</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 demand entitlement change filing is required when a LDC increases or decreases pipeline demand entitlement, redistributes demand percentages among classes, or if one form of demand is exchanged for another. Docket numbers are as follows: Alliant Utilities G001/M-00-1473; Peoples G011/M-00-1449; NMU G007/M-00-1450; Reliant Energy G008/M-00-1471; Xcel Energy G002/M-00-1459.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Filed Nov. 1.  Alliant filing approved Jan 18.  The MN DOC recommended NMU's and Peoples' filings be approved, but that any allocated penalties resulting from UCU's negative reserve margin in Northern Zone D be deferred for future review.  Reliant's filing was approved at the Jun. 7 MPUC energy meeting.  </w:t>
            </w:r>
            <w:r>
              <w:rPr>
                <w:b/>
                <w:i/>
                <w:color w:val="0000FF"/>
                <w:sz w:val="18"/>
              </w:rPr>
              <w:t>Xcel's, Peoples' and NMU's filings are on the PUC's Oct. 11 meeting energy agenda.</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E,G999/DI-99-1073</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work group proceeding requested by the MPUC’s order in Docket No. E,G999/CI-99-687, which called for the DOC to investigate unbundling.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work groups concluded in Nov. 1999.  In Sept.  2000 the Dept. concluded that restructuring is not in the public interest and announced a new electricity reliability plan called "Keeping the Lights On."  The four main components of the plan are as follows: (1) establishing a statewide energy resource plan and streamlining the approval process for generation and transmission, (2) increasing efficiency of conservation programs, (3) promoting increase use of renewables and distributed generation, and (4) measures to encourage wholesale competition.  NNG filed comments Nov. 1 stressing its ability as a pipeline to serve substantial amounts of new natural gas fired electric generation in Minnesota.  Legislation to further this program was introduced in the 2001 Legislature.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G007,011/</w:t>
            </w:r>
          </w:p>
          <w:p>
            <w:pPr>
              <w:pStyle w:val="Normal"/>
              <w:rPr>
                <w:color w:val="000000"/>
                <w:sz w:val="18"/>
              </w:rPr>
            </w:pPr>
            <w:r>
              <w:rPr>
                <w:color w:val="000000"/>
                <w:sz w:val="18"/>
              </w:rPr>
              <w:t>CI-01-501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PUC investigation of UtiliCorp gas purchasing issues raised in an anonymous letter to the MN PUC (and other state regulatory commissions) last fall.  The Department of Commerce (DOC) is conducting the investigation and has said it may expand its scope to include how pipeline capacity cost discounts are allocated.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docket was opened Apr. 5.  The DOC will submit quarterly updates on the results of its investigation.  No date was set for the submission of the first report.  Northern filed a motion to intervene in this docket Apr. 25.</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state has a tri-party system with Republicans controlling the House 69R-65D, Democrats ruling the Senate 39D-27R-I1, and the Independence party (Gov. Jesse Ventura changed from the Reform party) holding the governor's office.</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Minnesota Legislature adjourned Mon. May 21.  The governor called a special session that began June 11 to address tax and budget issues left unresolved during the regular session.  It concluded June 30.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Other</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Compressor fuel tax</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800000"/>
                <w:sz w:val="16"/>
              </w:rPr>
              <w:t xml:space="preserve">(Stanton) </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Enron tax department presented to the DOR in Dec. 1998 the reasons the company believes NNG is not subject to this tax.  In Nov. 1999 an additional argument was presented noting natural gas industry parallels to the "integrated plant theory," which allows Minnesota electric utilities to basically avoid 100% of the MN sales and use tax.  The MN Tax Court ruled Nov. 2000 in a Great Lakes pipeline case that compressor fuel is not subject to sales/use tax.  The Dept. of Revenue on Apr. 6 appealed that court decision.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NEBRASKA</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control the nonpartisan Unicameral 28R-18D-3I as well as the governor's office (Mike Johanns).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Unicameral adjourned Thu. May 31.  The governor has called a special session for late October to address revenue shortfall issues.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274</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This legislative resolution passed by the 2001 Unicameral authorized an interim study of issues related to municipal natural gas regulation. A consultant's report on the state's existing system of regulation led to the introduction of LB 806 and LB 807 in the 2001 session. This study would involve a review of those issues currently before the Urban Affairs Committee and the development of a program for effective natural gas regulation in Nebraska, based upon the consultant's report and the amendments to LB 806 proposed at committee hearings on February 27 and March 6.  The goal is to draft new legislation for introduction in 2002. </w:t>
            </w:r>
            <w:r>
              <w:rPr>
                <w:b/>
                <w:color w:val="800000"/>
                <w:sz w:val="16"/>
              </w:rPr>
              <w:t>(Loeffler)</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Urban Affairs Committee has scheduled a public hearing for Oct. 2 in Gering.</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NEW MEXICO</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House 42D-28R as well as the Senate 24D-18R. The governor's office is Republican (Gary Johnson).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New Mexico's 2001 session opened Tue., Jan. 16.   The 2001 session concluded Mar. 17.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NM PRC Review</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Legislative subcommittee review of the Public Regulatory Commission's (PRC) structure and authority.  Three state representatives and three senators will conduct hearings with members of the public and industry representatives regulated by the PRC, which was formed in 1998 by combining the Public Utility Commission and State Corporation Commission. Critics have charged the PRC has too much authority and more responsibility than it can handle.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Recommended changes will be introduced in the 2002 legislature</w:t>
            </w:r>
            <w:r>
              <w:rPr>
                <w:rFonts w:cs="Arial" w:ascii="Arial" w:hAnsi="Arial"/>
                <w:color w:val="000000"/>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Pipeline Capacity</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An interim legislative subcommittee has been formed to help determine whether the state should help finance a pipeline to move gas east.  Given the lack of pipeline capacity out of the northwestern portion of New Mexico, prices and production have been depressed.  It appears this is a follow-up to a similar study done in 1996 to link northern and southern pipelines. </w:t>
            </w:r>
            <w:r>
              <w:rPr>
                <w:b/>
                <w:color w:val="800000"/>
                <w:sz w:val="16"/>
              </w:rPr>
              <w:t>(Hass)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TW will provide the legislators with information on its Sun Devil project.  The possibility of making a presentation to key legislators is being considered.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01-121-PL</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Notice of Inquiry to study pipeline safety in the wake of the pipeline explosion near Carlsbad.  Inquiry into whether the Commission should consider new rules to ensure pipeline systems integrity.</w:t>
            </w:r>
            <w:r>
              <w:rPr>
                <w:b/>
                <w:color w:val="800000"/>
                <w:sz w:val="16"/>
              </w:rPr>
              <w:t xml:space="preserve"> (Hass)</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Written comments were due June 29, 2001.  ETS filed comments.  Public meetings were set for Sep. 12 at Farmington, Oct. 10 at Hobbs, and Oct. 11 at Carlsbad.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SO. DAKOTA</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Republicans rule the House 50R-20D and the Senate 24R-11D.  The Republicans (William Janklow) hold the governor's office.</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South Dakota Legislative session concluded Mar. 21.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color w:val="000000"/>
                <w:sz w:val="18"/>
              </w:rPr>
            </w:pPr>
            <w:r>
              <w:rPr>
                <w:b/>
                <w:color w:val="000000"/>
                <w:sz w:val="18"/>
              </w:rPr>
              <w:t>WISCONSIN</w:t>
            </w:r>
          </w:p>
          <w:p>
            <w:pPr>
              <w:pStyle w:val="Normal"/>
              <w:jc w:val="end"/>
              <w:rPr>
                <w:b/>
                <w:color w:val="000080"/>
                <w:sz w:val="16"/>
              </w:rPr>
            </w:pPr>
            <w:hyperlink w:anchor="_Hlk522506676">
              <w:r>
                <w:rPr>
                  <w:rStyle w:val="Hyperlink"/>
                  <w:color w:val="000080"/>
                  <w:sz w:val="16"/>
                </w:rPr>
                <w:t>States</w:t>
              </w:r>
            </w:hyperlink>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80"/>
                <w:sz w:val="18"/>
              </w:rPr>
            </w:pPr>
            <w:r>
              <w:rPr>
                <w:b/>
                <w:color w:val="00008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4220-GI-101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Investigation into the complaint of Midwest Natural Gas against Northern States Power Company regarding NSP-W's service extension practices.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Prehearing conference Aug. 27.</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6650-CG-206</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Application to construct pipelines from a Viking Gas Transmission interconnection in the town of Otter Creek, Dunn County, to Rice Lake, in Barron County.  WGC says the project would bring an additional source of gas from Viking pipeline to meet growth requirements the company says can not be met by present NNG capacity serving the area.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Jan. 31.  Notice issued Aug. 7</w:t>
            </w:r>
            <w:r>
              <w:rPr>
                <w:color w:val="000000"/>
                <w:sz w:val="18"/>
                <w:vertAlign w:val="superscript"/>
              </w:rPr>
              <w:t>th</w:t>
            </w:r>
            <w:r>
              <w:rPr>
                <w:color w:val="000000"/>
                <w:sz w:val="18"/>
              </w:rPr>
              <w:t xml:space="preserve"> for comments on environmental aspects of the project.</w:t>
            </w:r>
          </w:p>
          <w:p>
            <w:pPr>
              <w:pStyle w:val="Normal"/>
              <w:rPr>
                <w:color w:val="000000"/>
                <w:sz w:val="18"/>
              </w:rPr>
            </w:pPr>
            <w:r>
              <w:rPr>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6650-CG-210</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to purchase Northern's Eagle Lateral Pipeline.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Aug. 24.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6680-UR-111</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Alliant Energy rate case seeking $113 million increase for its Wisconsin Power &amp; Light subsidiary.  The natural gas portion of the filing asks for $26.1 million.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Aug. 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St. Croix County Service Applications</w:t>
            </w:r>
          </w:p>
          <w:p>
            <w:pPr>
              <w:pStyle w:val="Normal"/>
              <w:rPr>
                <w:color w:val="000000"/>
                <w:sz w:val="18"/>
              </w:rPr>
            </w:pPr>
            <w:r>
              <w:rPr>
                <w:color w:val="000000"/>
                <w:sz w:val="18"/>
              </w:rPr>
              <w:t>3670-CG-114</w:t>
            </w:r>
          </w:p>
          <w:p>
            <w:pPr>
              <w:pStyle w:val="Normal"/>
              <w:rPr>
                <w:color w:val="000000"/>
                <w:sz w:val="18"/>
              </w:rPr>
            </w:pPr>
            <w:r>
              <w:rPr>
                <w:color w:val="000000"/>
                <w:sz w:val="18"/>
              </w:rPr>
              <w:t>4220-CG-130</w:t>
            </w:r>
          </w:p>
          <w:p>
            <w:pPr>
              <w:pStyle w:val="Normal"/>
              <w:rPr>
                <w:color w:val="000000"/>
                <w:sz w:val="18"/>
              </w:rPr>
            </w:pPr>
            <w:r>
              <w:rPr>
                <w:color w:val="000000"/>
                <w:sz w:val="18"/>
              </w:rPr>
              <w:t>4220-CG-131</w:t>
            </w:r>
          </w:p>
          <w:p>
            <w:pPr>
              <w:pStyle w:val="Normal"/>
              <w:rPr>
                <w:color w:val="000000"/>
                <w:sz w:val="18"/>
              </w:rPr>
            </w:pPr>
            <w:r>
              <w:rPr>
                <w:color w:val="000000"/>
                <w:sz w:val="18"/>
              </w:rPr>
              <w:t>5230-CG-102</w:t>
            </w:r>
          </w:p>
          <w:p>
            <w:pPr>
              <w:pStyle w:val="Normal"/>
              <w:rPr>
                <w:color w:val="000000"/>
                <w:sz w:val="18"/>
              </w:rPr>
            </w:pPr>
            <w:r>
              <w:rPr>
                <w:color w:val="00000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Competing applications by NSP-W (Docket Nos. 4220-CG-130 &amp; 4220-CG-131), Midwest Natural Gas (Docket No. 3670-CG-114) &amp; St. Croix Valley Natural Gas (Docket No. 5230-CG-102) to serve Kinnickinnic in St. Croix County, which is an area of anticipated high growth in western Wisconsin just across the river from the Minneapolis-St. Paul metropolitan area.  Kinnickinnic is also one of the towns involved in a separate Wisconsin Gas Company proposal (Docket No. 6650-CG-205) to extend its system to transport gas off Viking pipeline to these three LDCs.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Prehearing conference held Feb. 8.  The companies filed updated costs estimates and other information on Mar. 2. Hearings were held May 21 and 22.  At the outset of the hearings Midwest amended its application to serve only the eastern half of Kinnickinnic, leaving the western half to NSP-W.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color w:val="000000"/>
                <w:sz w:val="18"/>
              </w:rPr>
            </w:pPr>
            <w:r>
              <w:rPr>
                <w:b/>
                <w:color w:val="000000"/>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hold the Senate 18D-15R, Republicans the House 56R-43D.  The governor's office is in Republican hands (Scott McCallum).</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2001 Wisconsin Legislature began Wed., Jan. 3.</w:t>
            </w:r>
          </w:p>
        </w:tc>
      </w:tr>
    </w:tbl>
    <w:p>
      <w:pPr>
        <w:pStyle w:val="Normal"/>
        <w:rPr/>
      </w:pPr>
      <w:r>
        <w:rPr/>
      </w:r>
    </w:p>
    <w:sectPr>
      <w:headerReference w:type="default" r:id="rId2"/>
      <w:headerReference w:type="first" r:id="rId3"/>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10/1/2001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finitionTerm">
    <w:name w:val="Definition Term"/>
    <w:basedOn w:val="Normal"/>
    <w:next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2001-10-05T19:40:00Z</dcterms:created>
  <dc:creator>ET&amp;S Field Support</dc:creator>
  <dc:description/>
  <dc:language>en-CA</dc:language>
  <cp:lastModifiedBy>jbutler</cp:lastModifiedBy>
  <cp:lastPrinted>2001-09-14T14:45:00Z</cp:lastPrinted>
  <dcterms:modified xsi:type="dcterms:W3CDTF">2001-10-05T19:40:00Z</dcterms:modified>
  <cp:revision>2</cp:revision>
  <dc:subject/>
  <dc:title>Northern Natural Gas Company</dc:title>
</cp:coreProperties>
</file>