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FF"/>
        </w:rPr>
      </w:pPr>
      <w:r>
        <w:rPr/>
        <w:t>Enron Transportation and Storage Company</w:t>
      </w:r>
    </w:p>
    <w:p>
      <w:pPr>
        <w:pStyle w:val="Normal"/>
        <w:tabs>
          <w:tab w:val="clear" w:pos="720"/>
          <w:tab w:val="left" w:pos="4770" w:leader="none"/>
        </w:tabs>
        <w:jc w:val="center"/>
        <w:rPr/>
      </w:pPr>
      <w:r>
        <w:rPr>
          <w:b/>
          <w:color w:val="000000"/>
        </w:rPr>
        <w:t>Government</w:t>
      </w:r>
      <w:r>
        <w:rPr>
          <w:b/>
          <w:color w:val="0000FF"/>
        </w:rPr>
        <w:t xml:space="preserve"> </w:t>
      </w:r>
      <w:r>
        <w:rPr>
          <w:b/>
          <w:color w:val="000000"/>
        </w:rPr>
        <w:t>Affairs</w:t>
      </w:r>
      <w:r>
        <w:rPr>
          <w:b/>
        </w:rPr>
        <w:t xml:space="preserve"> Report</w:t>
      </w:r>
    </w:p>
    <w:p>
      <w:pPr>
        <w:pStyle w:val="Normal"/>
        <w:jc w:val="center"/>
        <w:rPr/>
      </w:pPr>
      <w:r>
        <w:rPr/>
        <w:t xml:space="preserve">3/3/2000 </w:t>
      </w:r>
    </w:p>
    <w:tbl>
      <w:tblPr>
        <w:tblW w:w="14582" w:type="dxa"/>
        <w:jc w:val="start"/>
        <w:tblInd w:w="-72" w:type="dxa"/>
        <w:tblLayout w:type="fixed"/>
        <w:tblCellMar>
          <w:top w:w="0" w:type="dxa"/>
          <w:start w:w="108" w:type="dxa"/>
          <w:bottom w:w="0" w:type="dxa"/>
          <w:end w:w="108" w:type="dxa"/>
        </w:tblCellMar>
      </w:tblPr>
      <w:tblGrid>
        <w:gridCol w:w="1440"/>
        <w:gridCol w:w="1073"/>
        <w:gridCol w:w="457"/>
        <w:gridCol w:w="6341"/>
        <w:gridCol w:w="1"/>
        <w:gridCol w:w="5268"/>
        <w:gridCol w:w="1"/>
        <w:gridCol w:w="1"/>
      </w:tblGrid>
      <w:tr>
        <w:trPr/>
        <w:tc>
          <w:tcPr>
            <w:tcW w:w="2513" w:type="dxa"/>
            <w:gridSpan w:val="2"/>
            <w:tcBorders/>
          </w:tcPr>
          <w:p>
            <w:pPr>
              <w:pStyle w:val="Normal"/>
              <w:rPr>
                <w:b/>
              </w:rPr>
            </w:pPr>
            <w:r>
              <w:rPr>
                <w:b/>
                <w:sz w:val="16"/>
              </w:rPr>
              <w:t>KEY</w:t>
            </w:r>
          </w:p>
          <w:p>
            <w:pPr>
              <w:pStyle w:val="Normal"/>
              <w:rPr>
                <w:color w:val="0000FF"/>
                <w:sz w:val="18"/>
              </w:rPr>
            </w:pPr>
            <w:r>
              <w:rPr>
                <w:color w:val="0000FF"/>
                <w:sz w:val="16"/>
              </w:rPr>
              <w:t>*</w:t>
            </w:r>
            <w:r>
              <w:rPr>
                <w:sz w:val="16"/>
              </w:rPr>
              <w:t xml:space="preserve">  </w:t>
            </w:r>
            <w:r>
              <w:rPr>
                <w:color w:val="0000FF"/>
                <w:sz w:val="16"/>
              </w:rPr>
              <w:t>= Updated item</w:t>
            </w:r>
          </w:p>
          <w:p>
            <w:pPr>
              <w:pStyle w:val="Normal"/>
              <w:rPr/>
            </w:pPr>
            <w:r>
              <w:rPr>
                <w:color w:val="0000FF"/>
                <w:sz w:val="16"/>
              </w:rPr>
              <w:t>**  =</w:t>
            </w:r>
            <w:r>
              <w:rPr>
                <w:color w:val="0000FF"/>
                <w:sz w:val="18"/>
              </w:rPr>
              <w:t xml:space="preserve"> </w:t>
            </w:r>
            <w:r>
              <w:rPr>
                <w:color w:val="0000FF"/>
                <w:sz w:val="16"/>
              </w:rPr>
              <w:t>New item</w:t>
            </w:r>
          </w:p>
          <w:p>
            <w:pPr>
              <w:pStyle w:val="Normal"/>
              <w:rPr>
                <w:b/>
                <w:sz w:val="16"/>
              </w:rPr>
            </w:pPr>
            <w:r>
              <w:rPr>
                <w:b/>
                <w:i/>
                <w:color w:val="0000FF"/>
                <w:sz w:val="18"/>
              </w:rPr>
              <w:t>Bold Italics</w:t>
            </w:r>
            <w:r>
              <w:rPr>
                <w:b/>
                <w:i/>
                <w:color w:val="0000FF"/>
                <w:sz w:val="16"/>
              </w:rPr>
              <w:t xml:space="preserve"> = new information</w:t>
            </w:r>
          </w:p>
        </w:tc>
        <w:tc>
          <w:tcPr>
            <w:tcW w:w="12067" w:type="dxa"/>
            <w:gridSpan w:val="4"/>
            <w:tcBorders/>
          </w:tcPr>
          <w:p>
            <w:pPr>
              <w:pStyle w:val="Normal"/>
              <w:rPr>
                <w:sz w:val="16"/>
              </w:rPr>
            </w:pPr>
            <w:r>
              <w:rPr>
                <w:b/>
                <w:color w:val="000000"/>
                <w:sz w:val="16"/>
              </w:rPr>
              <w:t>Primary Contacts</w:t>
            </w:r>
            <w:r>
              <w:rPr>
                <w:b/>
                <w:sz w:val="16"/>
              </w:rPr>
              <w:t>:</w:t>
            </w:r>
          </w:p>
          <w:p>
            <w:pPr>
              <w:pStyle w:val="Normal"/>
              <w:rPr/>
            </w:pPr>
            <w:r>
              <w:rPr>
                <w:b/>
                <w:color w:val="000080"/>
                <w:sz w:val="16"/>
              </w:rPr>
              <w:t>Aron</w:t>
            </w:r>
            <w:r>
              <w:rPr>
                <w:b/>
                <w:sz w:val="16"/>
              </w:rPr>
              <w:t xml:space="preserve"> </w:t>
            </w:r>
            <w:r>
              <w:rPr>
                <w:sz w:val="16"/>
              </w:rPr>
              <w:t>= Tim Aron @ 402-398-7332</w:t>
            </w:r>
          </w:p>
          <w:p>
            <w:pPr>
              <w:pStyle w:val="Normal"/>
              <w:rPr/>
            </w:pPr>
            <w:r>
              <w:rPr>
                <w:b/>
                <w:color w:val="000080"/>
                <w:sz w:val="16"/>
              </w:rPr>
              <w:t>Stanton</w:t>
            </w:r>
            <w:r>
              <w:rPr>
                <w:sz w:val="16"/>
              </w:rPr>
              <w:t xml:space="preserve"> =  Lon Stanton @  612-887-1777</w:t>
            </w:r>
          </w:p>
          <w:p>
            <w:pPr>
              <w:pStyle w:val="Normal"/>
              <w:rPr>
                <w:b/>
                <w:sz w:val="16"/>
              </w:rPr>
            </w:pPr>
            <w:r>
              <w:rPr>
                <w:b/>
                <w:color w:val="000080"/>
                <w:sz w:val="16"/>
              </w:rPr>
              <w:t xml:space="preserve">Wilson  </w:t>
            </w:r>
            <w:r>
              <w:rPr>
                <w:color w:val="000000"/>
                <w:sz w:val="16"/>
              </w:rPr>
              <w:t>= Rob Wilson @ 402-398-7103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STATE</w:t>
            </w:r>
          </w:p>
          <w:p>
            <w:pPr>
              <w:pStyle w:val="Normal"/>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 xml:space="preserve">REFERENCE </w:t>
            </w:r>
          </w:p>
        </w:tc>
        <w:tc>
          <w:tcPr>
            <w:tcW w:w="6341"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ISSUE AND CONTACT</w:t>
            </w:r>
          </w:p>
          <w:p>
            <w:pPr>
              <w:pStyle w:val="Normal"/>
              <w:jc w:val="center"/>
              <w:rPr>
                <w:b/>
                <w:sz w:val="18"/>
              </w:rPr>
            </w:pPr>
            <w:r>
              <w:rPr>
                <w:b/>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STATUS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ARIZONA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 xml:space="preserve"> </w:t>
            </w:r>
            <w:r>
              <w:rPr>
                <w:color w:val="000000"/>
                <w:sz w:val="18"/>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House (40R-20D) and the Senate (16R-14D). </w:t>
            </w:r>
            <w:r>
              <w:rPr>
                <w:b/>
                <w:color w:val="000080"/>
                <w:sz w:val="16"/>
              </w:rPr>
              <w:t>(Aron)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Arizona Legislature began a 100-day session January 10</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CALIFORNIA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R98-01-011</w:t>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CPUC rulemaking to assess the current market and regulatory framework for California’s natural gas industry and to adopt reforms that emphasize market-oriented policies that will benefit all California natural gas consumers. </w:t>
            </w:r>
            <w:r>
              <w:rPr>
                <w:b/>
                <w:color w:val="000080"/>
                <w:sz w:val="16"/>
              </w:rPr>
              <w:t xml:space="preserve">(Aron)                                           </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A prehearing conference was held February 7</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Democrats control the governor’s office, the House (47D-32R-1I) and the Senate (25D-15R).  </w:t>
            </w:r>
            <w:r>
              <w:rPr>
                <w:b/>
                <w:color w:val="000080"/>
                <w:sz w:val="16"/>
              </w:rPr>
              <w:t>(Aron)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California Legislature began January 3 and runs until August 31.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ILLINOIS</w:t>
            </w:r>
            <w:r>
              <w:rPr>
                <w:b/>
                <w:color w:val="000080"/>
                <w:sz w:val="16"/>
              </w:rPr>
              <w:t xml:space="preserve"> </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p>
            <w:pPr>
              <w:pStyle w:val="Normal"/>
              <w:jc w:val="end"/>
              <w:rPr>
                <w:b/>
                <w:sz w:val="18"/>
              </w:rPr>
            </w:pPr>
            <w:r>
              <w:rPr>
                <w:b/>
                <w:sz w:val="18"/>
              </w:rPr>
            </w:r>
          </w:p>
          <w:p>
            <w:pPr>
              <w:pStyle w:val="Normal"/>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Unbundling</w:t>
            </w:r>
          </w:p>
          <w:p>
            <w:pPr>
              <w:pStyle w:val="Normal"/>
              <w:rPr>
                <w:color w:val="000000"/>
                <w:sz w:val="18"/>
              </w:rPr>
            </w:pPr>
            <w:r>
              <w:rPr>
                <w:color w:val="000000"/>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Illinois Commerce Commission (ICC) is considering expanding transportation options to smaller customers. In early 1997 the ICC’s Gas Policy Committee heard the views of staff, LDCs, pipelines, marketers and others.  ET&amp;S filed comments similar to those filed in other states addressing present and future adequate pipeline capacity issues.  </w:t>
            </w:r>
            <w:r>
              <w:rPr>
                <w:b/>
                <w:color w:val="000080"/>
                <w:sz w:val="16"/>
              </w:rPr>
              <w:t>(Wilson)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ICC workshops were held in August 1997 and in Oct. 1997 the Gas Policy Committee reported to the General Assembly possible legislative changes to facilitate unbundling.  No legislative action was taken.  Illinois LDCs outlined their plans and schedules for opening up their systems to supplier choice for all customers at a Gas Policy Committee meeting in Sept. 1998 in Springfield. Nicor gas said it is preparing for choice for all customers at the end of its three-year pilot, which began in May, 1998.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and the Senate (32R-27D).  Democrats control the House (62D-56R).  </w:t>
            </w:r>
            <w:r>
              <w:rPr>
                <w:b/>
                <w:color w:val="000080"/>
                <w:sz w:val="16"/>
              </w:rPr>
              <w:t>(Wilson)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Illinois Legislature’s 2000 session convened on Jan. 12</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IOWA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INU-00-1</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review of its rules pursuant to Executive Order Eight.  Last September, the governor issued Executive Order Eight, which requires state agencies  to comprehensively review their rules according to criteria in the order.  The Board must submit a plan for review to the governor’s office by March 1, 2000. The plan calls for the review of the rules to be done on a chapter-by-chapter basis and groups the chapters to be reviewed into five groups to be dealt with on various timetables.   Safety and engineering rule change proposals, including protection of underground improvements and restoration after pipeline construction, will be circulated for comment about July 1, 2000.  Electric and gas utility rule changes will be proposed by about October 1, 2000.    The plan calls for interested persons to submit by May 1 their intent to participate in all or some of the rule reviews by the Board.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Board says in its order it may have to ask for an extension of time if the governor continues to insist that the review be conducted without adding staff.  Interested persons had until Feb. 10</w:t>
            </w:r>
            <w:r>
              <w:rPr>
                <w:color w:val="000000"/>
                <w:sz w:val="18"/>
                <w:vertAlign w:val="superscript"/>
              </w:rPr>
              <w:t>th</w:t>
            </w:r>
            <w:r>
              <w:rPr>
                <w:color w:val="000000"/>
                <w:sz w:val="18"/>
              </w:rPr>
              <w:t xml:space="preserve"> to comment on the proposed rule review plan..  The IUB issued an order Feb. 23</w:t>
            </w:r>
            <w:r>
              <w:rPr>
                <w:color w:val="000000"/>
                <w:sz w:val="18"/>
                <w:vertAlign w:val="superscript"/>
              </w:rPr>
              <w:t>rd</w:t>
            </w:r>
            <w:r>
              <w:rPr>
                <w:color w:val="000000"/>
                <w:sz w:val="18"/>
              </w:rPr>
              <w:t xml:space="preserve"> adopting a final plan. It may be found on the Board's website at </w:t>
            </w:r>
            <w:hyperlink r:id="rId2">
              <w:r>
                <w:rPr>
                  <w:rStyle w:val="Hyperlink"/>
                  <w:sz w:val="18"/>
                </w:rPr>
                <w:t>www.state.ia.us/iub</w:t>
              </w:r>
            </w:hyperlink>
            <w:r>
              <w:rPr>
                <w:color w:val="000000"/>
                <w:sz w:val="18"/>
              </w:rPr>
              <w:t>.</w:t>
            </w:r>
          </w:p>
          <w:p>
            <w:pPr>
              <w:pStyle w:val="Normal"/>
              <w:rPr>
                <w:color w:val="000000"/>
                <w:sz w:val="18"/>
              </w:rPr>
            </w:pPr>
            <w:r>
              <w:rPr>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NOI-98-3</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Notice of inquiry issued to serve as the framework for establishing workshops related to natural gas small volume transportation filings (see RMU-96-12 and SVG filings below).  Suggested and potential issues include the following: customer education, standards of conduct, marketer certification, market roles, consumer protection, price setting, public benefits, implementation, and transition costs.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Workshops were held on end-state, marketer requirements, operational, and  transition issues, which included pipeline capacity. MidAm, Utilicorp and Alliant agreed with Northern that LDCs are in the best position to monitor pipeline capacity requirements.  MidAm did not, however, feel that LDCs should hold backup capacity.  MidAmerican and Alliant said they have concluded that small volume gas unbundling should become part of the legislative process underway to restructure the electricity industry.  Electricity restructuring legislation is pending in the Iowa Legislature’s 2000 session. Comments on the issues matrix were due  May 27</w:t>
            </w:r>
            <w:r>
              <w:rPr>
                <w:color w:val="000000"/>
                <w:sz w:val="18"/>
                <w:vertAlign w:val="superscript"/>
              </w:rPr>
              <w:t>th</w:t>
            </w:r>
            <w:r>
              <w:rPr>
                <w:color w:val="000000"/>
                <w:sz w:val="18"/>
              </w:rPr>
              <w:t>.   NNG filed comments.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RMU-96-12</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aimed at encouraging small volume customer natural gas transportation service.  The proposed rule amendments include a requirement that utilities provide rates, terms, and conditions for marketers’ use of the utility’s pipeline capacity and storage. </w:t>
            </w:r>
            <w:r>
              <w:rPr>
                <w:b/>
                <w:color w:val="000080"/>
                <w:sz w:val="16"/>
              </w:rPr>
              <w:t xml:space="preserve">(Stanton) </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IUB adopted new rules 10/23/97 that required LDCs to file unbundling tariffs by 2/1/99, with an implementation goal of 4/1/99.  The rules gave LDCs the option of submitting their own unbundling plans tailored to their own systems.  Notice that an LDC planned  to take this option had to be filed with the IUB by 9/1/98.  UtiliCorp,  MidAmerican, IES and Interstate Power filed option notices.  The IUB in Dec. 1998 approved a request to establish workshops on small volume transportation issues (see SVG docket filings below).  Workshops were held January-April 1999 (see NOI-98-3, above).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RMU-99-10</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to implement the pipeline construction land restoration law passed by the 1999 Iowa Legislature (SF 160), which became effective July 1, 1999.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Position statements were due Oct. 28</w:t>
            </w:r>
            <w:r>
              <w:rPr>
                <w:color w:val="000000"/>
                <w:sz w:val="18"/>
                <w:vertAlign w:val="superscript"/>
              </w:rPr>
              <w:t>th</w:t>
            </w:r>
            <w:r>
              <w:rPr>
                <w:color w:val="000000"/>
                <w:sz w:val="18"/>
              </w:rPr>
              <w:t>. The following parties filed statements:  Office of Consumer Advocate, MidAmerican Energy, IES Utilities, Alliance Pipeline,  NNG &amp; Northern Border, BP Amoco, Iowa Petroleum Council, Poweshiek County and Grundy County.  A workshop on the rules was held Nov. 17</w:t>
            </w:r>
            <w:r>
              <w:rPr>
                <w:color w:val="000000"/>
                <w:sz w:val="18"/>
                <w:vertAlign w:val="superscript"/>
              </w:rPr>
              <w:t>th</w:t>
            </w:r>
            <w:r>
              <w:rPr>
                <w:color w:val="000000"/>
                <w:sz w:val="18"/>
              </w:rPr>
              <w:t xml:space="preserve"> and there seemed to be considerable interest in structuring the rules to allow the use of a generic restoration plan for maintenance and smaller projects and perhaps even larger projects.  The Board asked for additional comments to be filed by Dec. 8</w:t>
            </w:r>
            <w:r>
              <w:rPr>
                <w:color w:val="000000"/>
                <w:sz w:val="18"/>
                <w:vertAlign w:val="superscript"/>
              </w:rPr>
              <w:t>th</w:t>
            </w:r>
            <w:r>
              <w:rPr>
                <w:color w:val="000000"/>
                <w:sz w:val="18"/>
              </w:rPr>
              <w:t>.   Northern and Northern Border filed a notice of intent to file additional comments and staff said comments could be submitted after Dec. 8</w:t>
            </w:r>
            <w:r>
              <w:rPr>
                <w:color w:val="000000"/>
                <w:sz w:val="18"/>
                <w:vertAlign w:val="superscript"/>
              </w:rPr>
              <w:t>th</w:t>
            </w:r>
            <w:r>
              <w:rPr>
                <w:color w:val="000000"/>
                <w:sz w:val="18"/>
              </w:rPr>
              <w:t>. The Board indicated additional hearings likely would be held to consider revisions to the proposed rules.  Northern and Northern Border filed additional comments on Dec. 21.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SVG-98-1</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MidAmerican Energy’s small volume transportation plan filed under RMU-96-12 (see above) proposes to discontinue sales service and establish a new monthly metered transportation service that would become available May 1, 2000.  Telemetering requirements for small volume transporters would be eliminated and replaced with a forecast of daily consumption. These customers would be able to join a supplier pool that would aggregate the group's usage. Customers not expressly choosing a supplier would default to MidAmerican Services, which would provide the customer with a market-priced (index based) service.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Oct. 1998.   See also NOI-98-3 above and SVG-98-2 and SVG-98-3 below. NNG filed a motion to intervene Feb. 15</w:t>
            </w:r>
            <w:r>
              <w:rPr>
                <w:color w:val="000000"/>
                <w:sz w:val="18"/>
                <w:vertAlign w:val="superscript"/>
              </w:rPr>
              <w:t>th</w:t>
            </w:r>
            <w:r>
              <w:rPr>
                <w:color w:val="000000"/>
                <w:sz w:val="18"/>
              </w:rPr>
              <w:t xml:space="preserve"> 1999.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SVG-98-2, </w:t>
            </w:r>
          </w:p>
          <w:p>
            <w:pPr>
              <w:pStyle w:val="Normal"/>
              <w:rPr>
                <w:color w:val="0000FF"/>
                <w:sz w:val="18"/>
              </w:rPr>
            </w:pPr>
            <w:r>
              <w:rPr>
                <w:color w:val="000000"/>
                <w:sz w:val="18"/>
              </w:rPr>
              <w:t>SVG-98-3</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Alliant Utilities small volume transportation plan filing under RMU-96-12 (see above) for IES Utilities (SVG-98-2) and Interstate Power (SVG-98-3).  Alliant is scheduled to file plans by December 15</w:t>
            </w:r>
            <w:r>
              <w:rPr>
                <w:color w:val="000000"/>
                <w:sz w:val="18"/>
                <w:vertAlign w:val="superscript"/>
              </w:rPr>
              <w:t>th</w:t>
            </w:r>
            <w:r>
              <w:rPr>
                <w:color w:val="000000"/>
                <w:sz w:val="18"/>
              </w:rPr>
              <w:t xml:space="preserve">, but requested that the IUB establish workshops to develop new unbundling rules that would be put in place by Dec. 31, 1999.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in Nov. 1998.  In Dec. 1998 the IUB approved Alliant’s request for workshops on small volume customer unbundling (see NOI-98-3 above) but ordered Alliant to file the required plans within 30 days of the order.  The IUB said it will not take any action on any of the filed plans during the workshops. Alliant filed the required plans in Jan. 1999.  NNG filed a motion to intervene in Feb. 1999.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SVG-98-5</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Peoples Natural Gas Company’s revised small volume customer gas transportation plan.  This filing replaces TF-98-265, which was rejected by the Utilities Board. Under this plan PNG would phase in its program over three years, beginning Nov. 1, 1999 with about 13,000 customers (10% of total) in northeast Iowa. It would be expanded to 50% in 2000 and to all customers in 2001.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Dec. 15</w:t>
            </w:r>
            <w:r>
              <w:rPr>
                <w:color w:val="000000"/>
                <w:sz w:val="18"/>
                <w:vertAlign w:val="superscript"/>
              </w:rPr>
              <w:t xml:space="preserve">th </w:t>
            </w:r>
            <w:r>
              <w:rPr>
                <w:color w:val="000000"/>
                <w:sz w:val="18"/>
              </w:rPr>
              <w:t>1998.  On Dec. 18</w:t>
            </w:r>
            <w:r>
              <w:rPr>
                <w:color w:val="000000"/>
                <w:sz w:val="18"/>
                <w:vertAlign w:val="superscript"/>
              </w:rPr>
              <w:t>th</w:t>
            </w:r>
            <w:r>
              <w:rPr>
                <w:color w:val="000000"/>
                <w:sz w:val="18"/>
              </w:rPr>
              <w:t xml:space="preserve">  1998 the IUB granted a request for workshops made by Alliant Utilities (see SVG-98-2 above).  NNG filed a motion to intervene in Feb. 1999.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Heading2"/>
              <w:ind w:hanging="0" w:start="0"/>
              <w:rPr>
                <w:b w:val="false"/>
                <w:i w:val="false"/>
                <w:i w:val="false"/>
                <w:color w:val="000000"/>
              </w:rPr>
            </w:pPr>
            <w:r>
              <w:rPr>
                <w:b w:val="false"/>
                <w:i w:val="false"/>
                <w:color w:val="000000"/>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governor’s office.  Republicans command the Senate (30R-20D) and House (56R-44D).</w:t>
            </w:r>
            <w:r>
              <w:rPr>
                <w:i/>
                <w:color w:val="0000FF"/>
                <w:sz w:val="18"/>
              </w:rPr>
              <w:t xml:space="preserve">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Iowa’s 2000 Legislature began Jan. 10</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SF 2114</w:t>
            </w:r>
          </w:p>
          <w:p>
            <w:pPr>
              <w:pStyle w:val="Normal"/>
              <w:rPr>
                <w:color w:val="000000"/>
                <w:sz w:val="18"/>
              </w:rPr>
            </w:pPr>
            <w:r>
              <w:rPr>
                <w:color w:val="0000FF"/>
                <w:sz w:val="18"/>
              </w:rPr>
              <w:t>*</w:t>
            </w:r>
            <w:r>
              <w:rPr>
                <w:b/>
                <w:i/>
                <w:color w:val="0000FF"/>
                <w:sz w:val="18"/>
              </w:rPr>
              <w:t>HF 2247</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These bills, requested by the Iowa Utilities Board,  would repeal a 1999 Iowa pipeline construction land restoration law provision that exempted from the law two pipeline projects (Alliance and Northern Border’s expansion) that already had been granted a FERC certificate at the time the law went into effect. Because the law generically exempted all projects that had been given a FERC certificate prior to July 1, 1999, Northern interpreted the exemption as applying  also to all projects built under the FERC blanket certificate process, which was issued in 1982.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Heading2"/>
              <w:ind w:hanging="0" w:start="0"/>
              <w:rPr/>
            </w:pPr>
            <w:r>
              <w:rPr>
                <w:b w:val="false"/>
                <w:i w:val="false"/>
                <w:color w:val="000000"/>
              </w:rPr>
              <w:t xml:space="preserve">Both bills have been passed by committees in their respective houses and will be place on the Senate and House calendars for future consideration.  </w:t>
            </w:r>
            <w:r>
              <w:rPr/>
              <w:t>HF 2247 was passed by the House and sent to the Senate.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SF 2155</w:t>
            </w:r>
          </w:p>
          <w:p>
            <w:pPr>
              <w:pStyle w:val="Normal"/>
              <w:rPr>
                <w:color w:val="000000"/>
                <w:sz w:val="18"/>
              </w:rPr>
            </w:pPr>
            <w:r>
              <w:rPr>
                <w:color w:val="000000"/>
                <w:sz w:val="18"/>
              </w:rPr>
              <w:t>SF 2213</w:t>
            </w:r>
          </w:p>
        </w:tc>
        <w:tc>
          <w:tcPr>
            <w:tcW w:w="634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SF 2155 states that a landowner “may” require a representative of the pipeline company to be present on-site at all times during each phase and separate activity related to a farmland improvement within 50 feet of a pipeline. SF 2213 makes the following changes to  SF 2155: </w:t>
            </w:r>
            <w:r>
              <w:rPr>
                <w:color w:val="000000"/>
                <w:sz w:val="18"/>
                <w:lang w:eastAsia="en-US"/>
              </w:rPr>
              <w:t xml:space="preserve">a contractor also "may" require the presence of a pipeline representative, the pipeline representative's presence shall be "at no charge to the landowner," and if the pipeline company and the contractor mutually agree that the presense of a pipeline representative is not needed then the requirement is waived. </w:t>
            </w:r>
            <w:r>
              <w:rPr>
                <w:color w:val="000000"/>
                <w:sz w:val="18"/>
              </w:rPr>
              <w:t xml:space="preserve">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Referred to Senate Natural Resources and Environment Committee.   The committee introduced and passed SF 2213 in place of SF 2155. SF 2213 is now pending before the full Senate.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SF 2261</w:t>
            </w:r>
          </w:p>
        </w:tc>
        <w:tc>
          <w:tcPr>
            <w:tcW w:w="6341"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Would make a number of changes in Iowa's condemnation law.  Current law provides that the condemner shall pay costs incurred by the landowner, including attorney's fees, if the condemner fails to take the property and pay the appraisement of damages while the case is on appeal. The bill extends the responsibility of the condemner for payment of such costs in  those cases where the condemner dismisses the proceedings at  any time after the application is filed and in cases where the condemner fails to take the property and pay damages awarded within 30 days from the date of the award. </w:t>
            </w:r>
            <w:r>
              <w:rPr>
                <w:color w:val="0000FF"/>
                <w:sz w:val="18"/>
                <w:lang w:eastAsia="en-US"/>
              </w:rPr>
              <w:t>.</w:t>
            </w:r>
            <w:r>
              <w:rPr>
                <w:color w:val="000000"/>
                <w:sz w:val="18"/>
                <w:lang w:eastAsia="en-US"/>
              </w:rPr>
              <w:t xml:space="preserve"> </w:t>
            </w:r>
            <w:r>
              <w:rPr>
                <w:color w:val="000000"/>
                <w:sz w:val="18"/>
              </w:rPr>
              <w:t xml:space="preserve"> </w:t>
            </w:r>
            <w:r>
              <w:rPr>
                <w:b/>
                <w:color w:val="000080"/>
                <w:sz w:val="16"/>
              </w:rPr>
              <w:t>(Stanton)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Introduced Feb. 22 and referred to the Senate Local Government Committee.  The committee did not act on the bill by the Feb. 25</w:t>
            </w:r>
            <w:r>
              <w:rPr>
                <w:color w:val="000000"/>
                <w:sz w:val="18"/>
                <w:vertAlign w:val="superscript"/>
              </w:rPr>
              <w:t>th</w:t>
            </w:r>
            <w:r>
              <w:rPr>
                <w:color w:val="000000"/>
                <w:sz w:val="18"/>
              </w:rPr>
              <w:t xml:space="preserve"> deadline for passing bills out of committee in their house of origin so the bill died in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KANSAS</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34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Senate (27-13) and the House (77R-48D).  </w:t>
            </w:r>
            <w:r>
              <w:rPr>
                <w:b/>
                <w:color w:val="000080"/>
                <w:sz w:val="16"/>
              </w:rPr>
              <w:t>(Wilson)</w:t>
            </w:r>
          </w:p>
        </w:tc>
        <w:tc>
          <w:tcPr>
            <w:tcW w:w="5271"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Kansas Legislature convened Jan. 10</w:t>
            </w:r>
            <w:r>
              <w:rPr>
                <w:color w:val="000000"/>
                <w:sz w:val="18"/>
                <w:vertAlign w:val="superscript"/>
              </w:rPr>
              <w:t xml:space="preserve">th.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HB 2597</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During the 1999 legislative session a House subcommittee recommended for interim study HB 2045, which concerns underground storage of natural gas.  The pipeline industry presented draft legislation to the House Energy committee in Oct.</w:t>
            </w:r>
            <w:r>
              <w:rPr>
                <w:color w:val="000000"/>
                <w:sz w:val="18"/>
                <w:vertAlign w:val="superscript"/>
              </w:rPr>
              <w:t xml:space="preserve"> </w:t>
            </w:r>
            <w:r>
              <w:rPr>
                <w:color w:val="000000"/>
                <w:sz w:val="18"/>
              </w:rPr>
              <w:t xml:space="preserve">1999.  </w:t>
            </w:r>
            <w:r>
              <w:rPr>
                <w:color w:val="000000"/>
                <w:sz w:val="18"/>
                <w:lang w:eastAsia="en-US"/>
              </w:rPr>
              <w:t>The compromise legislation developed by the pipeline industry and landowner advocates has been pre-filed for introduction in the 2000 Legislature. The legislation (HB 2597) addresses the calculation of damages in eminent domain proceedings. NNG's recommendations regarding compensation for prior use, limited to the time when the gas migrated to the other stratum but not to exceed a period of seven years, are included in the compromise legislation.</w:t>
            </w:r>
            <w:r>
              <w:rPr>
                <w:b/>
                <w:color w:val="000080"/>
                <w:sz w:val="16"/>
              </w:rPr>
              <w:t xml:space="preserve"> (Wilson)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HB 2597 was passed by the Kansas House and sent to the Senate.  It has been referred to the Senate Judiciary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SB 571</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Imposes a $0.01 per mmcf tax on natural gas transported from, within and through Kansas by pipeline.  The bill exempts from this tax the local distribution, production and gathering of natural gas.  Proceeds from the tax would be used to pay off bonds that would be floated to reimburse Kansas natural gas producers for any refunds they have to pay under the Kansas ad valorem tax refund proceeding that is underway at the FERC.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The bill has been referred to the Senate Energy and Natural Resources Committee.  </w:t>
            </w:r>
            <w:r>
              <w:rPr>
                <w:b/>
                <w:i/>
                <w:color w:val="0000FF"/>
                <w:sz w:val="18"/>
              </w:rPr>
              <w:t>The committee has scheduled a hearing on the bill for March 13</w:t>
            </w:r>
            <w:r>
              <w:rPr>
                <w:b/>
                <w:i/>
                <w:color w:val="0000FF"/>
                <w:sz w:val="18"/>
                <w:vertAlign w:val="superscript"/>
              </w:rPr>
              <w:t>th</w:t>
            </w:r>
            <w:r>
              <w:rPr>
                <w:b/>
                <w:i/>
                <w:color w:val="0000FF"/>
                <w:sz w:val="18"/>
              </w:rPr>
              <w:t>.  The bill's sponsor also has set a meeting with interested parties following the hearing to discuss a possible "Kansas solution" to be presented to the FERC.</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99-GIMG-068-GIG</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Kansas Corporation Commission staff filed a motion with the KCC to open a general investigation to establish policies for distribution of Kansas ad valorem tax refunds from interstate pipelines to Kansas jurisdictional direct retail sales customers.  Staff believes that the FERC refund order did not address non-FERC jurisdiction refunds and that pipelines might "attempt to retain" refunds due Kansas direct retail sales customers.  Most of the sales of concern would have been farm tap sales.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motion was filed in July 1998.  Northern filed a “special appearance at a Dec. 1998 prehearing conference.  In Feb. 1999 the KCC stayed further proceedings until a district court ruled on a Williams petition contesting the Commission’s jurisdiction.  William’s petition was dismissed on the basis that the Commission’s order was nonfinal agency action and the KCC ordered interstate pipelines to submit comments and proposals by Nov. 5</w:t>
            </w:r>
            <w:r>
              <w:rPr>
                <w:color w:val="000000"/>
                <w:sz w:val="18"/>
                <w:vertAlign w:val="superscript"/>
              </w:rPr>
              <w:t>th</w:t>
            </w:r>
            <w:r>
              <w:rPr>
                <w:color w:val="000000"/>
                <w:sz w:val="18"/>
              </w:rPr>
              <w:t>.  NNG filed comments stating its position that the KCC has no jurisdiction and that during the time period for which ad valorem tax refunds are claimed Northern did not engage in direct sales to Kansas jurisdictional customers.  Staff comments filed Feb. 4</w:t>
            </w:r>
            <w:r>
              <w:rPr>
                <w:color w:val="000000"/>
                <w:sz w:val="18"/>
                <w:vertAlign w:val="superscript"/>
              </w:rPr>
              <w:t>th</w:t>
            </w:r>
            <w:r>
              <w:rPr>
                <w:color w:val="000000"/>
                <w:sz w:val="18"/>
              </w:rPr>
              <w:t xml:space="preserve"> recommended that Northern be dismissed from this proceeding based on Northern’s  affidavit that it did not engage in direct sales during the period in question.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00-GIMG-425-GIG</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 Feb. 1999 the KCC opened Docket No. 99-GIMG-538 to investigate whether the benefits of the restructured natural gas market could be extended to all of the state’s retail customers.  Based on the comments received, the commission issued an order directing that a new generic docket be opened to consider an index pricing system for natural gas.  The order directed Staff to propose a performance based ratemaking mechanism. This docket was opened for this purpose and Docket 99-GIMG-538 was closed.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Staff’s proposal is to be filed on or before March 1,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MICHIGAN</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the Senate (23R-15D), and the House (58R-52D).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Michigan Legislature began Jan. 12</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Natural gas unbundling.</w:t>
            </w:r>
          </w:p>
          <w:p>
            <w:pPr>
              <w:pStyle w:val="Normal"/>
              <w:rPr>
                <w:color w:val="000000"/>
                <w:sz w:val="18"/>
              </w:rPr>
            </w:pPr>
            <w:r>
              <w:rPr>
                <w:color w:val="000000"/>
                <w:sz w:val="18"/>
              </w:rPr>
            </w:r>
          </w:p>
          <w:p>
            <w:pPr>
              <w:pStyle w:val="BodyText"/>
              <w:rPr>
                <w:b w:val="false"/>
                <w:i w:val="false"/>
                <w:i w:val="false"/>
                <w:color w:val="000000"/>
              </w:rPr>
            </w:pPr>
            <w:r>
              <w:rPr>
                <w:b w:val="false"/>
                <w:i w:val="false"/>
                <w:color w:val="000000"/>
              </w:rPr>
              <w:t>House Bills 5201 through 5207</w:t>
            </w:r>
          </w:p>
          <w:p>
            <w:pPr>
              <w:pStyle w:val="Normal"/>
              <w:rPr>
                <w:b/>
                <w:i/>
                <w:i/>
                <w:color w:val="000000"/>
                <w:sz w:val="18"/>
              </w:rPr>
            </w:pPr>
            <w:r>
              <w:rPr>
                <w:b/>
                <w:i/>
                <w:color w:val="000000"/>
                <w:sz w:val="18"/>
              </w:rPr>
            </w:r>
          </w:p>
          <w:p>
            <w:pPr>
              <w:pStyle w:val="Normal"/>
              <w:rPr>
                <w:color w:val="000000"/>
                <w:sz w:val="18"/>
              </w:rPr>
            </w:pPr>
            <w:r>
              <w:rPr>
                <w:color w:val="000000"/>
                <w:sz w:val="18"/>
              </w:rPr>
              <w:t>Senate Bills 916 through 922</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80"/>
                <w:sz w:val="18"/>
              </w:rPr>
            </w:pPr>
            <w:r>
              <w:rPr>
                <w:color w:val="000000"/>
                <w:sz w:val="18"/>
                <w:lang w:eastAsia="en-US"/>
              </w:rPr>
              <w:t>A package of bills has been introduced in the Michigan Legislature to formalize and revise the natural gas customer choice programs that have been implemented under the authority of the Michigan Public Service Commission. HB 5201 &amp; SB 916</w:t>
            </w:r>
            <w:r>
              <w:rPr>
                <w:b/>
                <w:i/>
                <w:color w:val="000000"/>
                <w:sz w:val="18"/>
                <w:lang w:eastAsia="en-US"/>
              </w:rPr>
              <w:t>-</w:t>
            </w:r>
            <w:r>
              <w:rPr>
                <w:color w:val="000000"/>
                <w:sz w:val="18"/>
                <w:lang w:eastAsia="en-US"/>
              </w:rPr>
              <w:t xml:space="preserve">  Require LDCs to file at least 6 months prior to the expiration of an existing choice plan a new plan that complies with the new law.  If the LDC does not have an existing plan then it must file one by 10/1/03.    The new plans would call for a 3-year phase in for all of an LDC's customers to customer choice based on the size of the utility.  LDCs with more than 300,000 customers would have to have all customers on a choice program by 4/1/2004.  Those with less than 300,000 would have to have all customers converted by 4/1/05.  LDCs with less than 200,000 are allowed a different percentage phase-in schedule but still must have all converted by 4/1/05.  HB 5202 &amp; SB 917- Require LDCs to establish a market-based "Safe Haven Gas Commodity Service" for customers who do not choose an alternate supplier.  This service is NYMEX based and allows the LDC to add a service charge of 12% to 16%.  Other bills include: HB 5203 &amp; SB 918 - marketer licensing; HB 5204 &amp; SB 919 - prohibit slamming; HB 5205 &amp; SB 920 - Code of conduct; HB 5206 &amp; SB 921- prohibit cramming; HB 5207 &amp; SB 922 - Establish penalties.</w:t>
            </w:r>
            <w:r>
              <w:rPr>
                <w:rFonts w:cs="Helv;Arial" w:ascii="Helv;Arial" w:hAnsi="Helv;Arial"/>
                <w:i/>
                <w:color w:val="000000"/>
                <w:sz w:val="18"/>
                <w:lang w:eastAsia="en-US"/>
              </w:rPr>
              <w:t xml:space="preserve"> </w:t>
            </w:r>
            <w:r>
              <w:rPr>
                <w:rFonts w:cs="Helv;Arial" w:ascii="Helv;Arial" w:hAnsi="Helv;Arial"/>
                <w:color w:val="000000"/>
                <w:sz w:val="18"/>
                <w:lang w:eastAsia="en-US"/>
              </w:rPr>
              <w:t xml:space="preserve">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sz w:val="18"/>
              </w:rPr>
              <w:t xml:space="preserve"> </w:t>
            </w:r>
            <w:r>
              <w:rPr>
                <w:color w:val="000000"/>
                <w:sz w:val="18"/>
              </w:rPr>
              <w:t>The House bills were introduced Dec. 9</w:t>
            </w:r>
            <w:r>
              <w:rPr>
                <w:color w:val="000000"/>
                <w:sz w:val="18"/>
                <w:vertAlign w:val="superscript"/>
              </w:rPr>
              <w:t>th</w:t>
            </w:r>
            <w:r>
              <w:rPr>
                <w:color w:val="000000"/>
                <w:sz w:val="18"/>
              </w:rPr>
              <w:t xml:space="preserve"> and referred to the House Energy and Technology Committee.  The Senate bills were introduced Jan. 12</w:t>
            </w:r>
            <w:r>
              <w:rPr>
                <w:color w:val="000000"/>
                <w:sz w:val="18"/>
                <w:vertAlign w:val="superscript"/>
              </w:rPr>
              <w:t>th</w:t>
            </w:r>
            <w:r>
              <w:rPr>
                <w:color w:val="000000"/>
                <w:sz w:val="18"/>
              </w:rPr>
              <w:t xml:space="preserve"> and referred to the Senate Technology and Energy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MINNESOTA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E,G999/CI-99-687</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Investigation of unbundling/retail choice/restructuring issues in the gas and electric utility industries. Directs the Dept. of Commerce (DOC), with help of stakeholders, to develop a comprehensive program by 1/1/01 for presentation to the Legislature.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Order issued 5/21/99.  Progress reports are required 10/1/99, 3/1/00 and 9/1/00.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E,G999/DI-99-1073</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DOC investigation into energy restructuring.  This docket establishes the work group proceeding set up by the DOC to carry out the MPUC’s order in Docket No. E,G999/CI-99-687, which called for an unbundling investigation by the DOC (see above).   The DOC formed the following six work groups to develop issues and options:  (1) Consumer Issues, (2) Policing of Utilities and Other Providers, (3) Energy Conservation and Alternative Technologies, (4) Service Reliability - Wholesale and Retail, (5) Unbundling of Functions/Pricing of Remaining Regulated Functions and Services, and (6) Stranded Costs/Stranded Benefits.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work groups concluded Nov. 30</w:t>
            </w:r>
            <w:r>
              <w:rPr>
                <w:color w:val="000000"/>
                <w:sz w:val="18"/>
                <w:vertAlign w:val="superscript"/>
              </w:rPr>
              <w:t>th</w:t>
            </w:r>
            <w:r>
              <w:rPr>
                <w:color w:val="000000"/>
                <w:sz w:val="18"/>
              </w:rPr>
              <w:t xml:space="preserve">.  NNG submitted comments to the reliability work group at its final meeting.  Staff is developing recommendations for a plan to be presented to the DOC commissioner by July 15, 2000.  Statewide public hearings would then be held on the plan July-September.  Draft legislation would be prepared in the Fall and presented the following January to the 2001 Legislature. Reports may be reviewed at the DOC’s website: http://www.dpsv.state.mn.us/docs/restruc/mainrs.htm.  The DOC has invited stakeholders to submit by March 1 a list of their three or  most important restructuring issues and how they should be resolved. </w:t>
            </w:r>
            <w:r>
              <w:rPr>
                <w:b/>
                <w:i/>
                <w:color w:val="0000FF"/>
                <w:sz w:val="18"/>
              </w:rPr>
              <w:t>NNG submitted a letter 3/1/00.</w:t>
            </w:r>
            <w:r>
              <w:rPr>
                <w:color w:val="000000"/>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G007/M-99-641</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Northern Minnesota Utilities (NMU) farm tap inspection program proposal.  The PUC approved a farm tap safety improvement program (SIP) for Peoples Natural Gas in January 1994.  In May 1999 NMU filed a petition (Docket No. G007/M-99-641) to establish its own SIP, based on Peoples program.  NNG responded July 16</w:t>
            </w:r>
            <w:r>
              <w:rPr>
                <w:color w:val="000000"/>
                <w:sz w:val="18"/>
                <w:vertAlign w:val="superscript"/>
              </w:rPr>
              <w:t>th</w:t>
            </w:r>
            <w:r>
              <w:rPr>
                <w:color w:val="000000"/>
                <w:sz w:val="18"/>
              </w:rPr>
              <w:t xml:space="preserve"> to Minnesota Dept. of Commerce comments  in the NMU in which the DOC suggested that interstate pipelines had not “taken the time to ensure” that farm tap service lines were safely installed by farm tap customers.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PUC at its Sep. 23rd meeting deferred action on the NMU SIP and initiated an investigation into establishing such programs for all natural gas utilities (See G999/CI-99-1365).  Approved 2/10/99.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8"/>
              </w:rPr>
            </w:pPr>
            <w:r>
              <w:rPr>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G011/M-99-1549</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Peoples Natural Gas request to adopt a performance based gas purchasing plan for customers served off the Northern Natural Gas system.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Peoples requested a 60-day period (to Jan. 1) for interested parties to reply to the plan so that the company can work with the parties to resolve any concerns they might have.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8"/>
              </w:rPr>
            </w:pPr>
            <w:r>
              <w:rPr>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G999/CI-97-145</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Natural gas unbundling. In Sept. 1996 the MPUC dismissed Minnegasco’s proposed three-year pilot program to allow the aggregation of individual customer loads by marketers or brokers.  The PUC then opened this docket, which formed a work group to further study natural gas unbundling issues.  The PUC in Nov. 1997 rejected an ECT-proposed unbundling rulemaking but initiated a new round of workshops with a June 1, 1998 deadline for developing a report that would be used to determine which class or groups of classes may be ready for unbundling that would be effective as early as the 1998-1999 heating season. </w:t>
            </w:r>
            <w:r>
              <w:rPr>
                <w:b/>
                <w:color w:val="000080"/>
                <w:sz w:val="16"/>
              </w:rPr>
              <w:t xml:space="preserve">(Stanton) </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staff report was filed on July 15, 1998.  On July 23, 1998 the PUC approved continuing the docket and directed the work group to submit a gas unbundling implementation plan (guidelines and instructions) for all LDCs in approximately one year (July 1999).  No further work group meetings were held. On May 6, 1999 the PUC decided to do the following:  1.  Open a new docket to explore outsourcing LDCs' natural gas commodity and transportation purchases.  2.  Work with the DOC to develop a natural gas and electricity unbundling plan to be presented to the Minnesota Legislature on January 1, 2001 (see E,G-999/CI-99-687, E,G999/DI-99-1073 and G-999/CI-99-688).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G999/CI-99-1365</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PUC investigation to determine whether it should require all Minnesota natural gas utilities serving farm-tap customers to develop farm-tap safety, inspection, and consumer education programs.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comment period was extended to Nov. 24.  Dec. 10 was the deadline for replies.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LDC Demand Entitlement Filings</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 demand entitlement change filing is required when there is an increase or decrease in pipeline demand entitlement, a redistribution of demand percentages among classes, or if one form of demand is exchanged for another.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Reliant/Minnegasco, NSP, Peoples, NMU and Western Gas filed Nov. 1.  Copies have been distributed to the appropriate NNG account managers and directors.  Reliant, Great Plains, NMU and Western were approved 2/10/00.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Reform Party holds the governor’s office. Republicans command the House (70R-63D-1I).  Democrats control the Senate (42D-24R-1I).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Minnesota Legislature began Feb. 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HF 591</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A "delete-everything" amendment by the House Local Government Committee turned this 1999 carry-over bill into major changes in the state's eminent domain procedures.  Among other things it would extend from 90 days to one year the notice requirement for a property taking.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bill was sent to a second committee, Civil Law, for further consideration.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FF"/>
                <w:sz w:val="18"/>
              </w:rPr>
              <w:t xml:space="preserve"> </w:t>
            </w:r>
            <w:r>
              <w:rPr>
                <w:color w:val="000000"/>
                <w:sz w:val="18"/>
              </w:rPr>
              <w:t>HF 2739</w:t>
            </w:r>
          </w:p>
          <w:p>
            <w:pPr>
              <w:pStyle w:val="Normal"/>
              <w:rPr/>
            </w:pPr>
            <w:r>
              <w:rPr>
                <w:color w:val="0000FF"/>
                <w:sz w:val="18"/>
              </w:rPr>
              <w:t xml:space="preserve"> </w:t>
            </w:r>
            <w:r>
              <w:rPr>
                <w:color w:val="000000"/>
                <w:sz w:val="18"/>
              </w:rPr>
              <w:t>SF 2818</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These bills would issue state bonds to fund $44 million of infrastructure improvements related to a proposed direct reduction iron (DRI) steel plant in Itasca County, MN near Nashwauk.  $24 million of the total would be appropriated for "railroad access and natural gas right-of-way and pipeline."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HF 2739 was referred to the House Jobs and Economic Development Committee.  SF 2818 was referred to the Senate Transportation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Other</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Compressor fuel tax</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The MN Dept. of Revenue is attempting to collect a use tax on natural gas used as compressor fuel.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Enron tax department made a presentation to the DOR in Dec. 1998 outlining the reasons the company believes NNG is not subject to this tax.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NEBRASKA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Nebraska Unicameral Legislature is nonpartisan (no party structure) but breaks down as follows: 27R-21D-1I.  </w:t>
            </w:r>
            <w:r>
              <w:rPr>
                <w:b/>
                <w:color w:val="000080"/>
                <w:sz w:val="16"/>
              </w:rPr>
              <w:t>(Wilson)</w:t>
            </w:r>
          </w:p>
        </w:tc>
        <w:tc>
          <w:tcPr>
            <w:tcW w:w="5268"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2000 Nebraska Unicameral Legislature convenes Jan.5</w:t>
            </w:r>
            <w:r>
              <w:rPr>
                <w:color w:val="000000"/>
                <w:sz w:val="18"/>
                <w:vertAlign w:val="superscript"/>
              </w:rPr>
              <w:t>th</w:t>
            </w:r>
            <w:r>
              <w:rPr>
                <w:color w:val="000000"/>
                <w:sz w:val="18"/>
              </w:rPr>
              <w:t xml:space="preserve"> and is scheduled to run to April 12</w:t>
            </w:r>
            <w:r>
              <w:rPr>
                <w:color w:val="000000"/>
                <w:sz w:val="18"/>
                <w:vertAlign w:val="superscript"/>
              </w:rPr>
              <w:t>th</w:t>
            </w:r>
            <w:r>
              <w:rPr>
                <w:color w:val="000000"/>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LB 717</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Requires any company that transports a hazardous material by pipeline to submit an annual certification of all counties in which it operated a pipeline during the previous year and pay an annual fee of $250 per county.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bill was set for an interim study. The Unicameral’s Government committee will conduct the interim study with the goal of establishing a fair and equitable funding mechanism. NNG is participating on a funding subcommittee.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LR 74</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A resolution  requesting an interim study to examine the natural gas industry in Nebraska.  The study would include a comprehensive overview of the organization, structure, governance, regulation, effectiveness, and consumer satisfaction with existing natural gas utility systems, both publicly and privately owned, in Nebraska and the emerging issues of competition , deregulation, and restructuring in the natural gas industry and their effect upon those natural gas utility systems. </w:t>
            </w:r>
            <w:r>
              <w:rPr>
                <w:b/>
                <w:color w:val="000080"/>
                <w:sz w:val="16"/>
              </w:rPr>
              <w:t>(Wilson)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Introduced Apr. 23</w:t>
            </w:r>
            <w:r>
              <w:rPr>
                <w:color w:val="000000"/>
                <w:sz w:val="18"/>
                <w:vertAlign w:val="superscript"/>
              </w:rPr>
              <w:t>rd</w:t>
            </w:r>
            <w:r>
              <w:rPr>
                <w:color w:val="000000"/>
                <w:sz w:val="18"/>
              </w:rPr>
              <w:t>.  Referred to the Executive Board.  The Legislature passed and the governor signed on May 18</w:t>
            </w:r>
            <w:r>
              <w:rPr>
                <w:color w:val="000000"/>
                <w:sz w:val="18"/>
                <w:vertAlign w:val="superscript"/>
              </w:rPr>
              <w:t>th</w:t>
            </w:r>
            <w:r>
              <w:rPr>
                <w:color w:val="000000"/>
                <w:sz w:val="18"/>
              </w:rPr>
              <w:t xml:space="preserve">  LB 805, which allocates $200,000 to fund this study.  NNG is participating on an advisory committee to the Urban Affairs Committee, which will select a consultant to conduct the study.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NEW MEXICO</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Democrats control of the House (40D-30R) and the Senate (25D-17R).  </w:t>
            </w:r>
            <w:r>
              <w:rPr>
                <w:b/>
                <w:color w:val="000080"/>
                <w:sz w:val="16"/>
              </w:rPr>
              <w:t>(Aron)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New Mexico Legislature concluded  a 30-day session on Feb. 15</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color w:val="000000"/>
                <w:sz w:val="18"/>
              </w:rPr>
            </w:pPr>
            <w:r>
              <w:rPr>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SB 159</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New Mexico electric coops are supporting  legislation that would prohibit the Public Regulation Commission from regulating generation and transmission cooperatives.  This measure would benefit Transwestern’s Gallup expansion.  </w:t>
            </w:r>
            <w:r>
              <w:rPr>
                <w:b/>
                <w:color w:val="000080"/>
                <w:sz w:val="16"/>
              </w:rPr>
              <w:t>(Aron)</w:t>
            </w:r>
          </w:p>
        </w:tc>
        <w:tc>
          <w:tcPr>
            <w:tcW w:w="5269" w:type="dxa"/>
            <w:tcBorders>
              <w:top w:val="single" w:sz="6" w:space="0" w:color="000000"/>
              <w:start w:val="single" w:sz="6" w:space="0" w:color="000000"/>
              <w:bottom w:val="single" w:sz="6" w:space="0" w:color="000000"/>
              <w:end w:val="single" w:sz="6" w:space="0" w:color="000000"/>
            </w:tcBorders>
          </w:tcPr>
          <w:p>
            <w:pPr>
              <w:pStyle w:val="BodyText"/>
              <w:rPr>
                <w:b w:val="false"/>
                <w:i w:val="false"/>
                <w:i w:val="false"/>
                <w:color w:val="000000"/>
              </w:rPr>
            </w:pPr>
            <w:r>
              <w:rPr>
                <w:b w:val="false"/>
                <w:i w:val="false"/>
                <w:color w:val="000000"/>
              </w:rPr>
              <w:t>The bill has passed both houses of the Legislature and has been sent to the governor for his signature.  Despite the NMPRC's favorable order in Utility Case 2989 (see below) the coops continue to press for gubernatorial approval of this bill to prevent future uncertainties simlar to those experienced in that docket.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Air Quality Permit Rules</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New Mexico Air Quality Bureau is drafting rules that implement a new air quality permit process, which will reduce state action time from 180 to 90 days. </w:t>
            </w:r>
            <w:r>
              <w:rPr>
                <w:b/>
                <w:color w:val="000080"/>
                <w:sz w:val="16"/>
              </w:rPr>
              <w:t>(Aron)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 meeting was held July 15</w:t>
            </w:r>
            <w:r>
              <w:rPr>
                <w:color w:val="000000"/>
                <w:sz w:val="18"/>
                <w:vertAlign w:val="superscript"/>
              </w:rPr>
              <w:t>th</w:t>
            </w:r>
            <w:r>
              <w:rPr>
                <w:color w:val="000000"/>
                <w:sz w:val="18"/>
              </w:rPr>
              <w:t xml:space="preserve"> with the Bureau.  Draft rules are being prepared.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Utility Case 2989</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New Mexico Public Regulation Commission docket on merger of two coops, Tri-State and Plains.  ET&amp;S has strongly supported the merger because it would result in significantly lower rates for TW's Gallup expansion. </w:t>
            </w:r>
            <w:r>
              <w:rPr>
                <w:b/>
                <w:color w:val="000080"/>
                <w:sz w:val="16"/>
              </w:rPr>
              <w:t>(Aron)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NMPRC--in response to the New Mexico Legislature's enactment of SB 159 (see above)-- approved the merger through a favorable order issued Feb. 22</w:t>
            </w:r>
            <w:r>
              <w:rPr>
                <w:color w:val="000000"/>
                <w:sz w:val="18"/>
                <w:vertAlign w:val="superscript"/>
              </w:rPr>
              <w:t>nd</w:t>
            </w:r>
            <w:r>
              <w:rPr>
                <w:color w:val="000000"/>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SO. DAKOTA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governor’s office is held by Republicans, who also control  the House (51R-19D) and the Senate (22R-13D).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So. Dakota Legislature began its 2000 session on Jan. 11</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WISCONSIN</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05-BG-101</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Investigation into appropriate certification or registration requirements for non-utility natural gas suppliers.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ET&amp;S commented Nov. 1997 on staff questions related to appropriate operating standards for holding firm capacity.  ET&amp;S said such standards should ensure that aggregate firm pipeline capacity is contracted for and that any standards must be developed in concert with federal regulatory rules governing pipeline capacity.  In Apr. 1998 the PSC requested comments on a  proposed tariff.  Northern filed comments addressing proposed requirements related to firm interstate pipeline capacity.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3270-CG-113</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Madison Gas and Electric Company application to construct a pipeline to interconnect its gate station south of Madison with its gate station located east of Madison.  The project is designed to give MG&amp;E more flexibility in choosing between ANR, Northern, or a third pipeline to source its gas supplies.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in August 1998.  This project, originally proposed for completion in the Fall of 1999 now has been set back to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6650-CG-194</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Wisconsin Gas Company application for construction of a connection from the proposed Guardian Pipeline to serve WGC gate stations in Brookfield and Menomonee Falls.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Nov. 30.  On Dec. 14</w:t>
            </w:r>
            <w:r>
              <w:rPr>
                <w:color w:val="000000"/>
                <w:sz w:val="18"/>
                <w:vertAlign w:val="superscript"/>
              </w:rPr>
              <w:t>th</w:t>
            </w:r>
            <w:r>
              <w:rPr>
                <w:color w:val="000000"/>
                <w:sz w:val="18"/>
              </w:rPr>
              <w:t xml:space="preserve"> the Public Service Commission set noon, Jan. 5</w:t>
            </w:r>
            <w:r>
              <w:rPr>
                <w:color w:val="000000"/>
                <w:sz w:val="18"/>
                <w:vertAlign w:val="superscript"/>
              </w:rPr>
              <w:t>th</w:t>
            </w:r>
            <w:r>
              <w:rPr>
                <w:color w:val="000000"/>
                <w:sz w:val="18"/>
              </w:rPr>
              <w:t>, 2000 as the deadline for intervening.  Direct testimony will be due noon, Mar. 8.  Hearings are set to begin Apr. 3</w:t>
            </w:r>
            <w:r>
              <w:rPr>
                <w:color w:val="000000"/>
                <w:sz w:val="18"/>
                <w:vertAlign w:val="superscript"/>
              </w:rPr>
              <w:t>rd</w:t>
            </w:r>
            <w:r>
              <w:rPr>
                <w:color w:val="000000"/>
                <w:sz w:val="18"/>
              </w:rPr>
              <w:t>.  Northern filed on Dec. 27</w:t>
            </w:r>
            <w:r>
              <w:rPr>
                <w:color w:val="000000"/>
                <w:sz w:val="18"/>
                <w:vertAlign w:val="superscript"/>
              </w:rPr>
              <w:t>th</w:t>
            </w:r>
            <w:r>
              <w:rPr>
                <w:color w:val="000000"/>
                <w:sz w:val="18"/>
              </w:rPr>
              <w:t xml:space="preserve">  a motion to intervene in this proceeding.  On Jan. 13</w:t>
            </w:r>
            <w:r>
              <w:rPr>
                <w:color w:val="000000"/>
                <w:sz w:val="18"/>
                <w:vertAlign w:val="superscript"/>
              </w:rPr>
              <w:t>th</w:t>
            </w:r>
            <w:r>
              <w:rPr>
                <w:color w:val="000000"/>
                <w:sz w:val="18"/>
              </w:rPr>
              <w:t xml:space="preserve"> Wisconsin Gas filed objections to Northern’s and ANR’s requests to intervene as a full parties in this docket.   On Feb. 16</w:t>
            </w:r>
            <w:r>
              <w:rPr>
                <w:color w:val="000000"/>
                <w:sz w:val="18"/>
                <w:vertAlign w:val="superscript"/>
              </w:rPr>
              <w:t>th</w:t>
            </w:r>
            <w:r>
              <w:rPr>
                <w:color w:val="000000"/>
                <w:sz w:val="18"/>
              </w:rPr>
              <w:t xml:space="preserve"> the ALJ granted limited intervention status to Northern and ANR.  This gives the companies the full rights of a party for the purpose of the PSC hearing but would not recognize them for the purpose of an appeal.  The companies have until Feb. 28</w:t>
            </w:r>
            <w:r>
              <w:rPr>
                <w:color w:val="000000"/>
                <w:sz w:val="18"/>
                <w:vertAlign w:val="superscript"/>
              </w:rPr>
              <w:t>th</w:t>
            </w:r>
            <w:r>
              <w:rPr>
                <w:color w:val="000000"/>
                <w:sz w:val="18"/>
              </w:rPr>
              <w:t xml:space="preserve"> to object to this treatment.  </w:t>
            </w:r>
            <w:r>
              <w:rPr>
                <w:b/>
                <w:i/>
                <w:color w:val="0000FF"/>
                <w:sz w:val="18"/>
              </w:rPr>
              <w:t>NNG filed an objection and requested to be recognized as a full party for all purposes.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Republicans control the governor’s office and the House (55R-44D).  Democrats command the Senate (17D-16R).  </w:t>
            </w:r>
            <w:r>
              <w:rPr>
                <w:b/>
                <w:color w:val="00008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Wisconsin Legislature began Jan 25</w:t>
            </w:r>
            <w:r>
              <w:rPr>
                <w:color w:val="000000"/>
                <w:sz w:val="18"/>
                <w:vertAlign w:val="superscript"/>
              </w:rPr>
              <w:t>th</w:t>
            </w:r>
            <w:r>
              <w:rPr>
                <w:color w:val="000000"/>
                <w:sz w:val="18"/>
              </w:rPr>
              <w:t>.</w:t>
            </w:r>
          </w:p>
        </w:tc>
      </w:tr>
    </w:tbl>
    <w:p>
      <w:pPr>
        <w:pStyle w:val="Normal"/>
        <w:rPr/>
      </w:pPr>
      <w:r>
        <w:rPr/>
      </w:r>
    </w:p>
    <w:sectPr>
      <w:headerReference w:type="default" r:id="rId3"/>
      <w:headerReference w:type="first" r:id="rId4"/>
      <w:type w:val="nextPage"/>
      <w:pgSz w:orient="landscape" w:w="15840" w:h="12240"/>
      <w:pgMar w:left="720" w:right="720" w:gutter="0" w:header="706" w:top="762" w:footer="0" w:bottom="5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t xml:space="preserve">3/03/2000 Govt. Affairs Report  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18"/>
    </w:rPr>
  </w:style>
  <w:style w:type="paragraph" w:styleId="Heading2">
    <w:name w:val="heading 2"/>
    <w:basedOn w:val="Normal"/>
    <w:next w:val="Normal"/>
    <w:qFormat/>
    <w:pPr>
      <w:keepNext w:val="true"/>
      <w:numPr>
        <w:ilvl w:val="1"/>
        <w:numId w:val="1"/>
      </w:numPr>
      <w:outlineLvl w:val="1"/>
    </w:pPr>
    <w:rPr>
      <w:b/>
      <w:i/>
      <w:color w:val="0000FF"/>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b/>
      <w:i/>
      <w:color w:val="0000FF"/>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te.ia.us/iub"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2000-03-03T16:34:00Z</dcterms:created>
  <dc:creator>ET&amp;S Field Support</dc:creator>
  <dc:description/>
  <dc:language>en-CA</dc:language>
  <cp:lastModifiedBy>Lon Stanton</cp:lastModifiedBy>
  <cp:lastPrinted>2000-02-02T09:11:00Z</cp:lastPrinted>
  <dcterms:modified xsi:type="dcterms:W3CDTF">2000-03-03T17:06:00Z</dcterms:modified>
  <cp:revision>9</cp:revision>
  <dc:subject/>
  <dc:title>Northern Natural Gas Company</dc:title>
</cp:coreProperties>
</file>