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sz w:val="36"/>
        </w:rPr>
      </w:pPr>
      <w:r>
        <w:rPr>
          <w:b/>
          <w:sz w:val="36"/>
        </w:rPr>
        <w:t>GAS ACCOUNTING</w:t>
      </w:r>
    </w:p>
    <w:p>
      <w:pPr>
        <w:pStyle w:val="Normal"/>
        <w:rPr>
          <w:b/>
          <w:sz w:val="28"/>
        </w:rPr>
      </w:pPr>
      <w:r>
        <w:rPr>
          <w:b/>
          <w:sz w:val="28"/>
        </w:rPr>
        <w:t>August 15-16, 2000</w:t>
      </w:r>
    </w:p>
    <w:p>
      <w:pPr>
        <w:pStyle w:val="Normal"/>
        <w:rPr>
          <w:b/>
          <w:sz w:val="28"/>
        </w:rPr>
      </w:pPr>
      <w:r>
        <w:rPr>
          <w:b/>
          <w:sz w:val="28"/>
        </w:rPr>
        <w:t>Koch Industries</w:t>
      </w:r>
    </w:p>
    <w:p>
      <w:pPr>
        <w:pStyle w:val="Normal"/>
        <w:rPr>
          <w:b/>
          <w:sz w:val="28"/>
        </w:rPr>
      </w:pPr>
      <w:r>
        <w:rPr>
          <w:b/>
          <w:sz w:val="28"/>
        </w:rPr>
      </w:r>
    </w:p>
    <w:p>
      <w:pPr>
        <w:pStyle w:val="Normal"/>
        <w:rPr>
          <w:b/>
        </w:rPr>
      </w:pPr>
      <w:r>
        <w:rPr>
          <w:b/>
        </w:rPr>
      </w:r>
    </w:p>
    <w:p>
      <w:pPr>
        <w:pStyle w:val="BodyText"/>
        <w:jc w:val="both"/>
        <w:rPr/>
      </w:pPr>
      <w:r>
        <w:rPr>
          <w:sz w:val="22"/>
        </w:rPr>
        <w:t xml:space="preserve">The </w:t>
      </w:r>
      <w:r>
        <w:rPr>
          <w:b/>
          <w:i/>
          <w:sz w:val="22"/>
        </w:rPr>
        <w:t>Gas Accounting</w:t>
      </w:r>
      <w:r>
        <w:rPr>
          <w:sz w:val="22"/>
        </w:rPr>
        <w:t xml:space="preserve"> training class focuses on the Post Order 636 world and the importance of Gas Accounting Function, especially the importance of timely, accurate data and the effects of poor upstream/downstream data on the Gas Accounting Function.  Attendees learn how and why the contract process, rate process, gas management (nominations/confirmations) process and allocation process affect the accounting process.  Various methods of verifying transportation, purchase and sales volumes, and rates are taught along with methods of reconciling this data during and at the end of the month.  Also, the various allocation methods are discussed, along with priority and curtailment issues, as well as the pros and cons of transportation imbalance and penalty exposure which show how pricing fluctuations affect parties with imbalances.  The training class uses case studies and in-depth discussions of real problems at a nuts-and-bolts level to illustrate the concepts being discussed.</w:t>
      </w:r>
    </w:p>
    <w:p>
      <w:pPr>
        <w:pStyle w:val="Normal"/>
        <w:jc w:val="both"/>
        <w:rPr>
          <w:sz w:val="22"/>
        </w:rPr>
      </w:pPr>
      <w:r>
        <w:rPr>
          <w:sz w:val="22"/>
        </w:rPr>
      </w:r>
    </w:p>
    <w:p>
      <w:pPr>
        <w:pStyle w:val="Normal"/>
        <w:jc w:val="both"/>
        <w:rPr>
          <w:sz w:val="22"/>
        </w:rPr>
      </w:pPr>
      <w:r>
        <w:rPr>
          <w:sz w:val="22"/>
        </w:rPr>
        <w:t>Who should attend?  Any employee in the electricity or natural gas industries, such as power traders, contract administrators, pricing analysts, gas traders, dispatchers, accountants, budget and planning analysts, information systems personnel, and schedulers.</w:t>
      </w:r>
    </w:p>
    <w:p>
      <w:pPr>
        <w:pStyle w:val="Normal"/>
        <w:jc w:val="both"/>
        <w:rPr>
          <w:sz w:val="22"/>
        </w:rPr>
      </w:pPr>
      <w:r>
        <w:rPr>
          <w:sz w:val="22"/>
        </w:rPr>
      </w:r>
    </w:p>
    <w:p>
      <w:pPr>
        <w:pStyle w:val="Normal"/>
        <w:jc w:val="both"/>
        <w:rPr>
          <w:sz w:val="22"/>
        </w:rPr>
      </w:pPr>
      <w:r>
        <w:rPr>
          <w:sz w:val="22"/>
        </w:rPr>
        <w:t>Students attending this training class will learn:</w:t>
      </w:r>
    </w:p>
    <w:p>
      <w:pPr>
        <w:pStyle w:val="Normal"/>
        <w:numPr>
          <w:ilvl w:val="0"/>
          <w:numId w:val="8"/>
        </w:numPr>
        <w:ind w:hanging="360" w:start="1080" w:end="0"/>
        <w:jc w:val="both"/>
        <w:rPr>
          <w:sz w:val="22"/>
        </w:rPr>
      </w:pPr>
      <w:r>
        <w:rPr>
          <w:sz w:val="22"/>
        </w:rPr>
        <w:t>how to measure, record and value the purchase, transport and sales of natural gas</w:t>
      </w:r>
    </w:p>
    <w:p>
      <w:pPr>
        <w:pStyle w:val="Normal"/>
        <w:numPr>
          <w:ilvl w:val="0"/>
          <w:numId w:val="9"/>
        </w:numPr>
        <w:ind w:hanging="360" w:start="1080" w:end="0"/>
        <w:jc w:val="both"/>
        <w:rPr>
          <w:sz w:val="22"/>
        </w:rPr>
      </w:pPr>
      <w:r>
        <w:rPr>
          <w:sz w:val="22"/>
        </w:rPr>
        <w:t>the importance of upstream and downstream information flows and the effect on allocations, balancing, penalties and invoices</w:t>
      </w:r>
    </w:p>
    <w:p>
      <w:pPr>
        <w:pStyle w:val="Normal"/>
        <w:numPr>
          <w:ilvl w:val="0"/>
          <w:numId w:val="9"/>
        </w:numPr>
        <w:ind w:hanging="360" w:start="1080" w:end="0"/>
        <w:jc w:val="both"/>
        <w:rPr>
          <w:sz w:val="22"/>
        </w:rPr>
      </w:pPr>
      <w:r>
        <w:rPr>
          <w:sz w:val="22"/>
        </w:rPr>
        <w:t>how to properly verify volumes and rates for billing, invoicing and balancing purposes</w:t>
      </w:r>
    </w:p>
    <w:p>
      <w:pPr>
        <w:pStyle w:val="Normal"/>
        <w:numPr>
          <w:ilvl w:val="0"/>
          <w:numId w:val="9"/>
        </w:numPr>
        <w:ind w:hanging="360" w:start="1080" w:end="0"/>
        <w:jc w:val="both"/>
        <w:rPr>
          <w:sz w:val="22"/>
        </w:rPr>
      </w:pPr>
      <w:r>
        <w:rPr>
          <w:sz w:val="22"/>
        </w:rPr>
        <w:t>how to make sense of the reconciliation process and learn some practical ways to make the process easier</w:t>
      </w:r>
    </w:p>
    <w:p>
      <w:pPr>
        <w:pStyle w:val="Normal"/>
        <w:numPr>
          <w:ilvl w:val="0"/>
          <w:numId w:val="9"/>
        </w:numPr>
        <w:ind w:hanging="360" w:start="1080" w:end="0"/>
        <w:jc w:val="both"/>
        <w:rPr>
          <w:sz w:val="22"/>
        </w:rPr>
      </w:pPr>
      <w:r>
        <w:rPr>
          <w:sz w:val="22"/>
        </w:rPr>
        <w:t>how to calculate various transportation, sales and purchase rates</w:t>
      </w:r>
    </w:p>
    <w:p>
      <w:pPr>
        <w:pStyle w:val="Normal"/>
        <w:numPr>
          <w:ilvl w:val="0"/>
          <w:numId w:val="9"/>
        </w:numPr>
        <w:ind w:hanging="360" w:start="1080" w:end="0"/>
        <w:jc w:val="both"/>
        <w:rPr>
          <w:sz w:val="22"/>
        </w:rPr>
      </w:pPr>
      <w:r>
        <w:rPr>
          <w:sz w:val="22"/>
        </w:rPr>
        <w:t>how to read and interpret tariff transportation rates</w:t>
      </w:r>
    </w:p>
    <w:p>
      <w:pPr>
        <w:pStyle w:val="Normal"/>
        <w:numPr>
          <w:ilvl w:val="0"/>
          <w:numId w:val="9"/>
        </w:numPr>
        <w:ind w:hanging="360" w:start="1080" w:end="0"/>
        <w:jc w:val="both"/>
        <w:rPr>
          <w:sz w:val="22"/>
        </w:rPr>
      </w:pPr>
      <w:r>
        <w:rPr>
          <w:sz w:val="22"/>
        </w:rPr>
        <w:t>how to balance estimated and actual volumes during the month and at the end of the month</w:t>
      </w:r>
    </w:p>
    <w:p>
      <w:pPr>
        <w:pStyle w:val="Normal"/>
        <w:numPr>
          <w:ilvl w:val="0"/>
          <w:numId w:val="9"/>
        </w:numPr>
        <w:ind w:hanging="360" w:start="1080" w:end="0"/>
        <w:jc w:val="both"/>
        <w:rPr>
          <w:sz w:val="22"/>
        </w:rPr>
      </w:pPr>
      <w:r>
        <w:rPr>
          <w:sz w:val="22"/>
        </w:rPr>
        <w:t>how to calculate and bill the various cashout methods and penalties used today</w:t>
      </w:r>
    </w:p>
    <w:p>
      <w:pPr>
        <w:pStyle w:val="Normal"/>
        <w:numPr>
          <w:ilvl w:val="0"/>
          <w:numId w:val="9"/>
        </w:numPr>
        <w:ind w:hanging="360" w:start="1080" w:end="0"/>
        <w:jc w:val="both"/>
        <w:rPr>
          <w:sz w:val="22"/>
        </w:rPr>
      </w:pPr>
      <w:r>
        <w:rPr>
          <w:sz w:val="22"/>
        </w:rPr>
        <w:t>how to properly identify and use OBA’s and PDA’s</w:t>
      </w:r>
    </w:p>
    <w:p>
      <w:pPr>
        <w:pStyle w:val="Normal"/>
        <w:tabs>
          <w:tab w:val="clear" w:pos="720"/>
          <w:tab w:val="left" w:pos="1080" w:leader="none"/>
        </w:tabs>
        <w:ind w:start="1080" w:end="0"/>
        <w:jc w:val="both"/>
        <w:rPr>
          <w:sz w:val="22"/>
        </w:rPr>
      </w:pPr>
      <w:r>
        <w:rPr>
          <w:sz w:val="22"/>
        </w:rPr>
      </w:r>
    </w:p>
    <w:p>
      <w:pPr>
        <w:pStyle w:val="Normal"/>
        <w:ind w:hanging="720" w:start="720" w:end="0"/>
        <w:jc w:val="both"/>
        <w:rPr/>
      </w:pPr>
      <w:r>
        <w:rPr>
          <w:b/>
          <w:sz w:val="22"/>
        </w:rPr>
        <w:t>Section I - Introduction</w:t>
      </w:r>
      <w:r>
        <w:rPr>
          <w:sz w:val="22"/>
        </w:rPr>
        <w:t xml:space="preserve"> to the physical, regulatory and economic enviroment in which the Gas Management professional works on a daily basis.</w:t>
      </w:r>
    </w:p>
    <w:p>
      <w:pPr>
        <w:pStyle w:val="Normal"/>
        <w:ind w:hanging="720" w:start="720" w:end="0"/>
        <w:jc w:val="both"/>
        <w:rPr/>
      </w:pPr>
      <w:r>
        <w:rPr>
          <w:b/>
          <w:sz w:val="22"/>
        </w:rPr>
        <w:t>Section II – Requirements of Gas Accounting</w:t>
      </w:r>
      <w:r>
        <w:rPr>
          <w:sz w:val="22"/>
        </w:rPr>
        <w:t xml:space="preserve"> discusses the process for recording the data required for dealing with the purchase, transport and sales  of natural gas and how to reconcile the recorded data between the various parties involved in the process.</w:t>
      </w:r>
    </w:p>
    <w:p>
      <w:pPr>
        <w:pStyle w:val="Normal"/>
        <w:ind w:hanging="720" w:start="720" w:end="0"/>
        <w:jc w:val="both"/>
        <w:rPr/>
      </w:pPr>
      <w:r>
        <w:rPr>
          <w:b/>
          <w:sz w:val="22"/>
        </w:rPr>
        <w:t>Section III – Revenue Accounting</w:t>
      </w:r>
      <w:r>
        <w:rPr>
          <w:sz w:val="22"/>
        </w:rPr>
        <w:t xml:space="preserve"> discusses the process of measuring, recording and valuing the flows of natural gas at the wellhead.</w:t>
      </w:r>
    </w:p>
    <w:p>
      <w:pPr>
        <w:pStyle w:val="Normal"/>
        <w:ind w:hanging="720" w:start="720" w:end="0"/>
        <w:jc w:val="both"/>
        <w:rPr/>
      </w:pPr>
      <w:r>
        <w:rPr>
          <w:b/>
          <w:sz w:val="22"/>
        </w:rPr>
        <w:t>Section IV – Plant Accounting</w:t>
      </w:r>
      <w:r>
        <w:rPr>
          <w:sz w:val="22"/>
        </w:rPr>
        <w:t xml:space="preserve"> covers the procedures of processing natural gas and how to account for this process.</w:t>
      </w:r>
    </w:p>
    <w:p>
      <w:pPr>
        <w:pStyle w:val="Normal"/>
        <w:ind w:hanging="720" w:start="720" w:end="0"/>
        <w:jc w:val="both"/>
        <w:rPr/>
      </w:pPr>
      <w:r>
        <w:rPr>
          <w:b/>
          <w:sz w:val="22"/>
        </w:rPr>
        <w:t>Section V – Transportation Accounting</w:t>
      </w:r>
      <w:r>
        <w:rPr>
          <w:sz w:val="22"/>
        </w:rPr>
        <w:t xml:space="preserve"> discusses the processes and procedures for measuring, recording and valuing the flow of natural gas under transportation contracts.</w:t>
      </w:r>
    </w:p>
    <w:p>
      <w:pPr>
        <w:pStyle w:val="Normal"/>
        <w:ind w:hanging="720" w:start="720" w:end="0"/>
        <w:jc w:val="both"/>
        <w:rPr/>
      </w:pPr>
      <w:r>
        <w:rPr>
          <w:b/>
          <w:sz w:val="22"/>
        </w:rPr>
        <w:t>Section VI – Allocations</w:t>
      </w:r>
      <w:r>
        <w:rPr>
          <w:sz w:val="22"/>
        </w:rPr>
        <w:t xml:space="preserve"> discusses the role of the various allocation methods in the accounting process.</w:t>
      </w:r>
    </w:p>
    <w:p>
      <w:pPr>
        <w:pStyle w:val="Normal"/>
        <w:ind w:hanging="720" w:start="720" w:end="0"/>
        <w:jc w:val="both"/>
        <w:rPr/>
      </w:pPr>
      <w:r>
        <w:rPr>
          <w:b/>
          <w:sz w:val="22"/>
        </w:rPr>
        <w:t>Section VII – Billing and Invoicing</w:t>
      </w:r>
      <w:r>
        <w:rPr>
          <w:sz w:val="22"/>
        </w:rPr>
        <w:t xml:space="preserve"> discusses the verification and calculation of the transportation, purchase and sales, rates involved in moving natural gas.</w:t>
      </w:r>
    </w:p>
    <w:p>
      <w:pPr>
        <w:pStyle w:val="Normal"/>
        <w:ind w:hanging="720" w:start="720" w:end="0"/>
        <w:jc w:val="both"/>
        <w:rPr/>
      </w:pPr>
      <w:r>
        <w:rPr>
          <w:b/>
          <w:sz w:val="22"/>
        </w:rPr>
        <w:t>Section VIII – Conclusion</w:t>
      </w:r>
      <w:r>
        <w:rPr>
          <w:sz w:val="22"/>
        </w:rPr>
        <w:t xml:space="preserve"> discusses the revenue considerations of imbalances and penalties and the importance of timely and accurate data.</w:t>
      </w:r>
    </w:p>
    <w:p>
      <w:pPr>
        <w:sectPr>
          <w:type w:val="nextPage"/>
          <w:pgSz w:w="12240" w:h="15840"/>
          <w:pgMar w:left="1440" w:right="1440" w:gutter="0" w:header="0" w:top="1440" w:footer="0" w:bottom="1152"/>
          <w:pgNumType w:fmt="decimal"/>
          <w:formProt w:val="false"/>
          <w:textDirection w:val="lrTb"/>
          <w:docGrid w:type="default" w:linePitch="360" w:charSpace="0"/>
        </w:sectPr>
      </w:pPr>
    </w:p>
    <w:p>
      <w:pPr>
        <w:pStyle w:val="Heading2"/>
        <w:ind w:hanging="0" w:start="0"/>
        <w:rPr>
          <w:b/>
          <w:caps/>
        </w:rPr>
      </w:pPr>
      <w:r>
        <w:rPr>
          <w:b/>
          <w:caps/>
        </w:rPr>
        <w:t>Gas Accounting</w:t>
      </w:r>
    </w:p>
    <w:p>
      <w:pPr>
        <w:pStyle w:val="Heading2"/>
        <w:ind w:hanging="0" w:start="0"/>
        <w:rPr>
          <w:caps/>
        </w:rPr>
      </w:pPr>
      <w:r>
        <w:rPr>
          <w:b/>
          <w:caps/>
        </w:rPr>
        <w:t>Training Class Outline</w:t>
      </w:r>
    </w:p>
    <w:p>
      <w:pPr>
        <w:pStyle w:val="Normal"/>
        <w:rPr>
          <w:caps/>
          <w:sz w:val="24"/>
        </w:rPr>
      </w:pPr>
      <w:r>
        <w:rPr>
          <w:caps/>
          <w:sz w:val="24"/>
        </w:rPr>
      </w:r>
    </w:p>
    <w:p>
      <w:pPr>
        <w:pStyle w:val="Normal"/>
        <w:rPr>
          <w:sz w:val="24"/>
        </w:rPr>
      </w:pPr>
      <w:r>
        <w:rPr>
          <w:sz w:val="24"/>
        </w:rPr>
      </w:r>
    </w:p>
    <w:p>
      <w:pPr>
        <w:pStyle w:val="Heading5"/>
        <w:ind w:hanging="0" w:start="0"/>
        <w:rPr/>
      </w:pPr>
      <w:r>
        <w:rPr/>
        <w:t>Day One</w:t>
      </w:r>
    </w:p>
    <w:p>
      <w:pPr>
        <w:pStyle w:val="Normal"/>
        <w:rPr/>
      </w:pPr>
      <w:r>
        <w:rPr/>
      </w:r>
    </w:p>
    <w:p>
      <w:pPr>
        <w:pStyle w:val="Normal"/>
        <w:ind w:hanging="720" w:start="720" w:end="0"/>
        <w:rPr/>
      </w:pPr>
      <w:r>
        <w:rPr/>
        <w:t>7:30 - 8:00</w:t>
      </w:r>
    </w:p>
    <w:p>
      <w:pPr>
        <w:pStyle w:val="BodyTextIndent2"/>
        <w:rPr/>
      </w:pPr>
      <w:r>
        <w:rPr/>
        <w:t>Continental Breakfast and Registration</w:t>
      </w:r>
    </w:p>
    <w:p>
      <w:pPr>
        <w:pStyle w:val="BodyTextIndent"/>
        <w:rPr/>
      </w:pPr>
      <w:r>
        <w:rPr/>
      </w:r>
    </w:p>
    <w:p>
      <w:pPr>
        <w:pStyle w:val="BodyTextIndent"/>
        <w:rPr/>
      </w:pPr>
      <w:r>
        <w:rPr/>
        <w:t>8:00 – 9:30</w:t>
      </w:r>
    </w:p>
    <w:p>
      <w:pPr>
        <w:pStyle w:val="BodyTextIndent"/>
        <w:ind w:start="2160" w:end="0"/>
        <w:rPr>
          <w:b/>
          <w:caps/>
        </w:rPr>
      </w:pPr>
      <w:r>
        <w:rPr>
          <w:b/>
          <w:caps/>
        </w:rPr>
        <w:t>Introduction</w:t>
      </w:r>
    </w:p>
    <w:p>
      <w:pPr>
        <w:pStyle w:val="BodyTextIndent"/>
        <w:numPr>
          <w:ilvl w:val="0"/>
          <w:numId w:val="10"/>
        </w:numPr>
        <w:ind w:hanging="360" w:start="1080" w:end="0"/>
        <w:rPr/>
      </w:pPr>
      <w:r>
        <w:rPr/>
        <w:t>Operational activities involved in the gas cycle</w:t>
      </w:r>
    </w:p>
    <w:p>
      <w:pPr>
        <w:pStyle w:val="Normal"/>
        <w:numPr>
          <w:ilvl w:val="0"/>
          <w:numId w:val="7"/>
        </w:numPr>
        <w:ind w:hanging="360" w:start="1080" w:end="0"/>
        <w:rPr/>
      </w:pPr>
      <w:r>
        <w:rPr/>
        <w:t>Revenue generation management process – contracts thru billing</w:t>
      </w:r>
    </w:p>
    <w:p>
      <w:pPr>
        <w:pStyle w:val="Normal"/>
        <w:numPr>
          <w:ilvl w:val="0"/>
          <w:numId w:val="4"/>
        </w:numPr>
        <w:rPr/>
      </w:pPr>
      <w:r>
        <w:rPr/>
        <w:t>Natural gas – the product</w:t>
      </w:r>
    </w:p>
    <w:p>
      <w:pPr>
        <w:pStyle w:val="Normal"/>
        <w:numPr>
          <w:ilvl w:val="0"/>
          <w:numId w:val="4"/>
        </w:numPr>
        <w:rPr/>
      </w:pPr>
      <w:r>
        <w:rPr/>
        <w:t>Key services terms</w:t>
      </w:r>
    </w:p>
    <w:p>
      <w:pPr>
        <w:pStyle w:val="Normal"/>
        <w:numPr>
          <w:ilvl w:val="0"/>
          <w:numId w:val="4"/>
        </w:numPr>
        <w:rPr/>
      </w:pPr>
      <w:r>
        <w:rPr/>
        <w:t>Key player definitions</w:t>
      </w:r>
    </w:p>
    <w:p>
      <w:pPr>
        <w:pStyle w:val="Normal"/>
        <w:rPr/>
      </w:pPr>
      <w:r>
        <w:rPr/>
      </w:r>
    </w:p>
    <w:p>
      <w:pPr>
        <w:pStyle w:val="Normal"/>
        <w:rPr/>
      </w:pPr>
      <w:r>
        <w:rPr/>
        <w:t>9:30 – 10:30</w:t>
      </w:r>
    </w:p>
    <w:p>
      <w:pPr>
        <w:pStyle w:val="BodyTextIndent2"/>
        <w:rPr/>
      </w:pPr>
      <w:r>
        <w:rPr/>
        <w:t>Requirements of Gas Accounting</w:t>
      </w:r>
    </w:p>
    <w:p>
      <w:pPr>
        <w:pStyle w:val="Normal"/>
        <w:numPr>
          <w:ilvl w:val="0"/>
          <w:numId w:val="12"/>
        </w:numPr>
        <w:ind w:hanging="720" w:start="1440" w:end="0"/>
        <w:rPr/>
      </w:pPr>
      <w:r>
        <w:rPr/>
        <w:t>The gas accounting process</w:t>
      </w:r>
    </w:p>
    <w:p>
      <w:pPr>
        <w:pStyle w:val="Normal"/>
        <w:numPr>
          <w:ilvl w:val="0"/>
          <w:numId w:val="12"/>
        </w:numPr>
        <w:ind w:hanging="360" w:start="1080" w:end="0"/>
        <w:rPr/>
      </w:pPr>
      <w:r>
        <w:rPr/>
        <w:t>Importance of timely and accurate data</w:t>
      </w:r>
    </w:p>
    <w:p>
      <w:pPr>
        <w:pStyle w:val="Normal"/>
        <w:numPr>
          <w:ilvl w:val="0"/>
          <w:numId w:val="12"/>
        </w:numPr>
        <w:ind w:hanging="360" w:start="1080" w:end="0"/>
        <w:rPr/>
      </w:pPr>
      <w:r>
        <w:rPr/>
        <w:t>Gas accounting flow chart</w:t>
      </w:r>
    </w:p>
    <w:p>
      <w:pPr>
        <w:pStyle w:val="Normal"/>
        <w:numPr>
          <w:ilvl w:val="0"/>
          <w:numId w:val="12"/>
        </w:numPr>
        <w:ind w:hanging="360" w:start="1080" w:end="0"/>
        <w:rPr/>
      </w:pPr>
      <w:r>
        <w:rPr/>
        <w:t>Industry players responsibilities</w:t>
      </w:r>
    </w:p>
    <w:p>
      <w:pPr>
        <w:pStyle w:val="Normal"/>
        <w:numPr>
          <w:ilvl w:val="0"/>
          <w:numId w:val="12"/>
        </w:numPr>
        <w:ind w:hanging="360" w:start="1080" w:end="0"/>
        <w:rPr/>
      </w:pPr>
      <w:r>
        <w:rPr/>
        <w:t>Monthly accounting business cycle</w:t>
      </w:r>
    </w:p>
    <w:p>
      <w:pPr>
        <w:pStyle w:val="Normal"/>
        <w:rPr/>
      </w:pPr>
      <w:r>
        <w:rPr/>
      </w:r>
    </w:p>
    <w:p>
      <w:pPr>
        <w:pStyle w:val="Normal"/>
        <w:rPr/>
      </w:pPr>
      <w:r>
        <w:rPr/>
        <w:t>10:30 – 11:15</w:t>
      </w:r>
    </w:p>
    <w:p>
      <w:pPr>
        <w:pStyle w:val="Heading3"/>
        <w:rPr/>
      </w:pPr>
      <w:r>
        <w:rPr/>
        <w:t>REVENUE ACCOUNTING</w:t>
      </w:r>
    </w:p>
    <w:p>
      <w:pPr>
        <w:pStyle w:val="Normal"/>
        <w:numPr>
          <w:ilvl w:val="0"/>
          <w:numId w:val="5"/>
        </w:numPr>
        <w:rPr>
          <w:b/>
        </w:rPr>
      </w:pPr>
      <w:r>
        <w:rPr/>
        <w:t>Volumetric measurement vs EFM</w:t>
      </w:r>
    </w:p>
    <w:p>
      <w:pPr>
        <w:pStyle w:val="Normal"/>
        <w:numPr>
          <w:ilvl w:val="0"/>
          <w:numId w:val="5"/>
        </w:numPr>
        <w:rPr>
          <w:b/>
        </w:rPr>
      </w:pPr>
      <w:r>
        <w:rPr/>
        <w:t>Gross revenues</w:t>
      </w:r>
    </w:p>
    <w:p>
      <w:pPr>
        <w:pStyle w:val="Normal"/>
        <w:numPr>
          <w:ilvl w:val="0"/>
          <w:numId w:val="5"/>
        </w:numPr>
        <w:rPr>
          <w:b/>
        </w:rPr>
      </w:pPr>
      <w:r>
        <w:rPr/>
        <w:t>Economic interests and division orders</w:t>
      </w:r>
    </w:p>
    <w:p>
      <w:pPr>
        <w:pStyle w:val="Normal"/>
        <w:numPr>
          <w:ilvl w:val="0"/>
          <w:numId w:val="5"/>
        </w:numPr>
        <w:rPr>
          <w:b/>
        </w:rPr>
      </w:pPr>
      <w:r>
        <w:rPr/>
        <w:t>Reconciling gas flows</w:t>
      </w:r>
    </w:p>
    <w:p>
      <w:pPr>
        <w:pStyle w:val="Normal"/>
        <w:numPr>
          <w:ilvl w:val="0"/>
          <w:numId w:val="5"/>
        </w:numPr>
        <w:rPr>
          <w:b/>
        </w:rPr>
      </w:pPr>
      <w:r>
        <w:rPr/>
        <w:t>Revenue accounting problems</w:t>
      </w:r>
    </w:p>
    <w:p>
      <w:pPr>
        <w:pStyle w:val="Normal"/>
        <w:rPr>
          <w:b/>
        </w:rPr>
      </w:pPr>
      <w:r>
        <w:rPr>
          <w:b/>
        </w:rPr>
      </w:r>
    </w:p>
    <w:p>
      <w:pPr>
        <w:pStyle w:val="Normal"/>
        <w:rPr/>
      </w:pPr>
      <w:r>
        <w:rPr/>
        <w:t>11:15 – 12:00</w:t>
      </w:r>
    </w:p>
    <w:p>
      <w:pPr>
        <w:pStyle w:val="BodyTextIndent2"/>
        <w:rPr/>
      </w:pPr>
      <w:r>
        <w:rPr/>
        <w:t>Plant Accounting</w:t>
      </w:r>
    </w:p>
    <w:p>
      <w:pPr>
        <w:pStyle w:val="Normal"/>
        <w:numPr>
          <w:ilvl w:val="0"/>
          <w:numId w:val="12"/>
        </w:numPr>
        <w:ind w:hanging="360" w:start="1080" w:end="0"/>
        <w:rPr/>
      </w:pPr>
      <w:r>
        <w:rPr/>
        <w:t>Gas processing</w:t>
      </w:r>
    </w:p>
    <w:p>
      <w:pPr>
        <w:pStyle w:val="Normal"/>
        <w:numPr>
          <w:ilvl w:val="0"/>
          <w:numId w:val="12"/>
        </w:numPr>
        <w:ind w:hanging="360" w:start="1080" w:end="0"/>
        <w:rPr/>
      </w:pPr>
      <w:r>
        <w:rPr/>
        <w:t>PVR and PTR</w:t>
      </w:r>
    </w:p>
    <w:p>
      <w:pPr>
        <w:pStyle w:val="Normal"/>
        <w:numPr>
          <w:ilvl w:val="0"/>
          <w:numId w:val="12"/>
        </w:numPr>
        <w:ind w:hanging="360" w:start="1080" w:end="0"/>
        <w:rPr/>
      </w:pPr>
      <w:r>
        <w:rPr/>
        <w:t>Reconciling gas flows</w:t>
      </w:r>
    </w:p>
    <w:p>
      <w:pPr>
        <w:pStyle w:val="Normal"/>
        <w:numPr>
          <w:ilvl w:val="0"/>
          <w:numId w:val="3"/>
        </w:numPr>
        <w:rPr/>
      </w:pPr>
      <w:r>
        <w:rPr/>
        <w:t>Plant accounting problems</w:t>
      </w:r>
    </w:p>
    <w:p>
      <w:pPr>
        <w:pStyle w:val="Normal"/>
        <w:rPr/>
      </w:pPr>
      <w:r>
        <w:rPr/>
      </w:r>
    </w:p>
    <w:p>
      <w:pPr>
        <w:pStyle w:val="Normal"/>
        <w:rPr>
          <w:b/>
        </w:rPr>
      </w:pPr>
      <w:r>
        <w:rPr/>
        <w:t>12:00 – 1:00</w:t>
      </w:r>
    </w:p>
    <w:p>
      <w:pPr>
        <w:pStyle w:val="Heading3"/>
        <w:rPr>
          <w:b w:val="false"/>
          <w:caps/>
        </w:rPr>
      </w:pPr>
      <w:r>
        <w:rPr>
          <w:b w:val="false"/>
          <w:caps/>
        </w:rPr>
      </w:r>
    </w:p>
    <w:p>
      <w:pPr>
        <w:pStyle w:val="Heading3"/>
        <w:rPr>
          <w:caps/>
        </w:rPr>
      </w:pPr>
      <w:r>
        <w:rPr>
          <w:caps/>
        </w:rPr>
        <w:t>Lunch</w:t>
      </w:r>
    </w:p>
    <w:p>
      <w:pPr>
        <w:pStyle w:val="Normal"/>
        <w:rPr>
          <w:caps/>
        </w:rPr>
      </w:pPr>
      <w:r>
        <w:rPr>
          <w:caps/>
        </w:rPr>
      </w:r>
    </w:p>
    <w:p>
      <w:pPr>
        <w:pStyle w:val="Normal"/>
        <w:rPr/>
      </w:pPr>
      <w:r>
        <w:rPr/>
        <w:t>1:00 – 2:30</w:t>
      </w:r>
    </w:p>
    <w:p>
      <w:pPr>
        <w:pStyle w:val="Heading3"/>
        <w:rPr>
          <w:caps/>
        </w:rPr>
      </w:pPr>
      <w:r>
        <w:rPr>
          <w:caps/>
        </w:rPr>
        <w:t>transportation accounting</w:t>
      </w:r>
    </w:p>
    <w:p>
      <w:pPr>
        <w:pStyle w:val="Normal"/>
        <w:numPr>
          <w:ilvl w:val="0"/>
          <w:numId w:val="13"/>
        </w:numPr>
        <w:ind w:hanging="360" w:start="1080" w:end="0"/>
        <w:rPr/>
      </w:pPr>
      <w:r>
        <w:rPr/>
        <w:t>Transportation contracts</w:t>
      </w:r>
    </w:p>
    <w:p>
      <w:pPr>
        <w:pStyle w:val="Normal"/>
        <w:numPr>
          <w:ilvl w:val="0"/>
          <w:numId w:val="13"/>
        </w:numPr>
        <w:ind w:hanging="360" w:start="1080" w:end="0"/>
        <w:rPr/>
      </w:pPr>
      <w:r>
        <w:rPr/>
        <w:t>Capacity release contracts</w:t>
      </w:r>
    </w:p>
    <w:p>
      <w:pPr>
        <w:pStyle w:val="Normal"/>
        <w:numPr>
          <w:ilvl w:val="0"/>
          <w:numId w:val="13"/>
        </w:numPr>
        <w:ind w:hanging="360" w:start="1080" w:end="0"/>
        <w:rPr/>
      </w:pPr>
      <w:r>
        <w:rPr/>
        <w:t>Gathering contracts</w:t>
      </w:r>
    </w:p>
    <w:p>
      <w:pPr>
        <w:pStyle w:val="Normal"/>
        <w:numPr>
          <w:ilvl w:val="0"/>
          <w:numId w:val="13"/>
        </w:numPr>
        <w:ind w:hanging="360" w:start="1080" w:end="0"/>
        <w:rPr/>
      </w:pPr>
      <w:r>
        <w:rPr/>
        <w:t>Fuel calculations</w:t>
      </w:r>
    </w:p>
    <w:p>
      <w:pPr>
        <w:pStyle w:val="Normal"/>
        <w:numPr>
          <w:ilvl w:val="0"/>
          <w:numId w:val="11"/>
        </w:numPr>
        <w:rPr/>
      </w:pPr>
      <w:r>
        <w:rPr/>
        <w:t>Transportation accounting problems</w:t>
      </w:r>
    </w:p>
    <w:p>
      <w:pPr>
        <w:pStyle w:val="Normal"/>
        <w:rPr/>
      </w:pPr>
      <w:r>
        <w:rPr/>
      </w:r>
    </w:p>
    <w:p>
      <w:pPr>
        <w:pStyle w:val="Normal"/>
        <w:rPr/>
      </w:pPr>
      <w:r>
        <w:rPr/>
        <w:t>2:30 – 4:30</w:t>
      </w:r>
    </w:p>
    <w:p>
      <w:pPr>
        <w:pStyle w:val="Heading3"/>
        <w:rPr/>
      </w:pPr>
      <w:r>
        <w:rPr/>
        <w:t>ALLOCATIONS</w:t>
      </w:r>
    </w:p>
    <w:p>
      <w:pPr>
        <w:pStyle w:val="Normal"/>
        <w:numPr>
          <w:ilvl w:val="0"/>
          <w:numId w:val="14"/>
        </w:numPr>
        <w:rPr>
          <w:b/>
        </w:rPr>
      </w:pPr>
      <w:r>
        <w:rPr/>
        <w:t>The allocation process</w:t>
      </w:r>
    </w:p>
    <w:p>
      <w:pPr>
        <w:pStyle w:val="Normal"/>
        <w:numPr>
          <w:ilvl w:val="0"/>
          <w:numId w:val="14"/>
        </w:numPr>
        <w:rPr>
          <w:b/>
        </w:rPr>
      </w:pPr>
      <w:r>
        <w:rPr/>
        <w:t>Pre-Determined Allocations – methods and discussion</w:t>
      </w:r>
    </w:p>
    <w:p>
      <w:pPr>
        <w:pStyle w:val="Normal"/>
        <w:numPr>
          <w:ilvl w:val="0"/>
          <w:numId w:val="14"/>
        </w:numPr>
        <w:rPr>
          <w:b/>
        </w:rPr>
      </w:pPr>
      <w:r>
        <w:rPr/>
        <w:t>Role of allocations in the gas accounting process</w:t>
      </w:r>
    </w:p>
    <w:p>
      <w:pPr>
        <w:pStyle w:val="Normal"/>
        <w:rPr>
          <w:b/>
        </w:rPr>
      </w:pPr>
      <w:r>
        <w:rPr>
          <w:b/>
        </w:rPr>
      </w:r>
    </w:p>
    <w:p>
      <w:pPr>
        <w:pStyle w:val="Heading5"/>
        <w:ind w:hanging="0" w:start="0"/>
        <w:rPr>
          <w:rFonts w:ascii="Times New Roman" w:hAnsi="Times New Roman" w:cs="Times New Roman"/>
        </w:rPr>
      </w:pPr>
      <w:r>
        <w:rPr>
          <w:rFonts w:cs="Times New Roman" w:ascii="Times New Roman" w:hAnsi="Times New Roman"/>
        </w:rPr>
        <w:t>Day Two</w:t>
      </w:r>
    </w:p>
    <w:p>
      <w:pPr>
        <w:pStyle w:val="Normal"/>
        <w:rPr>
          <w:rFonts w:ascii="Times New Roman" w:hAnsi="Times New Roman" w:cs="Times New Roman"/>
          <w:b/>
        </w:rPr>
      </w:pPr>
      <w:r>
        <w:rPr>
          <w:rFonts w:cs="Times New Roman"/>
          <w:b/>
        </w:rPr>
      </w:r>
    </w:p>
    <w:p>
      <w:pPr>
        <w:pStyle w:val="Normal"/>
        <w:ind w:hanging="720" w:start="720" w:end="0"/>
        <w:rPr/>
      </w:pPr>
      <w:r>
        <w:rPr/>
        <w:t>7:30 - 8:00</w:t>
      </w:r>
    </w:p>
    <w:p>
      <w:pPr>
        <w:pStyle w:val="BodyTextIndent2"/>
        <w:rPr/>
      </w:pPr>
      <w:r>
        <w:rPr/>
        <w:t>Continental Breakfast</w:t>
      </w:r>
    </w:p>
    <w:p>
      <w:pPr>
        <w:pStyle w:val="BodyTextIndent"/>
        <w:rPr/>
      </w:pPr>
      <w:r>
        <w:rPr/>
      </w:r>
    </w:p>
    <w:p>
      <w:pPr>
        <w:pStyle w:val="BodyTextIndent"/>
        <w:rPr/>
      </w:pPr>
      <w:r>
        <w:rPr/>
        <w:t>8:00 – 10:00</w:t>
      </w:r>
    </w:p>
    <w:p>
      <w:pPr>
        <w:pStyle w:val="BodyTextIndent"/>
        <w:ind w:start="2160" w:end="0"/>
        <w:rPr>
          <w:b/>
          <w:caps/>
        </w:rPr>
      </w:pPr>
      <w:r>
        <w:rPr>
          <w:b/>
          <w:caps/>
        </w:rPr>
        <w:t>billing and invoicing</w:t>
      </w:r>
    </w:p>
    <w:p>
      <w:pPr>
        <w:pStyle w:val="BodyTextIndent"/>
        <w:numPr>
          <w:ilvl w:val="0"/>
          <w:numId w:val="2"/>
        </w:numPr>
        <w:ind w:hanging="360" w:start="1080" w:end="0"/>
        <w:rPr/>
      </w:pPr>
      <w:r>
        <w:rPr/>
        <w:t>Verification of data for billing and invoicing</w:t>
      </w:r>
    </w:p>
    <w:p>
      <w:pPr>
        <w:pStyle w:val="BodyTextIndent"/>
        <w:numPr>
          <w:ilvl w:val="0"/>
          <w:numId w:val="2"/>
        </w:numPr>
        <w:ind w:hanging="360" w:start="1080" w:end="0"/>
        <w:rPr/>
      </w:pPr>
      <w:r>
        <w:rPr/>
        <w:t>Verification of transportation, purchase and sales rates</w:t>
      </w:r>
    </w:p>
    <w:p>
      <w:pPr>
        <w:pStyle w:val="BodyTextIndent"/>
        <w:numPr>
          <w:ilvl w:val="0"/>
          <w:numId w:val="2"/>
        </w:numPr>
        <w:ind w:hanging="360" w:start="1080" w:end="0"/>
        <w:rPr/>
      </w:pPr>
      <w:r>
        <w:rPr/>
        <w:t>Calculating sales and purchase contract and transportation tariff rates</w:t>
      </w:r>
    </w:p>
    <w:p>
      <w:pPr>
        <w:pStyle w:val="BodyTextIndent"/>
        <w:ind w:hanging="0" w:start="0" w:end="0"/>
        <w:rPr/>
      </w:pPr>
      <w:r>
        <w:rPr/>
      </w:r>
    </w:p>
    <w:p>
      <w:pPr>
        <w:pStyle w:val="BodyTextIndent"/>
        <w:ind w:hanging="0" w:start="0" w:end="0"/>
        <w:rPr/>
      </w:pPr>
      <w:r>
        <w:rPr/>
        <w:t>10:00 – 12:00</w:t>
      </w:r>
    </w:p>
    <w:p>
      <w:pPr>
        <w:pStyle w:val="BodyTextIndent"/>
        <w:ind w:hanging="0" w:start="720" w:end="0"/>
        <w:rPr>
          <w:b/>
        </w:rPr>
      </w:pPr>
      <w:r>
        <w:rPr>
          <w:b/>
        </w:rPr>
        <w:t>CONCLUSION</w:t>
      </w:r>
    </w:p>
    <w:p>
      <w:pPr>
        <w:pStyle w:val="BodyTextIndent"/>
        <w:numPr>
          <w:ilvl w:val="0"/>
          <w:numId w:val="6"/>
        </w:numPr>
        <w:rPr>
          <w:b/>
        </w:rPr>
      </w:pPr>
      <w:r>
        <w:rPr/>
        <w:t>Effects of pricing fluctuations on imblalances</w:t>
      </w:r>
    </w:p>
    <w:p>
      <w:pPr>
        <w:pStyle w:val="BodyTextIndent"/>
        <w:numPr>
          <w:ilvl w:val="0"/>
          <w:numId w:val="6"/>
        </w:numPr>
        <w:rPr>
          <w:b/>
        </w:rPr>
      </w:pPr>
      <w:r>
        <w:rPr/>
        <w:t>Using estimated and actual data for balancing</w:t>
      </w:r>
    </w:p>
    <w:p>
      <w:pPr>
        <w:pStyle w:val="BodyTextIndent"/>
        <w:numPr>
          <w:ilvl w:val="0"/>
          <w:numId w:val="6"/>
        </w:numPr>
        <w:rPr>
          <w:b/>
        </w:rPr>
      </w:pPr>
      <w:r>
        <w:rPr/>
        <w:t>Importance of accurate data for billing penalties and cashouts</w:t>
      </w:r>
    </w:p>
    <w:p>
      <w:pPr>
        <w:pStyle w:val="BodyTextIndent"/>
        <w:numPr>
          <w:ilvl w:val="0"/>
          <w:numId w:val="6"/>
        </w:numPr>
        <w:rPr>
          <w:b/>
        </w:rPr>
      </w:pPr>
      <w:r>
        <w:rPr/>
        <w:t>Balancing and penalty provisions</w:t>
      </w:r>
    </w:p>
    <w:p>
      <w:pPr>
        <w:pStyle w:val="Normal"/>
        <w:rPr>
          <w:b/>
        </w:rPr>
      </w:pPr>
      <w:r>
        <w:rPr>
          <w:b/>
        </w:rPr>
      </w:r>
    </w:p>
    <w:p>
      <w:pPr>
        <w:pStyle w:val="Normal"/>
        <w:rPr/>
      </w:pPr>
      <w:r>
        <w:rPr/>
        <w:t>12:00</w:t>
      </w:r>
    </w:p>
    <w:p>
      <w:pPr>
        <w:pStyle w:val="Normal"/>
        <w:rPr/>
      </w:pPr>
      <w:r>
        <w:rPr/>
        <w:t>ADJOURN</w:t>
      </w:r>
    </w:p>
    <w:p>
      <w:pPr>
        <w:sectPr>
          <w:type w:val="continuous"/>
          <w:pgSz w:w="12240" w:h="15840"/>
          <w:pgMar w:left="1440" w:right="1440" w:gutter="0" w:header="0" w:top="1440" w:footer="0" w:bottom="1152"/>
          <w:cols w:num="2" w:space="720" w:equalWidth="true" w:sep="false"/>
          <w:formProt w:val="false"/>
          <w:textDirection w:val="lrTb"/>
          <w:docGrid w:type="default" w:linePitch="360" w:charSpace="0"/>
        </w:sectPr>
      </w:pPr>
    </w:p>
    <w:p>
      <w:pPr>
        <w:pStyle w:val="Heading1"/>
        <w:numPr>
          <w:ilvl w:val="0"/>
          <w:numId w:val="0"/>
        </w:numPr>
        <w:rPr/>
      </w:pPr>
      <w:r>
        <w:rPr/>
      </w:r>
    </w:p>
    <w:p>
      <w:pPr>
        <w:sectPr>
          <w:type w:val="continuous"/>
          <w:pgSz w:w="12240" w:h="15840"/>
          <w:pgMar w:left="1440" w:right="1440" w:gutter="0" w:header="0" w:top="1440" w:footer="0" w:bottom="1152"/>
          <w:formProt w:val="false"/>
          <w:textDirection w:val="lrTb"/>
          <w:docGrid w:type="default" w:linePitch="360" w:charSpace="0"/>
        </w:sectPr>
      </w:pPr>
    </w:p>
    <w:p>
      <w:pPr>
        <w:pStyle w:val="Heading1"/>
        <w:ind w:hanging="0" w:start="0"/>
        <w:rPr/>
      </w:pPr>
      <w:r>
        <w:rPr/>
        <w:t>REGISTRATION FORM</w:t>
      </w:r>
    </w:p>
    <w:p>
      <w:pPr>
        <w:pStyle w:val="Heading6"/>
        <w:ind w:hanging="0" w:start="0"/>
        <w:rPr>
          <w:rFonts w:ascii="CG Times (WN)" w:hAnsi="CG Times (WN)" w:cs="CG Times (WN)"/>
        </w:rPr>
      </w:pPr>
      <w:r>
        <w:rPr>
          <w:rFonts w:cs="CG Times (WN)" w:ascii="CG Times (WN)" w:hAnsi="CG Times (WN)"/>
        </w:rPr>
        <w:t>August 15-16, 2000 at the Koch Industries Building  (20 East Greenway Plaza – Houston, TX)</w:t>
      </w:r>
    </w:p>
    <w:p>
      <w:pPr>
        <w:pStyle w:val="Normal"/>
        <w:rPr>
          <w:rFonts w:ascii="CG Times (WN)" w:hAnsi="CG Times (WN)" w:cs="CG Times (WN)"/>
        </w:rPr>
      </w:pPr>
      <w:r>
        <w:rPr>
          <w:rFonts w:cs="CG Times (WN)" w:ascii="CG Times (WN)" w:hAnsi="CG Times (WN)"/>
        </w:rPr>
      </w:r>
    </w:p>
    <w:p>
      <w:pPr>
        <w:pStyle w:val="BodyTextIndent"/>
        <w:ind w:hanging="0" w:start="0" w:end="0"/>
        <w:rPr/>
      </w:pPr>
      <w:r>
        <w:rPr/>
        <w:t xml:space="preserve">To register for the training class, please complete the registration form and mail it to NESA along with your registration fee. Attendance is limited to 25 students on a first-come, first-served basis.  These sessions are sure to sell out, so don't delay, register today!  For more information about NESA visit </w:t>
      </w:r>
      <w:hyperlink r:id="rId2">
        <w:r>
          <w:rPr>
            <w:rStyle w:val="Hyperlink"/>
          </w:rPr>
          <w:t>www.nesanet.org</w:t>
        </w:r>
      </w:hyperlink>
      <w:r>
        <w:rPr/>
        <w:t xml:space="preserve">. </w:t>
      </w:r>
    </w:p>
    <w:p>
      <w:pPr>
        <w:pStyle w:val="BodyTextIndent"/>
        <w:rPr/>
      </w:pPr>
      <w:r>
        <w:rPr/>
      </w:r>
    </w:p>
    <w:p>
      <w:pPr>
        <w:pStyle w:val="Normal"/>
        <w:spacing w:lineRule="auto" w:line="360"/>
        <w:rPr/>
      </w:pPr>
      <w:r>
        <w:rPr/>
        <w:t xml:space="preserve">Full Name </w:t>
      </w:r>
      <w:r>
        <w:rPr>
          <w:u w:val="single"/>
        </w:rPr>
        <w:tab/>
        <w:tab/>
        <w:tab/>
        <w:tab/>
        <w:tab/>
        <w:tab/>
        <w:tab/>
        <w:tab/>
        <w:tab/>
        <w:tab/>
        <w:tab/>
      </w:r>
    </w:p>
    <w:p>
      <w:pPr>
        <w:pStyle w:val="Normal"/>
        <w:spacing w:lineRule="auto" w:line="360"/>
        <w:rPr/>
      </w:pPr>
      <w:r>
        <w:rPr/>
        <w:t xml:space="preserve">Nickname for badge </w:t>
      </w:r>
      <w:r>
        <w:rPr>
          <w:u w:val="single"/>
        </w:rPr>
        <w:tab/>
        <w:tab/>
        <w:tab/>
        <w:tab/>
        <w:tab/>
        <w:tab/>
        <w:tab/>
        <w:tab/>
        <w:tab/>
        <w:tab/>
      </w:r>
    </w:p>
    <w:p>
      <w:pPr>
        <w:pStyle w:val="Normal"/>
        <w:spacing w:lineRule="auto" w:line="360"/>
        <w:rPr/>
      </w:pPr>
      <w:r>
        <w:rPr/>
        <w:t xml:space="preserve">Title </w:t>
      </w:r>
      <w:r>
        <w:rPr>
          <w:u w:val="single"/>
        </w:rPr>
        <w:tab/>
        <w:tab/>
        <w:tab/>
        <w:tab/>
        <w:tab/>
        <w:tab/>
        <w:tab/>
        <w:tab/>
        <w:tab/>
        <w:tab/>
        <w:tab/>
        <w:tab/>
      </w:r>
    </w:p>
    <w:p>
      <w:pPr>
        <w:pStyle w:val="Normal"/>
        <w:spacing w:lineRule="auto" w:line="360"/>
        <w:rPr/>
      </w:pPr>
      <w:r>
        <w:rPr/>
        <w:t xml:space="preserve">Company </w:t>
      </w:r>
      <w:r>
        <w:rPr>
          <w:u w:val="single"/>
        </w:rPr>
        <w:tab/>
        <w:tab/>
        <w:tab/>
        <w:tab/>
        <w:tab/>
        <w:tab/>
        <w:tab/>
        <w:tab/>
        <w:tab/>
        <w:tab/>
        <w:tab/>
      </w:r>
    </w:p>
    <w:p>
      <w:pPr>
        <w:pStyle w:val="Normal"/>
        <w:spacing w:lineRule="auto" w:line="360"/>
        <w:rPr/>
      </w:pPr>
      <w:r>
        <w:rPr/>
        <w:t xml:space="preserve">Address </w:t>
        <w:tab/>
      </w:r>
      <w:r>
        <w:rPr>
          <w:u w:val="single"/>
        </w:rPr>
        <w:tab/>
        <w:tab/>
        <w:tab/>
        <w:tab/>
        <w:tab/>
        <w:tab/>
        <w:tab/>
        <w:tab/>
        <w:tab/>
        <w:tab/>
        <w:tab/>
      </w:r>
    </w:p>
    <w:p>
      <w:pPr>
        <w:pStyle w:val="Normal"/>
        <w:spacing w:lineRule="auto" w:line="360"/>
        <w:rPr/>
      </w:pPr>
      <w:r>
        <w:rPr/>
        <w:t xml:space="preserve">City </w:t>
      </w:r>
      <w:r>
        <w:rPr>
          <w:u w:val="single"/>
        </w:rPr>
        <w:tab/>
        <w:tab/>
        <w:tab/>
        <w:tab/>
        <w:tab/>
        <w:tab/>
      </w:r>
      <w:r>
        <w:rPr/>
        <w:t xml:space="preserve">  State </w:t>
      </w:r>
      <w:r>
        <w:rPr>
          <w:u w:val="single"/>
        </w:rPr>
        <w:tab/>
        <w:tab/>
      </w:r>
      <w:r>
        <w:rPr/>
        <w:t xml:space="preserve">  Zip </w:t>
      </w:r>
      <w:r>
        <w:rPr>
          <w:u w:val="single"/>
        </w:rPr>
        <w:tab/>
        <w:tab/>
        <w:tab/>
        <w:tab/>
      </w:r>
    </w:p>
    <w:p>
      <w:pPr>
        <w:pStyle w:val="Normal"/>
        <w:spacing w:lineRule="auto" w:line="360"/>
        <w:rPr/>
      </w:pPr>
      <w:r>
        <w:rPr/>
        <w:t>Email_________________________________________________________________________________</w:t>
      </w:r>
    </w:p>
    <w:p>
      <w:pPr>
        <w:pStyle w:val="Normal"/>
        <w:spacing w:lineRule="auto" w:line="360"/>
        <w:rPr/>
      </w:pPr>
      <w:r>
        <w:rPr/>
        <w:t xml:space="preserve">Phone </w:t>
      </w:r>
      <w:r>
        <w:rPr>
          <w:u w:val="single"/>
        </w:rPr>
        <w:tab/>
        <w:tab/>
        <w:tab/>
        <w:tab/>
        <w:tab/>
        <w:tab/>
      </w:r>
      <w:r>
        <w:rPr/>
        <w:t xml:space="preserve">  FAX </w:t>
      </w:r>
      <w:r>
        <w:rPr>
          <w:u w:val="single"/>
        </w:rPr>
        <w:tab/>
        <w:tab/>
        <w:tab/>
        <w:tab/>
        <w:tab/>
        <w:tab/>
      </w:r>
    </w:p>
    <w:p>
      <w:pPr>
        <w:pStyle w:val="Normal"/>
        <w:spacing w:lineRule="auto" w:line="360"/>
        <w:rPr/>
      </w:pPr>
      <w:r>
        <w:rPr>
          <w:b/>
        </w:rPr>
        <w:t>Method of payment:  $$_______</w:t>
      </w:r>
      <w:r>
        <w:rPr/>
        <w:tab/>
        <w:t xml:space="preserve">         ___Check or money order </w:t>
        <w:tab/>
        <w:t>___Visa ___MasterCard ___AmEx</w:t>
      </w:r>
    </w:p>
    <w:p>
      <w:pPr>
        <w:pStyle w:val="Normal"/>
        <w:spacing w:lineRule="auto" w:line="360"/>
        <w:rPr>
          <w:sz w:val="22"/>
        </w:rPr>
      </w:pPr>
      <w:r>
        <w:rPr>
          <w:sz w:val="22"/>
        </w:rPr>
        <w:t>Card Number___________________________________ Expiration Date___________________</w:t>
      </w:r>
    </w:p>
    <w:p>
      <w:pPr>
        <w:pStyle w:val="Normal"/>
        <w:spacing w:lineRule="auto" w:line="360"/>
        <w:rPr>
          <w:sz w:val="22"/>
        </w:rPr>
      </w:pPr>
      <w:r>
        <w:rPr>
          <w:sz w:val="22"/>
        </w:rPr>
        <w:t>Name on card (please print)________________________________________________________</w:t>
      </w:r>
    </w:p>
    <w:p>
      <w:pPr>
        <w:pStyle w:val="Normal"/>
        <w:spacing w:lineRule="auto" w:line="360"/>
        <w:rPr>
          <w:sz w:val="22"/>
        </w:rPr>
      </w:pPr>
      <w:r>
        <w:rPr>
          <w:sz w:val="22"/>
        </w:rPr>
        <w:t>Signature ______________________________________________________________________</w:t>
      </w:r>
    </w:p>
    <w:p>
      <w:pPr>
        <w:pStyle w:val="Normal"/>
        <w:rPr>
          <w:sz w:val="22"/>
        </w:rPr>
      </w:pPr>
      <w:r>
        <w:rPr>
          <w:sz w:val="22"/>
        </w:rPr>
      </w:r>
    </w:p>
    <w:p>
      <w:pPr>
        <w:pStyle w:val="BodyTextIndent"/>
        <w:rPr/>
      </w:pPr>
      <w:r>
        <w:rPr>
          <w:b/>
        </w:rPr>
        <w:t>Registration Fee - Member</w:t>
      </w:r>
      <w:r>
        <w:rPr/>
        <w:t>: Enclosed is my check payable in U.S. Dollars to the National Energy Services Association for the member-discounted rate of $545.00 per NESA member registered.  (Additional members from the same company may attend at the reduced rate of $395 per NESA member.)  Registration fee covers such things as course instructors' fees, meeting facilities and materials, luncheon, refreshment breaks, and other related costs.  I understand that attendance is limited, and that I will receive confirmation of my registration at least 10 days prior to the session.</w:t>
      </w:r>
    </w:p>
    <w:p>
      <w:pPr>
        <w:pStyle w:val="Normal"/>
        <w:rPr/>
      </w:pPr>
      <w:r>
        <w:rPr/>
      </w:r>
    </w:p>
    <w:p>
      <w:pPr>
        <w:pStyle w:val="BodyTextIndent"/>
        <w:rPr/>
      </w:pPr>
      <w:r>
        <w:rPr>
          <w:b/>
        </w:rPr>
        <w:t>Registration Fee - Non-Member</w:t>
      </w:r>
      <w:r>
        <w:rPr/>
        <w:t>: Enclosed is check payable in U.S. Dollars to the National Energy Services Association for the rate of $745.00 per delegate registered.  (Additional members from the same company may attend at the reduced rate of $595 per NESA member.)  I understand that NESA members will receive priority assignment over non-members who will be accepted on a space available basis only. Should space be available, I also understand that I will receive confirmation of my registration at 10 days prior to the session.</w:t>
      </w:r>
    </w:p>
    <w:p>
      <w:pPr>
        <w:pStyle w:val="Normal"/>
        <w:rPr/>
      </w:pPr>
      <w:r>
        <w:rPr/>
      </w:r>
    </w:p>
    <w:p>
      <w:pPr>
        <w:pStyle w:val="BodyTextIndent"/>
        <w:tabs>
          <w:tab w:val="clear" w:pos="720"/>
          <w:tab w:val="left" w:pos="1350" w:leader="none"/>
        </w:tabs>
        <w:rPr/>
      </w:pPr>
      <w:r>
        <w:rPr>
          <w:b/>
        </w:rPr>
        <w:t>Refund Policy</w:t>
      </w:r>
      <w:r>
        <w:rPr/>
        <w:t xml:space="preserve">:    </w:t>
      </w:r>
      <w:r>
        <w:rPr>
          <w:u w:val="single"/>
        </w:rPr>
        <w:t xml:space="preserve">Refunds, minus a $125 handling fee, will be made for written cancellations received on or before </w:t>
      </w:r>
      <w:r>
        <w:rPr>
          <w:b/>
          <w:u w:val="single"/>
        </w:rPr>
        <w:t>10 working days prior to the start of each class</w:t>
      </w:r>
      <w:r>
        <w:rPr/>
        <w:t>.  Cancellations received after that date are non-refundable.  Substitutions are acceptable.</w:t>
      </w:r>
    </w:p>
    <w:p>
      <w:pPr>
        <w:pStyle w:val="Normal"/>
        <w:rPr/>
      </w:pPr>
      <w:r>
        <w:rPr/>
      </w:r>
    </w:p>
    <w:p>
      <w:pPr>
        <w:pStyle w:val="BodyTextIndent"/>
        <w:rPr/>
      </w:pPr>
      <w:r>
        <w:rPr>
          <w:b/>
        </w:rPr>
        <w:t>Return this Form</w:t>
      </w:r>
      <w:r>
        <w:rPr/>
        <w:t>: Please make a copy of this registration form - retain original for your records.  Send form accompanied by your check to: National Energy Services Association, 6830 N. Eldridge Parkway, Suite 302, Houston, TX 77041.  Phone (713) 856-6525, FAX (713) 856-6199.</w:t>
      </w:r>
    </w:p>
    <w:p>
      <w:pPr>
        <w:pStyle w:val="Normal"/>
        <w:rPr/>
      </w:pPr>
      <w:r>
        <w:rPr/>
      </w:r>
    </w:p>
    <w:p>
      <w:pPr>
        <w:pStyle w:val="BodyTextIndent"/>
        <w:ind w:hanging="0" w:start="0" w:end="0"/>
        <w:rPr/>
      </w:pPr>
      <w:r>
        <w:rPr/>
        <w:t>NESA is registered with the National Association of State Boards of Accountancy as a sponsor of continuing professional education on the National Registry of CPE Sponsors.  State boards of accountancy have final authority on the acceptance of individual courses.  Complaints regarding sponsors may be addressed to NASBA, 150 4</w:t>
      </w:r>
      <w:r>
        <w:rPr>
          <w:vertAlign w:val="superscript"/>
        </w:rPr>
        <w:t>th</w:t>
      </w:r>
      <w:r>
        <w:rPr/>
        <w:t xml:space="preserve"> Avenue, Ste 700 Nashville, TN 37219-2417 (615) 880-4200.  Check if applying for CPE Credits</w:t>
        <w:tab/>
      </w:r>
      <w:r>
        <w:rPr>
          <w:rFonts w:eastAsia="Monotype Sorts" w:cs="Monotype Sorts" w:ascii="Monotype Sorts" w:hAnsi="Monotype Sorts"/>
          <w:sz w:val="32"/>
        </w:rPr>
        <w:sym w:font="Monotype Sorts" w:char="f06f"/>
      </w:r>
    </w:p>
    <w:p>
      <w:pPr>
        <w:pStyle w:val="Normal"/>
        <w:rPr/>
      </w:pPr>
      <w:r>
        <w:rPr/>
      </w:r>
    </w:p>
    <w:p>
      <w:pPr>
        <w:pStyle w:val="BodyTextIndent"/>
        <w:ind w:hanging="0" w:start="0" w:end="0"/>
        <w:rPr>
          <w:sz w:val="16"/>
        </w:rPr>
      </w:pPr>
      <w:r>
        <w:rPr>
          <w:sz w:val="16"/>
        </w:rPr>
        <w:t>The NATIONAL ENERGY SERVICES ASSOCIATION is a non-profit organization made up of individual members who share in NESA a common expertise in energy services and common goals to improve energy services throughout North America.  The NESA offers technical conferences, national seminars and professional development workshops for the mutual improvement and education of its members and those in the regulatory arena.</w:t>
      </w:r>
    </w:p>
    <w:p>
      <w:pPr>
        <w:sectPr>
          <w:type w:val="nextPage"/>
          <w:pgSz w:w="12240" w:h="15840"/>
          <w:pgMar w:left="1440" w:right="1440" w:gutter="0" w:header="0" w:top="1440" w:footer="0" w:bottom="720"/>
          <w:pgNumType w:fmt="decimal"/>
          <w:formProt w:val="false"/>
          <w:textDirection w:val="lrTb"/>
          <w:docGrid w:type="default" w:linePitch="360" w:charSpace="0"/>
        </w:sectPr>
      </w:pPr>
    </w:p>
    <w:p>
      <w:pPr>
        <w:pStyle w:val="BodyTextIndent"/>
        <w:ind w:hanging="0" w:start="0" w:end="0"/>
        <w:rPr>
          <w:sz w:val="16"/>
        </w:rPr>
      </w:pPr>
      <w:r>
        <w:rPr>
          <w:sz w:val="16"/>
        </w:rPr>
      </w:r>
    </w:p>
    <w:p>
      <w:pPr>
        <w:pStyle w:val="Normal"/>
        <w:rPr>
          <w:sz w:val="16"/>
        </w:rPr>
      </w:pPr>
      <w:r>
        <w:rPr>
          <w:sz w:val="16"/>
        </w:rPr>
      </w:r>
    </w:p>
    <w:sectPr>
      <w:type w:val="continuous"/>
      <w:pgSz w:w="12240" w:h="15840"/>
      <w:pgMar w:left="1440" w:right="1440" w:gutter="0" w:header="0" w:top="1440" w:footer="0" w:bottom="72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Monotype Sort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ind w:hanging="0" w:start="720" w:end="0"/>
      <w:outlineLvl w:val="2"/>
    </w:pPr>
    <w:rPr>
      <w:b/>
    </w:rPr>
  </w:style>
  <w:style w:type="paragraph" w:styleId="Heading5">
    <w:name w:val="heading 5"/>
    <w:basedOn w:val="Normal"/>
    <w:next w:val="Normal"/>
    <w:qFormat/>
    <w:pPr>
      <w:keepNext w:val="true"/>
      <w:numPr>
        <w:ilvl w:val="4"/>
        <w:numId w:val="1"/>
      </w:numPr>
      <w:outlineLvl w:val="4"/>
    </w:pPr>
    <w:rPr>
      <w:rFonts w:ascii="CG Times (WN)" w:hAnsi="CG Times (WN)" w:cs="CG Times (WN)"/>
      <w:b/>
      <w:i/>
    </w:rPr>
  </w:style>
  <w:style w:type="paragraph" w:styleId="Heading6">
    <w:name w:val="heading 6"/>
    <w:basedOn w:val="Normal"/>
    <w:next w:val="Normal"/>
    <w:qFormat/>
    <w:pPr>
      <w:keepNext w:val="true"/>
      <w:numPr>
        <w:ilvl w:val="5"/>
        <w:numId w:val="1"/>
      </w:numPr>
      <w:outlineLvl w:val="5"/>
    </w:pPr>
    <w:rPr>
      <w:b/>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paragraph" w:styleId="BodyTextIndent2">
    <w:name w:val="Body Text Indent 2"/>
    <w:basedOn w:val="Normal"/>
    <w:qFormat/>
    <w:pPr>
      <w:ind w:hanging="720" w:start="1440" w:end="0"/>
    </w:pPr>
    <w:rPr>
      <w:b/>
      <w:cap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esanet.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2000-06-28T16:33:00Z</dcterms:created>
  <dc:creator>Todd Carroll</dc:creator>
  <dc:description/>
  <dc:language>en-CA</dc:language>
  <cp:lastModifiedBy>Todd Carroll</cp:lastModifiedBy>
  <cp:lastPrinted>2000-07-07T08:42:00Z</cp:lastPrinted>
  <dcterms:modified xsi:type="dcterms:W3CDTF">2000-07-07T11:12:00Z</dcterms:modified>
  <cp:revision>3</cp:revision>
  <dc:subject/>
  <dc:title>GAS ACCOUNTING</dc:title>
</cp:coreProperties>
</file>