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480" w:leader="none"/>
        </w:tabs>
        <w:jc w:val="center"/>
        <w:rPr>
          <w:b/>
          <w:smallCaps/>
        </w:rPr>
      </w:pPr>
      <w:r>
        <w:rPr>
          <w:b/>
          <w:smallCaps/>
        </w:rPr>
        <w:t>Gregory Alan Rutchik, Esq.</w:t>
      </w:r>
    </w:p>
    <w:p>
      <w:pPr>
        <w:pStyle w:val="Normal"/>
        <w:jc w:val="center"/>
        <w:rPr>
          <w:smallCaps/>
          <w:sz w:val="22"/>
        </w:rPr>
      </w:pPr>
      <w:r>
        <w:rPr>
          <w:smallCaps/>
          <w:sz w:val="22"/>
        </w:rPr>
        <w:t>2250 Bay Street, Apt. 210, San Francisco, Ca 94123</w:t>
      </w:r>
    </w:p>
    <w:p>
      <w:pPr>
        <w:pStyle w:val="Normal"/>
        <w:spacing w:before="0" w:after="120"/>
        <w:jc w:val="center"/>
        <w:rPr>
          <w:b/>
          <w:smallCaps/>
          <w:sz w:val="22"/>
        </w:rPr>
      </w:pPr>
      <w:r>
        <w:rPr>
          <w:smallCaps/>
          <w:sz w:val="22"/>
        </w:rPr>
        <w:t>Tel. 650-224-2621; greg_rutchik@yahoo.com</w:t>
      </w:r>
    </w:p>
    <w:tbl>
      <w:tblPr>
        <w:tblW w:w="1062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8910"/>
      </w:tblGrid>
      <w:tr>
        <w:trPr/>
        <w:tc>
          <w:tcPr>
            <w:tcW w:w="1710" w:type="dxa"/>
            <w:tcBorders/>
          </w:tcPr>
          <w:p>
            <w:pPr>
              <w:pStyle w:val="Normal"/>
              <w:rPr/>
            </w:pPr>
            <w:r>
              <w:rPr>
                <w:b/>
                <w:smallCaps/>
                <w:sz w:val="22"/>
              </w:rPr>
              <w:t>Experience</w:t>
            </w:r>
            <w:r>
              <w:rPr>
                <w:sz w:val="22"/>
              </w:rPr>
              <w:t xml:space="preserve"> August 2000 to present</w:t>
            </w:r>
          </w:p>
        </w:tc>
        <w:tc>
          <w:tcPr>
            <w:tcW w:w="8910" w:type="dxa"/>
            <w:tcBorders/>
          </w:tcPr>
          <w:p>
            <w:pPr>
              <w:pStyle w:val="Normal"/>
              <w:jc w:val="start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Loudcloud, Inc. (LDCL), Sunnyvale, California</w:t>
            </w:r>
          </w:p>
          <w:p>
            <w:pPr>
              <w:pStyle w:val="Normal"/>
              <w:jc w:val="start"/>
              <w:rPr>
                <w:rFonts w:ascii="Times" w:hAnsi="Times" w:cs="Times"/>
                <w:bCs/>
                <w:i/>
                <w:i/>
                <w:iCs/>
                <w:sz w:val="22"/>
              </w:rPr>
            </w:pPr>
            <w:r>
              <w:rPr>
                <w:rFonts w:cs="Times" w:ascii="Times" w:hAnsi="Times"/>
                <w:bCs/>
                <w:i/>
                <w:iCs/>
                <w:sz w:val="22"/>
              </w:rPr>
              <w:t>Assistant General Counsel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</w:tabs>
              <w:ind w:hanging="342" w:start="342" w:end="0"/>
              <w:jc w:val="start"/>
              <w:rPr>
                <w:rFonts w:ascii="Times" w:hAnsi="Times" w:cs="Times"/>
                <w:bCs/>
                <w:sz w:val="22"/>
              </w:rPr>
            </w:pPr>
            <w:r>
              <w:rPr>
                <w:rFonts w:cs="Times" w:ascii="Times" w:hAnsi="Times"/>
                <w:bCs/>
                <w:sz w:val="22"/>
              </w:rPr>
              <w:t>Draft and negotiate (as lead) complex, $multi-million IT infrastructure outsourcing service agreements (closed Ford-global -- performance warrants, diverse and complex technology and service needs, Estee Lauder, Citigroup’s Atriax entity-US and UK—involving proprietary finance trading/SEC issues, lease back, hardware transfer scenarios and export issues, gloss.com, Network Appliance, NSA/Lockheed—involving classified and non-classified portions related to diverse governmental needs, Schwab; negotiate and structure (as primary internal contact) supplier and partner-side in-license, technology sharing, channel and joint-marketing agreements (closed Akamai channel partner distribution, AOL integration/distribution, ATT master data center services agmt, Compaq strategic alliance/preferred provider, EMC master service, Equinix data center, Gartner analysts/info svs, Giga info svs, Goodby Silverstein advertising and media placement, MCI World-Com data center services/ cross country bandwidth, Microsoft application service agreement, Oracle software and service, TIBCO, Veritas)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</w:tabs>
              <w:spacing w:before="0" w:after="120"/>
              <w:ind w:hanging="346" w:start="346" w:end="0"/>
              <w:jc w:val="start"/>
              <w:rPr>
                <w:rFonts w:ascii="Times" w:hAnsi="Times" w:cs="Times"/>
                <w:bCs/>
                <w:sz w:val="22"/>
              </w:rPr>
            </w:pPr>
            <w:r>
              <w:rPr>
                <w:rFonts w:cs="Times" w:ascii="Times" w:hAnsi="Times"/>
                <w:bCs/>
                <w:sz w:val="22"/>
              </w:rPr>
              <w:t xml:space="preserve">Advise and counsel product/technology development groups re: open source, terms of use, encryption, press releases, US-EU Safe Harbor (privacy) application process, France/Germany privacy policy; developed NDA and customer service agreement negotiators playbook, develop and run in-house MCLE program, manager/teacher to 2 contracts managers and jr. lawyers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January 2000 to August 2000</w:t>
            </w:r>
          </w:p>
        </w:tc>
        <w:tc>
          <w:tcPr>
            <w:tcW w:w="8910" w:type="dxa"/>
            <w:tcBorders/>
          </w:tcPr>
          <w:p>
            <w:pPr>
              <w:pStyle w:val="Normal"/>
              <w:jc w:val="start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Noosh, Inc., Palo Alto, California</w:t>
            </w:r>
          </w:p>
          <w:p>
            <w:pPr>
              <w:pStyle w:val="Normal"/>
              <w:jc w:val="star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Corporate Legal Counsel (web based print procurement service)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</w:tabs>
              <w:ind w:hanging="360" w:start="342" w:end="0"/>
              <w:jc w:val="start"/>
              <w:rPr>
                <w:b/>
                <w:smallCaps/>
                <w:sz w:val="22"/>
              </w:rPr>
            </w:pPr>
            <w:r>
              <w:rPr>
                <w:rFonts w:cs="Times" w:ascii="Times" w:hAnsi="Times"/>
                <w:bCs/>
                <w:sz w:val="22"/>
              </w:rPr>
              <w:t xml:space="preserve">Draft and negotiate ASP service agreements with majority of buyers and print supplier customers (closed Aetna, Bank of America, Cigna, GE, Reynolds/Reynolds, Wells Fargo, and more than 100 major print suppliers); Close daily contact with Sr. VP of Sales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</w:tabs>
              <w:ind w:hanging="360" w:start="342" w:end="0"/>
              <w:jc w:val="start"/>
              <w:rPr>
                <w:b/>
                <w:smallCaps/>
                <w:sz w:val="22"/>
              </w:rPr>
            </w:pPr>
            <w:r>
              <w:rPr>
                <w:rFonts w:cs="Times" w:ascii="Times" w:hAnsi="Times"/>
                <w:bCs/>
                <w:sz w:val="22"/>
              </w:rPr>
              <w:t>Draft and negotiate strategic marketing, software development and integration and content license agreements (closed Ariba, EDS, paperexchange.com, Vio, Digital Arts, Webpkg); advised regarding XML standards body, data security, privacy policy/terms of use drafting and enforcement, press release review, purchase order terms and conditions, review and negotiate ndas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</w:tabs>
              <w:spacing w:before="0" w:after="120"/>
              <w:ind w:hanging="360" w:start="346" w:end="0"/>
              <w:jc w:val="start"/>
              <w:rPr>
                <w:b/>
                <w:smallCaps/>
                <w:sz w:val="22"/>
              </w:rPr>
            </w:pPr>
            <w:r>
              <w:rPr>
                <w:rFonts w:cs="Times" w:ascii="Times" w:hAnsi="Times"/>
                <w:bCs/>
                <w:sz w:val="22"/>
              </w:rPr>
              <w:t xml:space="preserve">Organized contracts data base for IPO due diligence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1998 to January 2000</w:t>
            </w:r>
          </w:p>
        </w:tc>
        <w:tc>
          <w:tcPr>
            <w:tcW w:w="8910" w:type="dxa"/>
            <w:tcBorders/>
          </w:tcPr>
          <w:p>
            <w:pPr>
              <w:pStyle w:val="Normal"/>
              <w:jc w:val="start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Cooley Godward LLP, Palo Alto, California</w:t>
            </w:r>
          </w:p>
          <w:p>
            <w:pPr>
              <w:pStyle w:val="Normal"/>
              <w:rPr/>
            </w:pPr>
            <w:r>
              <w:rPr>
                <w:i/>
                <w:sz w:val="22"/>
              </w:rPr>
              <w:t>Associate, Information Technology Group</w:t>
            </w:r>
            <w:r>
              <w:rPr>
                <w:sz w:val="22"/>
              </w:rPr>
              <w:t xml:space="preserve"> (deemed 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year)</w:t>
            </w:r>
          </w:p>
          <w:p>
            <w:pPr>
              <w:pStyle w:val="Normal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Draft, negotiate and advise start-up, Silicon Valley-based and multinational corporations (from term sheet to execution) regarding diverse agreements related to software and hardware in and out licensing/development, branding and promotions (revenue share and other compensation models), advertising and affinity programs, terms of use and privacy policies, portal agreements, email outsourcing, e-commerce fulfillment and supply, consulting and services agreements, Y2K and Euro conversion; representative clients included Alteon, Applied Materials, Backupbuddy/Blue Nomad, Ecrio, Egreetings, Eidos PLC, General Magic, Guru.com, Ivendor, Lumisys, Luna, Promptu, Terayon Communications, Toyota Caelum, Westaim, Wind River 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120"/>
              <w:rPr>
                <w:sz w:val="22"/>
              </w:rPr>
            </w:pPr>
            <w:r>
              <w:rPr>
                <w:sz w:val="22"/>
              </w:rPr>
              <w:t xml:space="preserve">Negotiated and advised re: technology licensing component of large scale spin-offs, M&amp;A and Series A thru end private financing for clients in enterprise software, interactive game development/publishing, web demographics, e-commerce and on-line content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FootnoteText"/>
              <w:rPr/>
            </w:pPr>
            <w:r>
              <w:rPr/>
              <w:t>November 1995 to 1998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The Arts and Technology Group, New York, New York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i/>
                <w:sz w:val="22"/>
              </w:rPr>
              <w:t>Sole practitioner/Acting in-house counsel and business development executive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b/>
                <w:smallCaps/>
                <w:sz w:val="22"/>
              </w:rPr>
            </w:pPr>
            <w:r>
              <w:rPr>
                <w:sz w:val="22"/>
              </w:rPr>
              <w:t xml:space="preserve">Structured, drafted and negotiated revenue driver relationships on behalf of US and German health care information services clients (Innovacare -- Munich-based funded by Warburg Pincus), (Medivault, Inc. – NY based funded by Frontier Insurance) and the licensing strategy for super computing and networking technologies patent portfolio of Thinking Machines; Initiated discussions with IBM, Intel, SGI, Toshiba, Fujitsu and Hitachi  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b/>
                <w:smallCaps/>
                <w:sz w:val="22"/>
              </w:rPr>
            </w:pPr>
            <w:r>
              <w:rPr>
                <w:sz w:val="22"/>
              </w:rPr>
              <w:t>Negotiated and structured online content agreements, e-commerce distribution and private equity agreements as right hand man to CEO of clients; initiated relationships with Netscape, Sun Microsystems, Gartner Group and the Kirch Group, American Express, the Signature Group, Aetna HealthCare, Chubb Group and HIP HealthCare; Closed AOL content provider agreement on behalf of shareware software distribution company (Magnum Commerce, Inc.) subsequently acquired by Digital River, Inc.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FootnoteText"/>
              <w:rPr/>
            </w:pPr>
            <w:r>
              <w:rPr/>
              <w:t>June 1994 to November 1995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Ostrolenk, Faber, Gerb &amp; Soffen, New York, New York</w:t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Associate, Intellectual Property Licensing and Litigation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418" w:leader="none"/>
              </w:tabs>
              <w:ind w:hanging="360" w:start="418" w:end="0"/>
              <w:rPr>
                <w:sz w:val="22"/>
              </w:rPr>
            </w:pPr>
            <w:r>
              <w:rPr>
                <w:sz w:val="22"/>
              </w:rPr>
              <w:t>Drafted diverse agreements related to software, chips and the arts and litigated (1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chair) infringement matters in Federal Court and before USTR (Special 301 matters)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1993 to June 1994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US Commerce Department Office of Technology Policy </w:t>
            </w:r>
          </w:p>
          <w:p>
            <w:pPr>
              <w:pStyle w:val="Normal"/>
              <w:spacing w:before="0" w:after="12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Contract Researcher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October 1993 to June 1994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Law Offices of Martin M. Rutchik, Connecticut and New York, New York</w:t>
            </w:r>
          </w:p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i/>
                <w:sz w:val="22"/>
              </w:rPr>
              <w:t>Associate, General Litigation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FootnoteText"/>
              <w:rPr/>
            </w:pPr>
            <w:r>
              <w:rPr/>
              <w:t>1991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Blue Chip Corporation, Tokyo, Japan and Washington, D.C.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405" w:leader="none"/>
              </w:tabs>
              <w:spacing w:before="0" w:after="120"/>
              <w:ind w:hanging="360" w:start="403" w:end="0"/>
              <w:rPr>
                <w:b/>
                <w:smallCaps/>
                <w:sz w:val="22"/>
              </w:rPr>
            </w:pPr>
            <w:r>
              <w:rPr>
                <w:sz w:val="22"/>
              </w:rPr>
              <w:t xml:space="preserve"> “</w:t>
            </w:r>
            <w:r>
              <w:rPr>
                <w:sz w:val="22"/>
              </w:rPr>
              <w:t>Advance Man” for President of Japan based corporation; lobbied Japanese and US gov’t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Summer 1990</w:t>
            </w:r>
          </w:p>
        </w:tc>
        <w:tc>
          <w:tcPr>
            <w:tcW w:w="8910" w:type="dxa"/>
            <w:tcBorders/>
          </w:tcPr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b/>
                <w:smallCaps/>
                <w:sz w:val="22"/>
              </w:rPr>
              <w:t xml:space="preserve">Office of the United States Trade Representative, Washington, D.C.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Honors</w:t>
            </w:r>
          </w:p>
          <w:p>
            <w:pPr>
              <w:pStyle w:val="FootnoteText"/>
              <w:rPr/>
            </w:pPr>
            <w:r>
              <w:rPr/>
              <w:t>1992 to 1993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Fulbright Fellow, University of Tokyo, Graduate School of Law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Supervising Professors: Mitsuo Matsushita and Kazunori Ishiguro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20"/>
              <w:rPr>
                <w:sz w:val="22"/>
              </w:rPr>
            </w:pPr>
            <w:r>
              <w:rPr>
                <w:sz w:val="22"/>
              </w:rPr>
              <w:t xml:space="preserve">Research Title: Licensing and Dispute Resolution Strategies among Japanese IT Companies 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mallCaps/>
                <w:sz w:val="22"/>
              </w:rPr>
              <w:t>Education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1989 to 1992</w:t>
            </w:r>
          </w:p>
        </w:tc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</w:r>
          </w:p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Temple University School of Law, Philadelphia, Pennsylvania</w:t>
            </w:r>
          </w:p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i/>
                <w:sz w:val="22"/>
              </w:rPr>
              <w:t>Juris Doctor, Dean’s List, GPA 3.2, Albert L. Friedman Prize for Excellence in Writing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sz w:val="22"/>
              </w:rPr>
              <w:t>Fall 1987</w:t>
            </w:r>
          </w:p>
        </w:tc>
        <w:tc>
          <w:tcPr>
            <w:tcW w:w="8910" w:type="dxa"/>
            <w:tcBorders/>
          </w:tcPr>
          <w:p>
            <w:pPr>
              <w:pStyle w:val="Normal"/>
              <w:spacing w:before="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Council on International Educational Exchange, Machida, Japan</w:t>
            </w:r>
          </w:p>
        </w:tc>
      </w:tr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Summer 1987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Harvard University, Cambridge, Massachusetts</w:t>
            </w:r>
          </w:p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sz w:val="22"/>
              </w:rPr>
              <w:t>Intensive Japanese Program</w:t>
            </w:r>
          </w:p>
        </w:tc>
      </w:tr>
      <w:tr>
        <w:trPr>
          <w:trHeight w:val="1017" w:hRule="atLeast"/>
        </w:trPr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1983 to 1987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Skidmore College, Saratoga Springs, New York</w:t>
            </w:r>
          </w:p>
          <w:p>
            <w:pPr>
              <w:pStyle w:val="Normal"/>
              <w:rPr/>
            </w:pPr>
            <w:r>
              <w:rPr>
                <w:i/>
                <w:sz w:val="22"/>
              </w:rPr>
              <w:t>B.A. in American Studies, Minor in Finance/Accounting, Dean’s List</w:t>
            </w:r>
            <w:r>
              <w:rPr>
                <w:sz w:val="22"/>
              </w:rPr>
              <w:t>, GPA 3.2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i/>
                <w:i/>
                <w:sz w:val="22"/>
              </w:rPr>
            </w:pPr>
            <w:r>
              <w:rPr>
                <w:sz w:val="22"/>
              </w:rPr>
              <w:t>Carlucci Award; Board of Trustees Subcommittee member of Presidential Search Committee</w:t>
            </w:r>
          </w:p>
        </w:tc>
      </w:tr>
      <w:tr>
        <w:trPr>
          <w:trHeight w:val="468" w:hRule="atLeast"/>
        </w:trPr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mallCaps/>
                <w:sz w:val="22"/>
              </w:rPr>
              <w:t>Other Experience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1988 to 1989</w:t>
            </w:r>
          </w:p>
        </w:tc>
        <w:tc>
          <w:tcPr>
            <w:tcW w:w="891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</w:r>
          </w:p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American Express International, Tokyo, Japan</w:t>
            </w:r>
          </w:p>
          <w:p>
            <w:pPr>
              <w:pStyle w:val="Normal"/>
              <w:spacing w:before="0" w:after="120"/>
              <w:rPr>
                <w:sz w:val="22"/>
              </w:rPr>
            </w:pPr>
            <w:r>
              <w:rPr>
                <w:i/>
                <w:sz w:val="22"/>
              </w:rPr>
              <w:t>Assistant to Comptroller and Director of Finance</w:t>
            </w:r>
          </w:p>
        </w:tc>
      </w:tr>
      <w:tr>
        <w:trPr>
          <w:trHeight w:val="468" w:hRule="atLeast"/>
        </w:trPr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1987 to 1988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Dainana Securities (Bank of Tokyo Subsidiary), Tokyo, Japan</w:t>
            </w:r>
          </w:p>
          <w:p>
            <w:pPr>
              <w:pStyle w:val="Normal"/>
              <w:spacing w:before="0" w:after="12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Financial analyst and Japanese Equity Sales Assistant</w:t>
            </w:r>
          </w:p>
        </w:tc>
      </w:tr>
      <w:tr>
        <w:trPr>
          <w:trHeight w:val="468" w:hRule="atLeast"/>
        </w:trPr>
        <w:tc>
          <w:tcPr>
            <w:tcW w:w="1710" w:type="dxa"/>
            <w:tcBorders/>
          </w:tcPr>
          <w:p>
            <w:pPr>
              <w:pStyle w:val="FootnoteText"/>
              <w:rPr/>
            </w:pPr>
            <w:r>
              <w:rPr/>
              <w:t>Summer 1986</w:t>
            </w:r>
          </w:p>
        </w:tc>
        <w:tc>
          <w:tcPr>
            <w:tcW w:w="8910" w:type="dxa"/>
            <w:tcBorders/>
          </w:tcPr>
          <w:p>
            <w:pPr>
              <w:pStyle w:val="Normal"/>
              <w:spacing w:before="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Goldman, Sachs &amp; Company, New York, New York</w:t>
            </w:r>
          </w:p>
        </w:tc>
      </w:tr>
      <w:tr>
        <w:trPr>
          <w:trHeight w:val="1134" w:hRule="atLeast"/>
        </w:trPr>
        <w:tc>
          <w:tcPr>
            <w:tcW w:w="1710" w:type="dxa"/>
            <w:tcBorders/>
          </w:tcPr>
          <w:p>
            <w:pPr>
              <w:pStyle w:val="Normal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Publications</w:t>
            </w:r>
          </w:p>
        </w:tc>
        <w:tc>
          <w:tcPr>
            <w:tcW w:w="891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Euro: Are you Ready?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Cooley Alert, November 1998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u w:val="single"/>
              </w:rPr>
              <w:t>Protection of Copyrightable Works in Japan in the Digital Age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 xml:space="preserve">IP Asia, </w:t>
            </w:r>
            <w:r>
              <w:rPr>
                <w:sz w:val="22"/>
              </w:rPr>
              <w:t>1997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u w:val="single"/>
              </w:rPr>
              <w:t>Japanese Research and the Protection of Intellectual Property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US Commerce</w:t>
            </w:r>
            <w:r>
              <w:rPr>
                <w:sz w:val="22"/>
              </w:rPr>
              <w:t xml:space="preserve">, 1995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u w:val="single"/>
              </w:rPr>
              <w:t>U.S. Transfer Pricing Regulations,</w:t>
            </w:r>
            <w:r>
              <w:rPr>
                <w:sz w:val="22"/>
              </w:rPr>
              <w:t xml:space="preserve"> co-author, </w:t>
            </w:r>
            <w:r>
              <w:rPr>
                <w:i/>
                <w:sz w:val="22"/>
              </w:rPr>
              <w:t>Inter-Pacific Bar Assoc</w:t>
            </w:r>
            <w:r>
              <w:rPr>
                <w:sz w:val="22"/>
              </w:rPr>
              <w:t>. 1993</w:t>
            </w:r>
          </w:p>
        </w:tc>
      </w:tr>
      <w:tr>
        <w:trPr>
          <w:trHeight w:val="468" w:hRule="atLeast"/>
        </w:trPr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mallCaps/>
                <w:sz w:val="22"/>
              </w:rPr>
              <w:t>Notables</w:t>
            </w:r>
          </w:p>
        </w:tc>
        <w:tc>
          <w:tcPr>
            <w:tcW w:w="89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Member of CA, CT, DC, NY bars; fluent Japanese reading &amp; writing; proficient French watercolorist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80" w:top="236" w:footer="390" w:bottom="5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4680" w:leader="none"/>
        <w:tab w:val="right" w:pos="9360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4680" w:leader="none"/>
        <w:tab w:val="right" w:pos="9360" w:leader="none"/>
      </w:tabs>
      <w:rPr/>
    </w:pPr>
    <w:r>
      <w:rPr>
        <w:rStyle w:val="PageNumber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jc w:val="end"/>
      <w:rPr/>
    </w:pPr>
    <w:r>
      <w:rPr>
        <w:b/>
        <w:smallCaps/>
        <w:sz w:val="20"/>
      </w:rPr>
      <w:t>Gregory Alan Rutchik pg</w:t>
    </w:r>
    <w:r>
      <w:rPr>
        <w:sz w:val="20"/>
      </w:rPr>
      <w:t>.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zzmpFixed_MacPacVersion" w:val="97"/>
    <w:docVar w:name="zzmpFixedDOC_ID" w:val="C:\My Documents\Arts and Tech Docs\Gar299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ragraphNumber">
    <w:name w:val="ParagraphNumber"/>
    <w:basedOn w:val="DefaultParagraph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0" w:after="240"/>
      <w:jc w:val="start"/>
    </w:pPr>
    <w:rPr>
      <w:smallCaps/>
    </w:rPr>
  </w:style>
  <w:style w:type="paragraph" w:styleId="Heading1Para">
    <w:name w:val="Heading1Para"/>
    <w:basedOn w:val="BodyText"/>
    <w:next w:val="BodyText"/>
    <w:qFormat/>
    <w:pPr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ind w:hanging="0" w:start="0" w:end="0"/>
    </w:pPr>
    <w:rPr/>
  </w:style>
  <w:style w:type="paragraph" w:styleId="Heading3Para">
    <w:name w:val="Heading3Para"/>
    <w:basedOn w:val="BodyText"/>
    <w:next w:val="BodyText"/>
    <w:qFormat/>
    <w:pPr/>
    <w:rPr/>
  </w:style>
  <w:style w:type="paragraph" w:styleId="Heading4Para">
    <w:name w:val="Heading4Para"/>
    <w:basedOn w:val="BodyText"/>
    <w:next w:val="BodyText"/>
    <w:qFormat/>
    <w:pPr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360" w:after="240"/>
    </w:pPr>
    <w:rPr>
      <w:smallCaps/>
    </w:rPr>
  </w:style>
  <w:style w:type="paragraph" w:styleId="Quote">
    <w:name w:val="Quote"/>
    <w:basedOn w:val="Normal"/>
    <w:next w:val="BodyTextContinued"/>
    <w:qFormat/>
    <w:pPr>
      <w:widowControl w:val="false"/>
      <w:spacing w:before="0" w:after="240"/>
      <w:ind w:hanging="0" w:start="1440" w:end="1440"/>
    </w:pPr>
    <w:rPr/>
  </w:style>
  <w:style w:type="paragraph" w:styleId="DraftStampFrame">
    <w:name w:val="DraftStampFrame"/>
    <w:basedOn w:val="Normal"/>
    <w:qFormat/>
    <w:pPr>
      <w:jc w:val="end"/>
    </w:pPr>
    <w:rPr>
      <w:b/>
      <w:color w:val="FF0000"/>
      <w:sz w:val="20"/>
    </w:rPr>
  </w:style>
  <w:style w:type="paragraph" w:styleId="CGLogo">
    <w:name w:val="CGLogo"/>
    <w:basedOn w:val="Normal"/>
    <w:qFormat/>
    <w:pPr/>
    <w:rPr/>
  </w:style>
  <w:style w:type="paragraph" w:styleId="LetterDate">
    <w:name w:val="LetterDate"/>
    <w:basedOn w:val="Normal"/>
    <w:next w:val="BodyText"/>
    <w:qFormat/>
    <w:pPr>
      <w:spacing w:before="0" w:after="24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2001-05-02T18:36:00Z</dcterms:created>
  <dc:creator>Cooley Godward</dc:creator>
  <dc:description/>
  <dc:language>en-CA</dc:language>
  <cp:lastModifiedBy>gregory</cp:lastModifiedBy>
  <cp:lastPrinted>2001-05-02T14:27:00Z</cp:lastPrinted>
  <dcterms:modified xsi:type="dcterms:W3CDTF">2001-05-11T11:00:00Z</dcterms:modified>
  <cp:revision>35</cp:revision>
  <dc:subject/>
  <dc:title>Word 8.0 Generic Normal Template, rev. 4/1/97, The Legal MacPac</dc:title>
</cp:coreProperties>
</file>