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ab/>
      </w:r>
      <w:r>
        <w:rPr>
          <w:sz w:val="28"/>
        </w:rPr>
        <w:t>DRAFT</w:t>
      </w:r>
    </w:p>
    <w:p>
      <w:pPr>
        <w:pStyle w:val="Heading"/>
        <w:rPr/>
      </w:pPr>
      <w:r>
        <w:rPr/>
        <w:t>OPERATIONAL CONTROL AGREEMENT</w:t>
      </w:r>
    </w:p>
    <w:p>
      <w:pPr>
        <w:pStyle w:val="Normal"/>
        <w:jc w:val="center"/>
        <w:rPr>
          <w:b/>
        </w:rPr>
      </w:pPr>
      <w:r>
        <w:rPr/>
        <w:t>(GALLUP COMPRESSOR STATION)</w:t>
      </w:r>
    </w:p>
    <w:p>
      <w:pPr>
        <w:pStyle w:val="Normal"/>
        <w:jc w:val="center"/>
        <w:rPr>
          <w:b/>
        </w:rPr>
      </w:pPr>
      <w:r>
        <w:rPr>
          <w:b/>
        </w:rPr>
      </w:r>
    </w:p>
    <w:p>
      <w:pPr>
        <w:pStyle w:val="Normal"/>
        <w:jc w:val="center"/>
        <w:rPr>
          <w:b/>
        </w:rPr>
      </w:pPr>
      <w:r>
        <w:rPr>
          <w:b/>
        </w:rPr>
      </w:r>
    </w:p>
    <w:p>
      <w:pPr>
        <w:pStyle w:val="Normal"/>
        <w:jc w:val="both"/>
        <w:rPr/>
      </w:pPr>
      <w:r>
        <w:rPr>
          <w:b/>
        </w:rPr>
        <w:tab/>
        <w:t xml:space="preserve">THIS OPERATIONAL CONTROL AGREEMENT </w:t>
      </w:r>
      <w:r>
        <w:rPr/>
        <w:t xml:space="preserve">(“Agreement”) is made and entered into this ______ day of January, 2000 (the “Effective Date”) by and between </w:t>
      </w:r>
      <w:r>
        <w:rPr>
          <w:b/>
        </w:rPr>
        <w:t xml:space="preserve">ENRON COMPRESSION SERVICE COMPANY, </w:t>
      </w:r>
      <w:r>
        <w:rPr/>
        <w:t xml:space="preserve">a Delaware corporation (“ECS”) and </w:t>
      </w:r>
      <w:r>
        <w:rPr>
          <w:b/>
        </w:rPr>
        <w:t xml:space="preserve">TRANSWESTERN PIPELINE COMPANY, </w:t>
      </w:r>
      <w:r>
        <w:rPr/>
        <w:t>a Delaware corporation (“ Transwestern”) (collectively “the Parties: and singularly “Party”).</w:t>
      </w:r>
    </w:p>
    <w:p>
      <w:pPr>
        <w:pStyle w:val="Normal"/>
        <w:jc w:val="both"/>
        <w:rPr/>
      </w:pPr>
      <w:r>
        <w:rPr/>
      </w:r>
    </w:p>
    <w:p>
      <w:pPr>
        <w:pStyle w:val="Normal"/>
        <w:jc w:val="center"/>
        <w:rPr>
          <w:b/>
        </w:rPr>
      </w:pPr>
      <w:r>
        <w:rPr>
          <w:b/>
        </w:rPr>
        <w:t>W I T N E S S E T H:</w:t>
      </w:r>
    </w:p>
    <w:p>
      <w:pPr>
        <w:pStyle w:val="Normal"/>
        <w:jc w:val="center"/>
        <w:rPr>
          <w:b/>
        </w:rPr>
      </w:pPr>
      <w:r>
        <w:rPr>
          <w:b/>
        </w:rPr>
      </w:r>
    </w:p>
    <w:p>
      <w:pPr>
        <w:pStyle w:val="Normal"/>
        <w:jc w:val="both"/>
        <w:rPr/>
      </w:pPr>
      <w:r>
        <w:rPr/>
        <w:tab/>
        <w:t>WHEREAS, ECS owns or will own a certain Compressor Motor (defined below) which shall be located at  Transwestern’s Compressor Station (defined below) in Section 8, Township 15 North, Range 17 West, McKinley County, New Mexico; and</w:t>
      </w:r>
    </w:p>
    <w:p>
      <w:pPr>
        <w:pStyle w:val="Normal"/>
        <w:jc w:val="both"/>
        <w:rPr/>
      </w:pPr>
      <w:r>
        <w:rPr/>
      </w:r>
    </w:p>
    <w:p>
      <w:pPr>
        <w:pStyle w:val="Normal"/>
        <w:jc w:val="both"/>
        <w:rPr/>
      </w:pPr>
      <w:r>
        <w:rPr/>
        <w:tab/>
        <w:t>WHEREAS, the Compressor Motor will provide horsepower capacity and related horsepower needed  to drive the compressor to be installed at  Transswestern’s Compressor Station pursuant to the Compression Services Agreement (defined below); and</w:t>
      </w:r>
    </w:p>
    <w:p>
      <w:pPr>
        <w:pStyle w:val="Normal"/>
        <w:jc w:val="both"/>
        <w:rPr/>
      </w:pPr>
      <w:r>
        <w:rPr/>
      </w:r>
    </w:p>
    <w:p>
      <w:pPr>
        <w:pStyle w:val="BodyText"/>
        <w:spacing w:lineRule="auto" w:line="240"/>
        <w:rPr/>
      </w:pPr>
      <w:r>
        <w:rPr/>
        <w:tab/>
        <w:t>WHEREAS,  Transwestern is subject to the jurisdiction of the Federal Energy Regulatory Commission (“the Commission”) as to the operation of its existing pipeline facilities and to the Compressor Station; and</w:t>
      </w:r>
    </w:p>
    <w:p>
      <w:pPr>
        <w:pStyle w:val="BodyText"/>
        <w:spacing w:lineRule="auto" w:line="240"/>
        <w:rPr/>
      </w:pPr>
      <w:r>
        <w:rPr/>
      </w:r>
    </w:p>
    <w:p>
      <w:pPr>
        <w:pStyle w:val="Normal"/>
        <w:ind w:firstLine="720" w:end="0"/>
        <w:jc w:val="both"/>
        <w:rPr/>
      </w:pPr>
      <w:r>
        <w:rPr/>
        <w:t>WHEREAS, it is the intent of  Transwestern and ECS that  Transwestern will have  Operational Control (defined below) over the Compressor Motor such that the Commission’s regulatory responsibilities as to the Compressor Motor  may be discharged by its continued regulation of  Transwestern..</w:t>
      </w:r>
    </w:p>
    <w:p>
      <w:pPr>
        <w:pStyle w:val="Normal"/>
        <w:ind w:firstLine="720" w:end="0"/>
        <w:jc w:val="both"/>
        <w:rPr/>
      </w:pPr>
      <w:r>
        <w:rPr/>
      </w:r>
    </w:p>
    <w:p>
      <w:pPr>
        <w:pStyle w:val="BodyText"/>
        <w:spacing w:lineRule="auto" w:line="240"/>
        <w:rPr/>
      </w:pPr>
      <w:r>
        <w:rPr/>
        <w:tab/>
        <w:t>NOW, THEREFORE, in consideration of the premises and mutual covenants and agreements herein contained, the parties agree as follows:</w:t>
      </w:r>
    </w:p>
    <w:p>
      <w:pPr>
        <w:pStyle w:val="BodyText"/>
        <w:rPr/>
      </w:pPr>
      <w:r>
        <w:rPr/>
      </w:r>
    </w:p>
    <w:p>
      <w:pPr>
        <w:pStyle w:val="Normal"/>
        <w:jc w:val="center"/>
        <w:rPr>
          <w:b/>
        </w:rPr>
      </w:pPr>
      <w:r>
        <w:rPr>
          <w:b/>
        </w:rPr>
        <w:t>ARTICLE I</w:t>
      </w:r>
    </w:p>
    <w:p>
      <w:pPr>
        <w:pStyle w:val="Heading1"/>
        <w:spacing w:lineRule="auto" w:line="240"/>
        <w:ind w:hanging="0" w:start="0"/>
        <w:rPr/>
      </w:pPr>
      <w:r>
        <w:rPr/>
        <w:t>DEFINITIONS</w:t>
      </w:r>
    </w:p>
    <w:p>
      <w:pPr>
        <w:pStyle w:val="Normal"/>
        <w:jc w:val="center"/>
        <w:rPr>
          <w:b/>
        </w:rPr>
      </w:pPr>
      <w:r>
        <w:rPr>
          <w:b/>
        </w:rPr>
      </w:r>
    </w:p>
    <w:p>
      <w:pPr>
        <w:pStyle w:val="Normal"/>
        <w:jc w:val="both"/>
        <w:rPr/>
      </w:pPr>
      <w:r>
        <w:rPr/>
        <w:tab/>
        <w:t>“</w:t>
      </w:r>
      <w:r>
        <w:rPr>
          <w:u w:val="single"/>
        </w:rPr>
        <w:t>Compressor Motor</w:t>
      </w:r>
      <w:r>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jc w:val="both"/>
        <w:rPr/>
      </w:pPr>
      <w:r>
        <w:rPr/>
      </w:r>
    </w:p>
    <w:p>
      <w:pPr>
        <w:pStyle w:val="Normal"/>
        <w:jc w:val="both"/>
        <w:rPr/>
      </w:pPr>
      <w:r>
        <w:rPr/>
        <w:tab/>
        <w:t>“</w:t>
      </w:r>
      <w:r>
        <w:rPr>
          <w:u w:val="single"/>
        </w:rPr>
        <w:t>Compression Services Agreement</w:t>
      </w:r>
      <w:r>
        <w:rPr/>
        <w:t>” means that certain Compression Services Agreement (Gallup Compressor Station) dated October 18, 1999  between ECS and Operator.</w:t>
      </w:r>
    </w:p>
    <w:p>
      <w:pPr>
        <w:pStyle w:val="Normal"/>
        <w:jc w:val="both"/>
        <w:rPr/>
      </w:pPr>
      <w:r>
        <w:rPr/>
      </w:r>
    </w:p>
    <w:p>
      <w:pPr>
        <w:pStyle w:val="BodyText"/>
        <w:spacing w:lineRule="auto" w:line="240"/>
        <w:rPr/>
      </w:pPr>
      <w:r>
        <w:rPr/>
        <w:tab/>
        <w:t>“</w:t>
      </w:r>
      <w:r>
        <w:rPr>
          <w:u w:val="single"/>
        </w:rPr>
        <w:t>Compressor Station</w:t>
      </w:r>
      <w:r>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is located on Customer’s San Juan lateral in Section 8, Township 15 North, Range 17 West, McKinley County, New Mexico.</w:t>
      </w:r>
    </w:p>
    <w:p>
      <w:pPr>
        <w:pStyle w:val="BodyText"/>
        <w:spacing w:lineRule="auto" w:line="240"/>
        <w:rPr/>
      </w:pPr>
      <w:r>
        <w:rPr/>
      </w:r>
    </w:p>
    <w:p>
      <w:pPr>
        <w:pStyle w:val="BodyText"/>
        <w:spacing w:lineRule="auto" w:line="240"/>
        <w:rPr/>
      </w:pPr>
      <w:r>
        <w:rPr/>
        <w:tab/>
        <w:t xml:space="preserve">“Operational Control” means the sole authority to take all actions affecting the Compressor Motor that would require prior approval of the Commission.  Specifically, but not by way of limitation, Operational Control encompasses sole authority to modify the Compressor Motor, remove it, disable it or in any way impair its capability to provide the service required to be performed under the Compression Services Agreement. </w:t>
      </w:r>
    </w:p>
    <w:p>
      <w:pPr>
        <w:pStyle w:val="Normal"/>
        <w:spacing w:lineRule="auto" w:line="480"/>
        <w:jc w:val="both"/>
        <w:rPr/>
      </w:pPr>
      <w:r>
        <w:rPr/>
      </w:r>
    </w:p>
    <w:p>
      <w:pPr>
        <w:pStyle w:val="Normal"/>
        <w:jc w:val="center"/>
        <w:rPr>
          <w:b/>
        </w:rPr>
      </w:pPr>
      <w:r>
        <w:rPr>
          <w:b/>
        </w:rPr>
        <w:t>ARTICLE II</w:t>
      </w:r>
    </w:p>
    <w:p>
      <w:pPr>
        <w:pStyle w:val="Heading1"/>
        <w:spacing w:lineRule="auto" w:line="240"/>
        <w:ind w:hanging="0" w:start="0"/>
        <w:rPr/>
      </w:pPr>
      <w:r>
        <w:rPr/>
        <w:t>OPERATIONAL CONTROL</w:t>
      </w:r>
    </w:p>
    <w:p>
      <w:pPr>
        <w:pStyle w:val="Normal"/>
        <w:rPr/>
      </w:pPr>
      <w:r>
        <w:rPr/>
      </w:r>
    </w:p>
    <w:p>
      <w:pPr>
        <w:pStyle w:val="BodyTextIndent"/>
        <w:spacing w:lineRule="auto" w:line="240"/>
        <w:rPr/>
      </w:pPr>
      <w:r>
        <w:rPr/>
        <w:t>2.1</w:t>
        <w:tab/>
      </w:r>
      <w:r>
        <w:rPr>
          <w:u w:val="single"/>
        </w:rPr>
        <w:t>Responsibilities of  Transwestern.</w:t>
      </w:r>
      <w:r>
        <w:rPr/>
        <w:t xml:space="preserve">  Commencing upon the Test Date, as defined in the Compression Services Agreement,  Transwestern shall assume Operational Control over the Compressor Motor with respect to all facilities and activities that are subject to the Commission’s jurisdiction under the Natural Gas Act and related authorities.  At ECS’ direction,  shall assure that any and all regulatory requirements applicable to the Compressor Motor are complied with, on ECS’ behalf.</w:t>
      </w:r>
    </w:p>
    <w:p>
      <w:pPr>
        <w:pStyle w:val="BodyTextIndent"/>
        <w:spacing w:lineRule="auto" w:line="240"/>
        <w:rPr/>
      </w:pPr>
      <w:r>
        <w:rPr/>
      </w:r>
    </w:p>
    <w:p>
      <w:pPr>
        <w:pStyle w:val="Normal"/>
        <w:ind w:hanging="720" w:start="720" w:end="0"/>
        <w:jc w:val="both"/>
        <w:rPr/>
      </w:pPr>
      <w:r>
        <w:rPr/>
        <w:t>2.2</w:t>
        <w:tab/>
      </w:r>
      <w:r>
        <w:rPr>
          <w:u w:val="single"/>
        </w:rPr>
        <w:t>Responsibilities of ECS.</w:t>
      </w:r>
      <w:r>
        <w:rPr/>
        <w:t xml:space="preserve">  ECS shall take no action with respect to the Compressor Motor that is inconsistent with  Transwestern’s Operational Control over the Compressor Motor or with ECS’ obligations under the Compression Services Agreement and, in particular but not by way of limitation, ECS’ obligation under Section 8.1(b) of the Compression Services Agreement to maintain the Compressor Motor “such that it will, at all times during the term of this Agreement, provide reliable conversion of electrical energy into Shaft Energy.”</w:t>
      </w:r>
    </w:p>
    <w:p>
      <w:pPr>
        <w:pStyle w:val="Normal"/>
        <w:ind w:hanging="720" w:start="720" w:end="0"/>
        <w:jc w:val="both"/>
        <w:rPr/>
      </w:pPr>
      <w:r>
        <w:rPr/>
      </w:r>
    </w:p>
    <w:p>
      <w:pPr>
        <w:pStyle w:val="Normal"/>
        <w:spacing w:lineRule="auto" w:line="480"/>
        <w:ind w:hanging="720" w:start="720" w:end="0"/>
        <w:jc w:val="both"/>
        <w:rPr/>
      </w:pPr>
      <w:r>
        <w:rPr/>
      </w:r>
    </w:p>
    <w:p>
      <w:pPr>
        <w:pStyle w:val="Normal"/>
        <w:ind w:hanging="720" w:start="720" w:end="0"/>
        <w:jc w:val="center"/>
        <w:rPr>
          <w:b/>
        </w:rPr>
      </w:pPr>
      <w:r>
        <w:rPr>
          <w:b/>
        </w:rPr>
        <w:t>ARTICLE III</w:t>
      </w:r>
    </w:p>
    <w:p>
      <w:pPr>
        <w:pStyle w:val="Heading2"/>
        <w:rPr/>
      </w:pPr>
      <w:r>
        <w:rPr/>
        <w:t>REMEDIES</w:t>
      </w:r>
    </w:p>
    <w:p>
      <w:pPr>
        <w:pStyle w:val="Normal"/>
        <w:ind w:hanging="720" w:start="720" w:end="0"/>
        <w:jc w:val="center"/>
        <w:rPr>
          <w:b/>
        </w:rPr>
      </w:pPr>
      <w:r>
        <w:rPr>
          <w:b/>
        </w:rPr>
      </w:r>
    </w:p>
    <w:p>
      <w:pPr>
        <w:pStyle w:val="BodyTextIndent"/>
        <w:spacing w:lineRule="auto" w:line="240"/>
        <w:rPr/>
      </w:pPr>
      <w:r>
        <w:rPr/>
        <w:t>3.1</w:t>
        <w:tab/>
        <w:t>If either  Transwestern or ECS breaches any of the obligations set out in Article II hereof, the non-breaching party shall have the right to terminate this Agreement.  Additionally, such breach shall be deemed to constitute a breach of the covenant set out in Section 8.1 (c) of the Compression Services Agreement, if said breach is by ECS, or of the covenant set out in Section 8.2 of the Compression Services Agreement, if said breach is by Transwestern, and all remedies available to the non-breaching party under the Compression Services Agreement shall become available pursuant to that Agreements’ terms.</w:t>
      </w:r>
    </w:p>
    <w:p>
      <w:pPr>
        <w:pStyle w:val="Normal"/>
        <w:spacing w:lineRule="auto" w:line="480"/>
        <w:ind w:hanging="720" w:start="720" w:end="0"/>
        <w:jc w:val="both"/>
        <w:rPr/>
      </w:pPr>
      <w:r>
        <w:rPr/>
      </w:r>
    </w:p>
    <w:p>
      <w:pPr>
        <w:pStyle w:val="Normal"/>
        <w:ind w:hanging="720" w:start="720" w:end="0"/>
        <w:jc w:val="center"/>
        <w:rPr>
          <w:b/>
        </w:rPr>
      </w:pPr>
      <w:r>
        <w:rPr>
          <w:b/>
        </w:rPr>
        <w:t>ARTICLE IV</w:t>
      </w:r>
    </w:p>
    <w:p>
      <w:pPr>
        <w:pStyle w:val="Heading2"/>
        <w:rPr/>
      </w:pPr>
      <w:r>
        <w:rPr/>
        <w:t>FORCE MAJEURE</w:t>
      </w:r>
    </w:p>
    <w:p>
      <w:pPr>
        <w:pStyle w:val="Normal"/>
        <w:ind w:hanging="720" w:start="720" w:end="0"/>
        <w:rPr>
          <w:b/>
        </w:rPr>
      </w:pPr>
      <w:r>
        <w:rPr>
          <w:b/>
        </w:rPr>
      </w:r>
    </w:p>
    <w:p>
      <w:pPr>
        <w:pStyle w:val="Normal"/>
        <w:ind w:hanging="720" w:start="720" w:end="0"/>
        <w:jc w:val="both"/>
        <w:rPr/>
      </w:pPr>
      <w:r>
        <w:rPr/>
        <w:t>4.1</w:t>
        <w:tab/>
      </w:r>
      <w:r>
        <w:rPr>
          <w:u w:val="single"/>
        </w:rPr>
        <w:t>Notice of Force Majeure</w:t>
      </w:r>
      <w:r>
        <w:rPr/>
        <w:t>.  In the event either party is rendered unable, wholly or in part, by Force Majeure, as defined in the Compression Services Agreement, to carry out its obligations under this Agreement,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ind w:hanging="720" w:start="720" w:end="0"/>
        <w:jc w:val="both"/>
        <w:rPr/>
      </w:pPr>
      <w:r>
        <w:rPr/>
      </w:r>
    </w:p>
    <w:p>
      <w:pPr>
        <w:pStyle w:val="Normal"/>
        <w:ind w:hanging="720" w:start="720" w:end="0"/>
        <w:jc w:val="both"/>
        <w:rPr/>
      </w:pPr>
      <w:r>
        <w:rPr/>
        <w:t>4.2</w:t>
        <w:tab/>
      </w:r>
      <w:r>
        <w:rPr>
          <w:u w:val="single"/>
        </w:rPr>
        <w:t>Strikes and Lockouts</w:t>
      </w:r>
      <w:r>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ind w:hanging="720" w:start="720" w:end="0"/>
        <w:jc w:val="center"/>
        <w:rPr>
          <w:b/>
        </w:rPr>
      </w:pPr>
      <w:r>
        <w:rPr>
          <w:b/>
        </w:rPr>
      </w:r>
    </w:p>
    <w:p>
      <w:pPr>
        <w:pStyle w:val="Normal"/>
        <w:ind w:hanging="720" w:start="720" w:end="0"/>
        <w:jc w:val="center"/>
        <w:rPr>
          <w:b/>
        </w:rPr>
      </w:pPr>
      <w:r>
        <w:rPr>
          <w:b/>
        </w:rPr>
      </w:r>
    </w:p>
    <w:p>
      <w:pPr>
        <w:pStyle w:val="Normal"/>
        <w:ind w:hanging="720" w:start="720" w:end="0"/>
        <w:jc w:val="center"/>
        <w:rPr>
          <w:b/>
        </w:rPr>
      </w:pPr>
      <w:r>
        <w:rPr>
          <w:b/>
        </w:rPr>
        <w:t>ARTICLE V</w:t>
      </w:r>
    </w:p>
    <w:p>
      <w:pPr>
        <w:pStyle w:val="Heading2"/>
        <w:spacing w:lineRule="auto" w:line="480"/>
        <w:rPr/>
      </w:pPr>
      <w:r>
        <w:rPr/>
        <w:t>MISCELLANEOUS</w:t>
      </w:r>
    </w:p>
    <w:p>
      <w:pPr>
        <w:pStyle w:val="Normal"/>
        <w:ind w:hanging="720" w:start="720" w:end="0"/>
        <w:jc w:val="both"/>
        <w:rPr/>
      </w:pPr>
      <w:r>
        <w:rPr/>
        <w:t>5.1</w:t>
        <w:tab/>
      </w:r>
      <w:r>
        <w:rPr>
          <w:u w:val="single"/>
        </w:rPr>
        <w:t>Notices</w:t>
      </w:r>
      <w:r>
        <w:rPr/>
        <w:t>.  Any notice or request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ind w:hanging="720" w:start="720" w:end="0"/>
        <w:jc w:val="both"/>
        <w:rPr/>
      </w:pPr>
      <w:r>
        <w:rPr/>
      </w:r>
    </w:p>
    <w:p>
      <w:pPr>
        <w:pStyle w:val="Normal"/>
        <w:ind w:hanging="720" w:start="720" w:end="0"/>
        <w:rPr/>
      </w:pPr>
      <w:r>
        <w:rPr/>
        <w:tab/>
        <w:t>If to ECS:</w:t>
        <w:tab/>
        <w:tab/>
        <w:t>Enron Compression Services Company</w:t>
      </w:r>
    </w:p>
    <w:p>
      <w:pPr>
        <w:pStyle w:val="Normal"/>
        <w:ind w:hanging="720" w:start="720" w:end="0"/>
        <w:rPr/>
      </w:pPr>
      <w:r>
        <w:rPr/>
        <w:tab/>
        <w:tab/>
        <w:tab/>
        <w:tab/>
        <w:t>1400 Smith Street</w:t>
      </w:r>
    </w:p>
    <w:p>
      <w:pPr>
        <w:pStyle w:val="Normal"/>
        <w:ind w:hanging="720" w:start="720" w:end="0"/>
        <w:rPr/>
      </w:pPr>
      <w:r>
        <w:rPr/>
        <w:tab/>
        <w:tab/>
        <w:tab/>
        <w:tab/>
        <w:t>Houston, TX  77002</w:t>
      </w:r>
    </w:p>
    <w:p>
      <w:pPr>
        <w:pStyle w:val="Normal"/>
        <w:ind w:hanging="720" w:start="720" w:end="0"/>
        <w:rPr/>
      </w:pPr>
      <w:r>
        <w:rPr/>
        <w:tab/>
        <w:tab/>
        <w:tab/>
        <w:tab/>
        <w:t>Attn:  Client Services</w:t>
      </w:r>
    </w:p>
    <w:p>
      <w:pPr>
        <w:pStyle w:val="Normal"/>
        <w:ind w:hanging="720" w:start="720" w:end="0"/>
        <w:rPr/>
      </w:pPr>
      <w:r>
        <w:rPr/>
        <w:tab/>
        <w:tab/>
        <w:tab/>
        <w:tab/>
        <w:t>Fax: (713) 646-8420</w:t>
      </w:r>
    </w:p>
    <w:p>
      <w:pPr>
        <w:pStyle w:val="Normal"/>
        <w:ind w:hanging="720" w:start="720" w:end="0"/>
        <w:rPr/>
      </w:pPr>
      <w:r>
        <w:rPr/>
      </w:r>
    </w:p>
    <w:p>
      <w:pPr>
        <w:pStyle w:val="Normal"/>
        <w:ind w:hanging="720" w:start="720" w:end="0"/>
        <w:rPr/>
      </w:pPr>
      <w:r>
        <w:rPr/>
        <w:tab/>
        <w:t>If to Transwestern:</w:t>
        <w:tab/>
      </w:r>
      <w:r>
        <w:rPr>
          <w:u w:val="single"/>
        </w:rPr>
        <w:t>Emergency Matters</w:t>
      </w:r>
      <w:r>
        <w:rPr/>
        <w:t>:</w:t>
      </w:r>
    </w:p>
    <w:p>
      <w:pPr>
        <w:pStyle w:val="Normal"/>
        <w:ind w:hanging="720" w:start="720" w:end="0"/>
        <w:rPr/>
      </w:pPr>
      <w:r>
        <w:rPr/>
        <w:tab/>
        <w:tab/>
        <w:tab/>
        <w:tab/>
        <w:t>Transwestern Pipeline Company</w:t>
      </w:r>
    </w:p>
    <w:p>
      <w:pPr>
        <w:pStyle w:val="Normal"/>
        <w:ind w:hanging="720" w:start="720" w:end="0"/>
        <w:rPr/>
      </w:pPr>
      <w:r>
        <w:rPr/>
        <w:tab/>
        <w:tab/>
        <w:tab/>
        <w:tab/>
        <w:t>Gas Control</w:t>
      </w:r>
    </w:p>
    <w:p>
      <w:pPr>
        <w:pStyle w:val="Normal"/>
        <w:ind w:hanging="720" w:start="720" w:end="0"/>
        <w:rPr/>
      </w:pPr>
      <w:r>
        <w:rPr/>
        <w:tab/>
        <w:tab/>
        <w:tab/>
        <w:tab/>
        <w:t>1400 Smith Street</w:t>
      </w:r>
    </w:p>
    <w:p>
      <w:pPr>
        <w:pStyle w:val="Normal"/>
        <w:ind w:hanging="720" w:start="720" w:end="0"/>
        <w:rPr/>
      </w:pPr>
      <w:r>
        <w:rPr/>
        <w:tab/>
        <w:tab/>
        <w:tab/>
        <w:tab/>
        <w:t>Houston, TX  77002</w:t>
      </w:r>
    </w:p>
    <w:p>
      <w:pPr>
        <w:pStyle w:val="Normal"/>
        <w:ind w:hanging="720" w:start="720" w:end="0"/>
        <w:rPr/>
      </w:pPr>
      <w:r>
        <w:rPr/>
        <w:tab/>
        <w:tab/>
        <w:tab/>
        <w:tab/>
        <w:t>Phone:  (713) 853-5533</w:t>
      </w:r>
    </w:p>
    <w:p>
      <w:pPr>
        <w:pStyle w:val="Normal"/>
        <w:ind w:hanging="720" w:start="720" w:end="0"/>
        <w:rPr/>
      </w:pPr>
      <w:r>
        <w:rPr/>
        <w:tab/>
        <w:tab/>
        <w:tab/>
        <w:tab/>
        <w:t>Fax:  (713) 758-8155</w:t>
      </w:r>
      <w:r>
        <w:br w:type="page"/>
      </w:r>
    </w:p>
    <w:p>
      <w:pPr>
        <w:pStyle w:val="Normal"/>
        <w:ind w:hanging="720" w:start="720" w:end="0"/>
        <w:rPr/>
      </w:pPr>
      <w:r>
        <w:rPr/>
        <w:tab/>
        <w:tab/>
        <w:tab/>
        <w:tab/>
      </w:r>
      <w:r>
        <w:rPr>
          <w:u w:val="single"/>
        </w:rPr>
        <w:t>Other Matters</w:t>
      </w:r>
      <w:r>
        <w:rPr/>
        <w:t>:</w:t>
      </w:r>
    </w:p>
    <w:p>
      <w:pPr>
        <w:pStyle w:val="Normal"/>
        <w:ind w:hanging="720" w:start="720" w:end="0"/>
        <w:rPr/>
      </w:pPr>
      <w:r>
        <w:rPr/>
        <w:tab/>
        <w:tab/>
        <w:tab/>
        <w:tab/>
        <w:t>Transwestern Pipeline Company</w:t>
      </w:r>
    </w:p>
    <w:p>
      <w:pPr>
        <w:pStyle w:val="Normal"/>
        <w:ind w:hanging="720" w:start="720" w:end="0"/>
        <w:rPr/>
      </w:pPr>
      <w:r>
        <w:rPr/>
        <w:tab/>
        <w:tab/>
        <w:tab/>
        <w:tab/>
        <w:t>1400 Smith Street</w:t>
      </w:r>
    </w:p>
    <w:p>
      <w:pPr>
        <w:pStyle w:val="Normal"/>
        <w:ind w:hanging="720" w:start="720" w:end="0"/>
        <w:rPr/>
      </w:pPr>
      <w:r>
        <w:rPr/>
        <w:tab/>
        <w:tab/>
        <w:tab/>
        <w:tab/>
        <w:t>Houston, TX  77002</w:t>
      </w:r>
    </w:p>
    <w:p>
      <w:pPr>
        <w:pStyle w:val="Normal"/>
        <w:ind w:hanging="720" w:start="720" w:end="0"/>
        <w:rPr/>
      </w:pPr>
      <w:r>
        <w:rPr/>
        <w:tab/>
        <w:tab/>
        <w:tab/>
        <w:tab/>
        <w:t>Attn:  Vice President/Marketing</w:t>
      </w:r>
    </w:p>
    <w:p>
      <w:pPr>
        <w:pStyle w:val="Normal"/>
        <w:ind w:hanging="720" w:start="720" w:end="0"/>
        <w:rPr/>
      </w:pPr>
      <w:r>
        <w:rPr/>
        <w:tab/>
        <w:tab/>
        <w:tab/>
        <w:tab/>
        <w:t>Fax:  (713) 646-8000</w:t>
      </w:r>
    </w:p>
    <w:p>
      <w:pPr>
        <w:pStyle w:val="Normal"/>
        <w:ind w:hanging="720" w:start="720" w:end="0"/>
        <w:rPr/>
      </w:pPr>
      <w:r>
        <w:rPr/>
      </w:r>
    </w:p>
    <w:p>
      <w:pPr>
        <w:pStyle w:val="Normal"/>
        <w:ind w:hanging="720" w:start="720" w:end="0"/>
        <w:jc w:val="both"/>
        <w:rPr/>
      </w:pPr>
      <w:r>
        <w:rPr/>
        <w:t>5.2</w:t>
        <w:tab/>
      </w:r>
      <w:r>
        <w:rPr>
          <w:u w:val="single"/>
        </w:rPr>
        <w:t>Confidentiality</w:t>
      </w:r>
      <w:r>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rPr>
        <w:t>provided</w:t>
      </w:r>
      <w:r>
        <w:rPr/>
        <w:t xml:space="preserve">, 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rPr>
        <w:t>provided</w:t>
      </w:r>
      <w:r>
        <w:rPr/>
        <w:t>, that all monetary damages shall be limited to actual, direct damages.</w:t>
      </w:r>
    </w:p>
    <w:p>
      <w:pPr>
        <w:pStyle w:val="Normal"/>
        <w:ind w:hanging="720" w:start="720" w:end="0"/>
        <w:jc w:val="both"/>
        <w:rPr/>
      </w:pPr>
      <w:r>
        <w:rPr/>
      </w:r>
    </w:p>
    <w:p>
      <w:pPr>
        <w:pStyle w:val="Normal"/>
        <w:ind w:hanging="720" w:start="720" w:end="0"/>
        <w:jc w:val="both"/>
        <w:rPr/>
      </w:pPr>
      <w:r>
        <w:rPr/>
        <w:t>5.3</w:t>
        <w:tab/>
      </w:r>
      <w:r>
        <w:rPr>
          <w:u w:val="single"/>
        </w:rPr>
        <w:t>Non-waiver</w:t>
      </w:r>
      <w:r>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ind w:hanging="720" w:start="720" w:end="0"/>
        <w:jc w:val="both"/>
        <w:rPr/>
      </w:pPr>
      <w:r>
        <w:rPr/>
      </w:r>
    </w:p>
    <w:p>
      <w:pPr>
        <w:pStyle w:val="BodyTextIndent"/>
        <w:spacing w:lineRule="auto" w:line="240"/>
        <w:rPr/>
      </w:pPr>
      <w:r>
        <w:rPr/>
        <w:t>5.4</w:t>
        <w:tab/>
      </w:r>
      <w:r>
        <w:rPr>
          <w:u w:val="single"/>
        </w:rPr>
        <w:t>Amendments</w:t>
      </w:r>
      <w:r>
        <w:rPr/>
        <w:t>.  No modifications of the terms and conditions of this Agreement shall be effective except by execution of a written agreement by both parties hereto.</w:t>
      </w:r>
    </w:p>
    <w:p>
      <w:pPr>
        <w:pStyle w:val="BodyTextIndent"/>
        <w:spacing w:lineRule="auto" w:line="240"/>
        <w:rPr/>
      </w:pPr>
      <w:r>
        <w:rPr/>
      </w:r>
    </w:p>
    <w:p>
      <w:pPr>
        <w:pStyle w:val="BodyTextIndent"/>
        <w:spacing w:lineRule="auto" w:line="240"/>
        <w:rPr/>
      </w:pPr>
      <w:r>
        <w:rPr/>
        <w:t>5.5</w:t>
        <w:tab/>
      </w:r>
      <w:r>
        <w:rPr>
          <w:u w:val="single"/>
        </w:rPr>
        <w:t>Successors and Assigns</w:t>
      </w:r>
      <w:r>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BodyTextIndent"/>
        <w:spacing w:lineRule="auto" w:line="240"/>
        <w:rPr/>
      </w:pPr>
      <w:r>
        <w:rPr/>
      </w:r>
    </w:p>
    <w:p>
      <w:pPr>
        <w:pStyle w:val="BodyTextIndent"/>
        <w:spacing w:lineRule="auto" w:line="240"/>
        <w:rPr/>
      </w:pPr>
      <w:r>
        <w:rPr/>
        <w:t>5.6</w:t>
        <w:tab/>
      </w:r>
      <w:r>
        <w:rPr>
          <w:u w:val="single"/>
        </w:rPr>
        <w:t>Governing Law</w:t>
      </w:r>
      <w:r>
        <w:rPr/>
        <w:t>.  THE VALIDITY AND INTERPRETATION OF THIS AGREEMENT SHALL BE GOVERNED BY THE LAWS OF THE STATE OF TEXAS WITHOUT REGARD TO THE CONFLICT OF LAW PRINCIPLES THEREOF.  This Agreement shall be subject to all valid and applicable laws, orders, directive, rules, regulations of any duly constituted governmental body or official having jurisdiction.</w:t>
      </w:r>
    </w:p>
    <w:p>
      <w:pPr>
        <w:pStyle w:val="BodyTextIndent"/>
        <w:spacing w:lineRule="auto" w:line="240"/>
        <w:rPr/>
      </w:pPr>
      <w:r>
        <w:rPr/>
      </w:r>
    </w:p>
    <w:p>
      <w:pPr>
        <w:pStyle w:val="BodyTextIndent"/>
        <w:spacing w:lineRule="auto" w:line="240"/>
        <w:rPr/>
      </w:pPr>
      <w:r>
        <w:rPr/>
        <w:t>5.7</w:t>
        <w:tab/>
      </w:r>
      <w:r>
        <w:rPr>
          <w:u w:val="single"/>
        </w:rPr>
        <w:t>No Third-Party Rights</w:t>
      </w:r>
      <w:r>
        <w:rPr/>
        <w:t>.  Unless otherwise specifically provided in this Agreement, the parties do not intend to create rights in or to grant remedies to any third party as a beneficiary of this Agreement or of any duty, obligation or undertaking established hereunder.</w:t>
      </w:r>
    </w:p>
    <w:p>
      <w:pPr>
        <w:pStyle w:val="BodyTextIndent"/>
        <w:spacing w:lineRule="auto" w:line="240"/>
        <w:rPr/>
      </w:pPr>
      <w:r>
        <w:rPr/>
      </w:r>
    </w:p>
    <w:p>
      <w:pPr>
        <w:pStyle w:val="BodyTextIndent"/>
        <w:spacing w:lineRule="auto" w:line="240"/>
        <w:rPr/>
      </w:pPr>
      <w:r>
        <w:rPr/>
        <w:t>5.8</w:t>
        <w:tab/>
      </w:r>
      <w:r>
        <w:rPr>
          <w:u w:val="single"/>
        </w:rPr>
        <w:t>Invalidity</w:t>
      </w:r>
      <w:r>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BodyTextIndent"/>
        <w:spacing w:lineRule="auto" w:line="240"/>
        <w:rPr/>
      </w:pPr>
      <w:r>
        <w:rPr/>
      </w:r>
    </w:p>
    <w:p>
      <w:pPr>
        <w:pStyle w:val="BodyTextIndent"/>
        <w:spacing w:lineRule="auto" w:line="240"/>
        <w:rPr/>
      </w:pPr>
      <w:r>
        <w:rPr/>
        <w:t>5.9</w:t>
        <w:tab/>
      </w:r>
      <w:r>
        <w:rPr>
          <w:u w:val="single"/>
        </w:rPr>
        <w:t>Headings</w:t>
      </w:r>
      <w:r>
        <w:rPr/>
        <w:t>.  The headings in this Agreement are for reference purposes only and shall not affect the meaning hereof.</w:t>
      </w:r>
    </w:p>
    <w:p>
      <w:pPr>
        <w:pStyle w:val="BodyTextIndent"/>
        <w:spacing w:lineRule="auto" w:line="240"/>
        <w:rPr/>
      </w:pPr>
      <w:r>
        <w:rPr/>
      </w:r>
    </w:p>
    <w:p>
      <w:pPr>
        <w:pStyle w:val="BodyTextIndent"/>
        <w:spacing w:lineRule="auto" w:line="240"/>
        <w:rPr/>
      </w:pPr>
      <w:r>
        <w:rPr/>
        <w:t>5.10</w:t>
        <w:tab/>
      </w:r>
      <w:r>
        <w:rPr>
          <w:u w:val="single"/>
        </w:rPr>
        <w:t>Effective Date</w:t>
      </w:r>
      <w:r>
        <w:rPr/>
        <w:t>.  This Agreement is effective January ______, 2000.</w:t>
      </w:r>
    </w:p>
    <w:p>
      <w:pPr>
        <w:pStyle w:val="BodyTextIndent"/>
        <w:spacing w:lineRule="auto" w:line="240"/>
        <w:rPr>
          <w:u w:val="single"/>
        </w:rPr>
      </w:pPr>
      <w:r>
        <w:rPr>
          <w:u w:val="single"/>
        </w:rPr>
      </w:r>
    </w:p>
    <w:p>
      <w:pPr>
        <w:pStyle w:val="BodyTextIndent"/>
        <w:spacing w:lineRule="auto" w:line="240"/>
        <w:rPr>
          <w:u w:val="single"/>
        </w:rPr>
      </w:pPr>
      <w:r>
        <w:rPr>
          <w:u w:val="single"/>
        </w:rPr>
      </w:r>
    </w:p>
    <w:p>
      <w:pPr>
        <w:pStyle w:val="BodyTextIndent"/>
        <w:spacing w:lineRule="auto" w:line="240"/>
        <w:rPr>
          <w:b/>
        </w:rPr>
      </w:pPr>
      <w:r>
        <w:rPr>
          <w:b/>
        </w:rPr>
        <w:t>ENRON COMPRESSION SERVICES</w:t>
        <w:tab/>
        <w:tab/>
        <w:t>TRANSWESTERN PIPELINE</w:t>
      </w:r>
    </w:p>
    <w:p>
      <w:pPr>
        <w:pStyle w:val="BodyTextIndent"/>
        <w:spacing w:lineRule="auto" w:line="240"/>
        <w:rPr>
          <w:b/>
        </w:rPr>
      </w:pPr>
      <w:r>
        <w:rPr>
          <w:b/>
        </w:rPr>
        <w:t>COMPANY</w:t>
        <w:tab/>
        <w:tab/>
        <w:tab/>
        <w:tab/>
        <w:tab/>
        <w:tab/>
        <w:t>COMPANY</w:t>
      </w:r>
    </w:p>
    <w:p>
      <w:pPr>
        <w:pStyle w:val="BodyTextIndent"/>
        <w:spacing w:lineRule="auto" w:line="240"/>
        <w:rPr>
          <w:b/>
        </w:rPr>
      </w:pPr>
      <w:r>
        <w:rPr>
          <w:b/>
        </w:rPr>
      </w:r>
    </w:p>
    <w:p>
      <w:pPr>
        <w:pStyle w:val="BodyTextIndent"/>
        <w:spacing w:lineRule="auto" w:line="240"/>
        <w:rPr>
          <w:b/>
        </w:rPr>
      </w:pPr>
      <w:r>
        <w:rPr>
          <w:b/>
        </w:rPr>
      </w:r>
    </w:p>
    <w:p>
      <w:pPr>
        <w:pStyle w:val="BodyTextIndent"/>
        <w:spacing w:lineRule="auto" w:line="240"/>
        <w:rPr>
          <w:b/>
        </w:rPr>
      </w:pPr>
      <w:r>
        <w:rPr>
          <w:b/>
        </w:rPr>
      </w:r>
    </w:p>
    <w:p>
      <w:pPr>
        <w:pStyle w:val="BodyTextIndent"/>
        <w:spacing w:lineRule="auto" w:line="240"/>
        <w:rPr/>
      </w:pPr>
      <w:r>
        <w:rPr/>
        <w:t>By:       _________________________________</w:t>
        <w:tab/>
        <w:t>By:      ________________________</w:t>
      </w:r>
    </w:p>
    <w:p>
      <w:pPr>
        <w:pStyle w:val="BodyTextIndent"/>
        <w:spacing w:lineRule="auto" w:line="240"/>
        <w:rPr/>
      </w:pPr>
      <w:r>
        <w:rPr/>
        <w:t>Name:  _________________________________</w:t>
        <w:tab/>
        <w:t>Name:  _______________________</w:t>
      </w:r>
    </w:p>
    <w:p>
      <w:pPr>
        <w:pStyle w:val="BodyTextIndent"/>
        <w:spacing w:lineRule="auto" w:line="240"/>
        <w:rPr/>
      </w:pPr>
      <w:r>
        <w:rPr/>
        <w:t>Title:    _________________________________</w:t>
        <w:tab/>
        <w:t>Title:    _______________________</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b/>
    </w:rPr>
  </w:style>
  <w:style w:type="paragraph" w:styleId="Heading2">
    <w:name w:val="heading 2"/>
    <w:basedOn w:val="Normal"/>
    <w:next w:val="Normal"/>
    <w:qFormat/>
    <w:pPr>
      <w:keepNext w:val="true"/>
      <w:numPr>
        <w:ilvl w:val="1"/>
        <w:numId w:val="1"/>
      </w:numPr>
      <w:ind w:hanging="720" w:start="720" w:end="0"/>
      <w:jc w:val="center"/>
      <w:outlineLvl w:val="1"/>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2000-01-24T11:44:00Z</dcterms:created>
  <dc:creator>Enron</dc:creator>
  <dc:description/>
  <dc:language>en-CA</dc:language>
  <cp:lastModifiedBy>Enron</cp:lastModifiedBy>
  <cp:lastPrinted>2000-01-24T16:02:00Z</cp:lastPrinted>
  <dcterms:modified xsi:type="dcterms:W3CDTF">2000-01-31T18:19:00Z</dcterms:modified>
  <cp:revision>29</cp:revision>
  <dc:subject/>
  <dc:title>OPERATIONAL CONTROL AGREEMENT</dc:title>
</cp:coreProperties>
</file>