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b w:val="false"/>
        </w:rPr>
      </w:pPr>
      <w:r>
        <w:rPr/>
        <w:t>LLGM DRAFT</w:t>
        <w:br/>
        <w:t>July 5, 2000</w:t>
      </w:r>
    </w:p>
    <w:p>
      <w:pPr>
        <w:pStyle w:val="Normal"/>
        <w:rPr>
          <w:b/>
        </w:rPr>
      </w:pPr>
      <w:r>
        <w:rPr>
          <w:b/>
        </w:rPr>
      </w:r>
    </w:p>
    <w:p>
      <w:pPr>
        <w:pStyle w:val="Heading"/>
        <w:rPr>
          <w:b w:val="false"/>
        </w:rPr>
      </w:pPr>
      <w:r>
        <w:rPr>
          <w:b w:val="false"/>
        </w:rPr>
        <w:t>PURCHASE AND SALE AGREEMENT</w:t>
      </w:r>
    </w:p>
    <w:p>
      <w:pPr>
        <w:pStyle w:val="Heading"/>
        <w:rPr>
          <w:b w:val="false"/>
        </w:rPr>
      </w:pPr>
      <w:r>
        <w:rPr>
          <w:b w:val="false"/>
        </w:rPr>
        <w:t>by and between</w:t>
      </w:r>
    </w:p>
    <w:p>
      <w:pPr>
        <w:pStyle w:val="Heading"/>
        <w:rPr>
          <w:b w:val="false"/>
        </w:rPr>
      </w:pPr>
      <w:r>
        <w:rPr>
          <w:b w:val="false"/>
        </w:rPr>
        <w:t>MEDIA GENERAL, INC.</w:t>
      </w:r>
    </w:p>
    <w:p>
      <w:pPr>
        <w:pStyle w:val="Heading"/>
        <w:rPr>
          <w:b w:val="false"/>
        </w:rPr>
      </w:pPr>
      <w:r>
        <w:rPr>
          <w:b w:val="false"/>
        </w:rPr>
        <w:t>as Seller</w:t>
      </w:r>
    </w:p>
    <w:p>
      <w:pPr>
        <w:pStyle w:val="Heading"/>
        <w:rPr>
          <w:b w:val="false"/>
        </w:rPr>
      </w:pPr>
      <w:r>
        <w:rPr>
          <w:b w:val="false"/>
        </w:rPr>
        <w:t>and</w:t>
      </w:r>
    </w:p>
    <w:p>
      <w:pPr>
        <w:pStyle w:val="Heading"/>
        <w:rPr>
          <w:b w:val="false"/>
        </w:rPr>
      </w:pPr>
      <w:r>
        <w:rPr>
          <w:b w:val="false"/>
        </w:rPr>
        <w:t>GARDEN STATE PAPER COMPANY, INC.</w:t>
      </w:r>
    </w:p>
    <w:p>
      <w:pPr>
        <w:pStyle w:val="Heading"/>
        <w:rPr>
          <w:b w:val="false"/>
        </w:rPr>
      </w:pPr>
      <w:r>
        <w:rPr>
          <w:b w:val="false"/>
        </w:rPr>
        <w:t>as Company</w:t>
      </w:r>
    </w:p>
    <w:p>
      <w:pPr>
        <w:pStyle w:val="Heading"/>
        <w:rPr>
          <w:b w:val="false"/>
        </w:rPr>
      </w:pPr>
      <w:r>
        <w:rPr>
          <w:b w:val="false"/>
        </w:rPr>
        <w:t>and</w:t>
      </w:r>
    </w:p>
    <w:p>
      <w:pPr>
        <w:pStyle w:val="Heading"/>
        <w:rPr>
          <w:b w:val="false"/>
        </w:rPr>
      </w:pPr>
      <w:r>
        <w:rPr>
          <w:b w:val="false"/>
        </w:rPr>
        <w:t>ENRON NORTH AMERICA CORP.</w:t>
      </w:r>
    </w:p>
    <w:p>
      <w:pPr>
        <w:pStyle w:val="Heading"/>
        <w:rPr>
          <w:b w:val="false"/>
        </w:rPr>
      </w:pPr>
      <w:r>
        <w:rPr>
          <w:b w:val="false"/>
        </w:rPr>
        <w:t>as Purchaser</w:t>
      </w:r>
    </w:p>
    <w:p>
      <w:pPr>
        <w:pStyle w:val="Heading"/>
        <w:rPr>
          <w:b w:val="false"/>
        </w:rPr>
      </w:pPr>
      <w:r>
        <w:rPr>
          <w:b w:val="false"/>
        </w:rPr>
        <w:t>[ Date ]</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lineRule="atLeast" w:line="240"/>
        <w:jc w:val="center"/>
        <w:rPr/>
      </w:pPr>
      <w:r>
        <w:rPr/>
        <w:t>_________________</w:t>
      </w:r>
    </w:p>
    <w:p>
      <w:pPr>
        <w:pStyle w:val="Heading"/>
        <w:jc w:val="start"/>
        <w:rPr>
          <w:b w:val="false"/>
        </w:rPr>
      </w:pPr>
      <w:r>
        <w:rPr>
          <w:b w:val="false"/>
        </w:rPr>
        <w:t>TABLE OF CONTENTS</w:t>
      </w:r>
    </w:p>
    <w:p>
      <w:pPr>
        <w:pStyle w:val="Normal"/>
        <w:jc w:val="end"/>
        <w:rPr/>
      </w:pPr>
      <w:r>
        <w:rPr/>
        <w:t>Page</w:t>
      </w:r>
    </w:p>
    <w:sdt>
      <w:sdtPr>
        <w:docPartObj>
          <w:docPartGallery w:val="Table of Contents"/>
          <w:docPartUnique w:val="true"/>
        </w:docPartObj>
      </w:sdtPr>
      <w:sdtContent>
        <w:p>
          <w:pPr>
            <w:pStyle w:val="TOC1"/>
            <w:keepNext w:val="true"/>
            <w:keepLines/>
            <w:spacing w:before="120" w:after="120"/>
            <w:ind w:hanging="1800" w:start="1800" w:end="720"/>
            <w:rPr>
              <w:caps/>
              <w:lang w:val="en-CA"/>
            </w:rPr>
          </w:pPr>
          <w:r>
            <w:fldChar w:fldCharType="begin"/>
          </w:r>
          <w:r>
            <w:rPr>
              <w:caps/>
              <w:rFonts w:cs="Wingdings"/>
              <w:lang w:val="en-CA"/>
            </w:rPr>
            <w:instrText xml:space="preserve"> TOC \o "2-2" \t "Heading 1,1" </w:instrText>
          </w:r>
          <w:r>
            <w:rPr>
              <w:caps/>
              <w:rFonts w:cs="Wingdings"/>
              <w:lang w:val="en-CA"/>
            </w:rPr>
            <w:fldChar w:fldCharType="separate"/>
          </w:r>
          <w:r>
            <w:rPr>
              <w:rFonts w:cs="Wingdings"/>
              <w:caps/>
              <w:lang w:val="en-CA"/>
            </w:rPr>
            <w:t>ARTICLE I</w:t>
          </w:r>
          <w:r>
            <w:rPr>
              <w:caps/>
              <w:lang w:val="en-CA"/>
            </w:rPr>
            <w:t xml:space="preserve"> SALE OF PURCHASED INTERESTS</w:t>
            <w:tab/>
          </w:r>
          <w:hyperlink w:anchor="__RefHeading___Toc487278826">
            <w:r>
              <w:rPr>
                <w:rStyle w:val="IndexLink"/>
                <w:caps/>
                <w:lang w:val="en-CA"/>
              </w:rPr>
              <w:t>1</w:t>
            </w:r>
          </w:hyperlink>
        </w:p>
        <w:p>
          <w:pPr>
            <w:pStyle w:val="TOC2"/>
            <w:rPr/>
          </w:pPr>
          <w:r>
            <w:rPr/>
            <w:t>1.1</w:t>
            <w:tab/>
            <w:t>Purchase Price</w:t>
            <w:tab/>
          </w:r>
          <w:hyperlink w:anchor="__RefHeading___Toc487278827">
            <w:r>
              <w:rPr>
                <w:rStyle w:val="IndexLink"/>
              </w:rPr>
              <w:t>1</w:t>
            </w:r>
          </w:hyperlink>
        </w:p>
        <w:p>
          <w:pPr>
            <w:pStyle w:val="TOC2"/>
            <w:rPr/>
          </w:pPr>
          <w:r>
            <w:rPr/>
            <w:t>1.2</w:t>
            <w:tab/>
            <w:t>Closing.</w:t>
            <w:tab/>
          </w:r>
          <w:hyperlink w:anchor="__RefHeading___Toc487278828">
            <w:r>
              <w:rPr>
                <w:rStyle w:val="IndexLink"/>
              </w:rPr>
              <w:t>1</w:t>
            </w:r>
          </w:hyperlink>
        </w:p>
        <w:p>
          <w:pPr>
            <w:pStyle w:val="TOC2"/>
            <w:rPr/>
          </w:pPr>
          <w:r>
            <w:rPr/>
            <w:t>1.3</w:t>
            <w:tab/>
            <w:t>Adjustment to Purchase Price</w:t>
            <w:tab/>
          </w:r>
          <w:hyperlink w:anchor="__RefHeading___Toc487278829">
            <w:r>
              <w:rPr>
                <w:rStyle w:val="IndexLink"/>
              </w:rPr>
              <w:t>2</w:t>
            </w:r>
          </w:hyperlink>
        </w:p>
        <w:p>
          <w:pPr>
            <w:pStyle w:val="TOC2"/>
            <w:rPr/>
          </w:pPr>
          <w:r>
            <w:rPr/>
            <w:t>1.4</w:t>
            <w:tab/>
            <w:t>Treatment of Acquisition As Asset Purchase For Income Tax Purposes.</w:t>
            <w:tab/>
          </w:r>
          <w:hyperlink w:anchor="__RefHeading___Toc487278830">
            <w:r>
              <w:rPr>
                <w:rStyle w:val="IndexLink"/>
              </w:rPr>
              <w:t>4</w:t>
            </w:r>
          </w:hyperlink>
        </w:p>
        <w:p>
          <w:pPr>
            <w:pStyle w:val="TOC1"/>
            <w:rPr/>
          </w:pPr>
          <w:r>
            <w:rPr>
              <w:rFonts w:cs="Wingdings"/>
            </w:rPr>
            <w:t>ARTICLE II</w:t>
          </w:r>
          <w:r>
            <w:rPr/>
            <w:t xml:space="preserve"> REPRESENTATIONS AND WARRANTIES OF SELLER AND COMPANY</w:t>
            <w:tab/>
          </w:r>
          <w:hyperlink w:anchor="__RefHeading___Toc487278831">
            <w:r>
              <w:rPr>
                <w:rStyle w:val="IndexLink"/>
              </w:rPr>
              <w:t>5</w:t>
            </w:r>
          </w:hyperlink>
        </w:p>
        <w:p>
          <w:pPr>
            <w:pStyle w:val="TOC2"/>
            <w:rPr/>
          </w:pPr>
          <w:r>
            <w:rPr/>
            <w:t>2.1</w:t>
            <w:tab/>
            <w:t>Organization and Qualification</w:t>
            <w:tab/>
          </w:r>
          <w:hyperlink w:anchor="__RefHeading___Toc487278832">
            <w:r>
              <w:rPr>
                <w:rStyle w:val="IndexLink"/>
              </w:rPr>
              <w:t>5</w:t>
            </w:r>
          </w:hyperlink>
        </w:p>
        <w:p>
          <w:pPr>
            <w:pStyle w:val="TOC2"/>
            <w:rPr/>
          </w:pPr>
          <w:r>
            <w:rPr/>
            <w:t>2.2</w:t>
            <w:tab/>
            <w:t>Capital Stock</w:t>
            <w:tab/>
          </w:r>
          <w:hyperlink w:anchor="__RefHeading___Toc487278833">
            <w:r>
              <w:rPr>
                <w:rStyle w:val="IndexLink"/>
              </w:rPr>
              <w:t>5</w:t>
            </w:r>
          </w:hyperlink>
        </w:p>
        <w:p>
          <w:pPr>
            <w:pStyle w:val="TOC2"/>
            <w:rPr/>
          </w:pPr>
          <w:r>
            <w:rPr/>
            <w:t>2.3</w:t>
            <w:tab/>
            <w:t>Subsidiaries</w:t>
            <w:tab/>
          </w:r>
          <w:hyperlink w:anchor="__RefHeading___Toc487278834">
            <w:r>
              <w:rPr>
                <w:rStyle w:val="IndexLink"/>
              </w:rPr>
              <w:t>6</w:t>
            </w:r>
          </w:hyperlink>
        </w:p>
        <w:p>
          <w:pPr>
            <w:pStyle w:val="TOC2"/>
            <w:rPr/>
          </w:pPr>
          <w:r>
            <w:rPr/>
            <w:t>2.4</w:t>
            <w:tab/>
            <w:t>Governmental Authorizations</w:t>
            <w:tab/>
          </w:r>
          <w:hyperlink w:anchor="__RefHeading___Toc487278835">
            <w:r>
              <w:rPr>
                <w:rStyle w:val="IndexLink"/>
              </w:rPr>
              <w:t>6</w:t>
            </w:r>
          </w:hyperlink>
        </w:p>
        <w:p>
          <w:pPr>
            <w:pStyle w:val="TOC2"/>
            <w:rPr/>
          </w:pPr>
          <w:r>
            <w:rPr/>
            <w:t>2.5</w:t>
            <w:tab/>
            <w:t>Financial Statements</w:t>
            <w:tab/>
          </w:r>
          <w:hyperlink w:anchor="__RefHeading___Toc487278836">
            <w:r>
              <w:rPr>
                <w:rStyle w:val="IndexLink"/>
              </w:rPr>
              <w:t>6</w:t>
            </w:r>
          </w:hyperlink>
        </w:p>
        <w:p>
          <w:pPr>
            <w:pStyle w:val="TOC2"/>
            <w:rPr/>
          </w:pPr>
          <w:r>
            <w:rPr/>
            <w:t>2.6</w:t>
            <w:tab/>
            <w:t>No Adverse Changes; Absence of Undisclosed Liabilities.</w:t>
            <w:tab/>
          </w:r>
          <w:hyperlink w:anchor="__RefHeading___Toc487278837">
            <w:r>
              <w:rPr>
                <w:rStyle w:val="IndexLink"/>
              </w:rPr>
              <w:t>6</w:t>
            </w:r>
          </w:hyperlink>
        </w:p>
        <w:p>
          <w:pPr>
            <w:pStyle w:val="TOC2"/>
            <w:rPr/>
          </w:pPr>
          <w:r>
            <w:rPr/>
            <w:t>2.7</w:t>
            <w:tab/>
            <w:t>Properties</w:t>
            <w:tab/>
          </w:r>
          <w:hyperlink w:anchor="__RefHeading___Toc487278838">
            <w:r>
              <w:rPr>
                <w:rStyle w:val="IndexLink"/>
              </w:rPr>
              <w:t>7</w:t>
            </w:r>
          </w:hyperlink>
        </w:p>
        <w:p>
          <w:pPr>
            <w:pStyle w:val="TOC2"/>
            <w:rPr/>
          </w:pPr>
          <w:r>
            <w:rPr/>
            <w:t>2.8</w:t>
            <w:tab/>
            <w:t>Litigation, Judgments, Etc.</w:t>
            <w:tab/>
          </w:r>
          <w:hyperlink w:anchor="__RefHeading___Toc487278839">
            <w:r>
              <w:rPr>
                <w:rStyle w:val="IndexLink"/>
              </w:rPr>
              <w:t>9</w:t>
            </w:r>
          </w:hyperlink>
        </w:p>
        <w:p>
          <w:pPr>
            <w:pStyle w:val="TOC2"/>
            <w:rPr/>
          </w:pPr>
          <w:r>
            <w:rPr/>
            <w:t>2.9</w:t>
            <w:tab/>
            <w:t>Intellectual Property</w:t>
            <w:tab/>
          </w:r>
          <w:hyperlink w:anchor="__RefHeading___Toc487278840">
            <w:r>
              <w:rPr>
                <w:rStyle w:val="IndexLink"/>
              </w:rPr>
              <w:t>9</w:t>
            </w:r>
          </w:hyperlink>
        </w:p>
        <w:p>
          <w:pPr>
            <w:pStyle w:val="TOC2"/>
            <w:rPr/>
          </w:pPr>
          <w:r>
            <w:rPr/>
            <w:t>2.10</w:t>
            <w:tab/>
            <w:t>Environmental Matters.</w:t>
            <w:tab/>
          </w:r>
          <w:hyperlink w:anchor="__RefHeading___Toc487278841">
            <w:r>
              <w:rPr>
                <w:rStyle w:val="IndexLink"/>
              </w:rPr>
              <w:t>10</w:t>
            </w:r>
          </w:hyperlink>
        </w:p>
        <w:p>
          <w:pPr>
            <w:pStyle w:val="TOC2"/>
            <w:rPr/>
          </w:pPr>
          <w:r>
            <w:rPr/>
            <w:t>2.11</w:t>
            <w:tab/>
            <w:t>Company Taxes.</w:t>
            <w:tab/>
          </w:r>
          <w:hyperlink w:anchor="__RefHeading___Toc487278842">
            <w:r>
              <w:rPr>
                <w:rStyle w:val="IndexLink"/>
              </w:rPr>
              <w:t>12</w:t>
            </w:r>
          </w:hyperlink>
        </w:p>
        <w:p>
          <w:pPr>
            <w:pStyle w:val="TOC2"/>
            <w:rPr/>
          </w:pPr>
          <w:r>
            <w:rPr/>
            <w:t>2.12</w:t>
            <w:tab/>
            <w:t>Employee Benefit Plans.</w:t>
            <w:tab/>
          </w:r>
          <w:hyperlink w:anchor="__RefHeading___Toc487278843">
            <w:r>
              <w:rPr>
                <w:rStyle w:val="IndexLink"/>
              </w:rPr>
              <w:t>13</w:t>
            </w:r>
          </w:hyperlink>
        </w:p>
        <w:p>
          <w:pPr>
            <w:pStyle w:val="TOC2"/>
            <w:rPr/>
          </w:pPr>
          <w:r>
            <w:rPr/>
            <w:t>2.13</w:t>
            <w:tab/>
            <w:t>Authorization of Agreement; No Violation; No Consents</w:t>
            <w:tab/>
          </w:r>
          <w:hyperlink w:anchor="__RefHeading___Toc487278844">
            <w:r>
              <w:rPr>
                <w:rStyle w:val="IndexLink"/>
              </w:rPr>
              <w:t>16</w:t>
            </w:r>
          </w:hyperlink>
        </w:p>
        <w:p>
          <w:pPr>
            <w:pStyle w:val="TOC2"/>
            <w:rPr/>
          </w:pPr>
          <w:r>
            <w:rPr/>
            <w:t>2.14</w:t>
            <w:tab/>
            <w:t>Labor and Employment Matters.</w:t>
            <w:tab/>
          </w:r>
          <w:hyperlink w:anchor="__RefHeading___Toc487278845">
            <w:r>
              <w:rPr>
                <w:rStyle w:val="IndexLink"/>
              </w:rPr>
              <w:t>17</w:t>
            </w:r>
          </w:hyperlink>
        </w:p>
        <w:p>
          <w:pPr>
            <w:pStyle w:val="TOC2"/>
            <w:rPr/>
          </w:pPr>
          <w:r>
            <w:rPr/>
            <w:t>2.15</w:t>
            <w:tab/>
            <w:t>Contracts</w:t>
            <w:tab/>
          </w:r>
          <w:hyperlink w:anchor="__RefHeading___Toc487278846">
            <w:r>
              <w:rPr>
                <w:rStyle w:val="IndexLink"/>
              </w:rPr>
              <w:t>18</w:t>
            </w:r>
          </w:hyperlink>
        </w:p>
        <w:p>
          <w:pPr>
            <w:pStyle w:val="TOC2"/>
            <w:rPr/>
          </w:pPr>
          <w:r>
            <w:rPr/>
            <w:t>2.16</w:t>
            <w:tab/>
            <w:t>Accounts Receivable</w:t>
            <w:tab/>
          </w:r>
          <w:hyperlink w:anchor="__RefHeading___Toc487278847">
            <w:r>
              <w:rPr>
                <w:rStyle w:val="IndexLink"/>
              </w:rPr>
              <w:t>18</w:t>
            </w:r>
          </w:hyperlink>
        </w:p>
        <w:p>
          <w:pPr>
            <w:pStyle w:val="TOC2"/>
            <w:rPr/>
          </w:pPr>
          <w:r>
            <w:rPr/>
            <w:t>2.17</w:t>
            <w:tab/>
            <w:t>Banks</w:t>
            <w:tab/>
          </w:r>
          <w:hyperlink w:anchor="__RefHeading___Toc487278848">
            <w:r>
              <w:rPr>
                <w:rStyle w:val="IndexLink"/>
              </w:rPr>
              <w:t>18</w:t>
            </w:r>
          </w:hyperlink>
        </w:p>
        <w:p>
          <w:pPr>
            <w:pStyle w:val="TOC2"/>
            <w:rPr/>
          </w:pPr>
          <w:r>
            <w:rPr/>
            <w:t>2.18</w:t>
            <w:tab/>
            <w:t>Directors, Officers and Key Employees</w:t>
            <w:tab/>
          </w:r>
          <w:hyperlink w:anchor="__RefHeading___Toc487278849">
            <w:r>
              <w:rPr>
                <w:rStyle w:val="IndexLink"/>
              </w:rPr>
              <w:t>19</w:t>
            </w:r>
          </w:hyperlink>
        </w:p>
        <w:p>
          <w:pPr>
            <w:pStyle w:val="TOC2"/>
            <w:rPr/>
          </w:pPr>
          <w:r>
            <w:rPr/>
            <w:t>2.19</w:t>
            <w:tab/>
            <w:t>Books of Account</w:t>
            <w:tab/>
          </w:r>
          <w:hyperlink w:anchor="__RefHeading___Toc487278850">
            <w:r>
              <w:rPr>
                <w:rStyle w:val="IndexLink"/>
              </w:rPr>
              <w:t>19</w:t>
            </w:r>
          </w:hyperlink>
        </w:p>
        <w:p>
          <w:pPr>
            <w:pStyle w:val="TOC2"/>
            <w:rPr/>
          </w:pPr>
          <w:r>
            <w:rPr/>
            <w:t>2.20</w:t>
            <w:tab/>
            <w:t>Suppliers and Customers</w:t>
            <w:tab/>
          </w:r>
          <w:hyperlink w:anchor="__RefHeading___Toc487278851">
            <w:r>
              <w:rPr>
                <w:rStyle w:val="IndexLink"/>
              </w:rPr>
              <w:t>19</w:t>
            </w:r>
          </w:hyperlink>
        </w:p>
        <w:p>
          <w:pPr>
            <w:pStyle w:val="TOC2"/>
            <w:rPr/>
          </w:pPr>
          <w:r>
            <w:rPr/>
            <w:t>2.21</w:t>
            <w:tab/>
            <w:t>Insurance</w:t>
            <w:tab/>
          </w:r>
          <w:hyperlink w:anchor="__RefHeading___Toc487278852">
            <w:r>
              <w:rPr>
                <w:rStyle w:val="IndexLink"/>
              </w:rPr>
              <w:t>19</w:t>
            </w:r>
          </w:hyperlink>
        </w:p>
        <w:p>
          <w:pPr>
            <w:pStyle w:val="TOC2"/>
            <w:rPr/>
          </w:pPr>
          <w:r>
            <w:rPr/>
            <w:t>2.22</w:t>
            <w:tab/>
            <w:t>Availability of Documents</w:t>
            <w:tab/>
          </w:r>
          <w:hyperlink w:anchor="__RefHeading___Toc487278853">
            <w:r>
              <w:rPr>
                <w:rStyle w:val="IndexLink"/>
              </w:rPr>
              <w:t>19</w:t>
            </w:r>
          </w:hyperlink>
        </w:p>
        <w:p>
          <w:pPr>
            <w:pStyle w:val="TOC2"/>
            <w:rPr/>
          </w:pPr>
          <w:r>
            <w:rPr/>
            <w:t>2.23</w:t>
            <w:tab/>
            <w:t>No Material Omissions</w:t>
            <w:tab/>
          </w:r>
          <w:hyperlink w:anchor="__RefHeading___Toc487278854">
            <w:r>
              <w:rPr>
                <w:rStyle w:val="IndexLink"/>
              </w:rPr>
              <w:t>19</w:t>
            </w:r>
          </w:hyperlink>
        </w:p>
        <w:p>
          <w:pPr>
            <w:pStyle w:val="TOC1"/>
            <w:rPr/>
          </w:pPr>
          <w:r>
            <w:rPr>
              <w:rFonts w:cs="Wingdings"/>
            </w:rPr>
            <w:t>ARTICLE III</w:t>
          </w:r>
          <w:r>
            <w:rPr/>
            <w:t xml:space="preserve"> REPRESENTATIONS AND WARRANTIES OF SELLER</w:t>
            <w:tab/>
          </w:r>
          <w:hyperlink w:anchor="__RefHeading___Toc487278855">
            <w:r>
              <w:rPr>
                <w:rStyle w:val="IndexLink"/>
              </w:rPr>
              <w:t>20</w:t>
            </w:r>
          </w:hyperlink>
        </w:p>
        <w:p>
          <w:pPr>
            <w:pStyle w:val="TOC2"/>
            <w:rPr/>
          </w:pPr>
          <w:r>
            <w:rPr/>
            <w:t>3.1</w:t>
            <w:tab/>
            <w:t>Organization and Qualification</w:t>
            <w:tab/>
          </w:r>
          <w:hyperlink w:anchor="__RefHeading___Toc487278856">
            <w:r>
              <w:rPr>
                <w:rStyle w:val="IndexLink"/>
              </w:rPr>
              <w:t>20</w:t>
            </w:r>
          </w:hyperlink>
        </w:p>
        <w:p>
          <w:pPr>
            <w:pStyle w:val="TOC2"/>
            <w:rPr/>
          </w:pPr>
          <w:r>
            <w:rPr/>
            <w:t>3.2</w:t>
            <w:tab/>
            <w:t>Ownership of Purchased Interests</w:t>
            <w:tab/>
          </w:r>
          <w:hyperlink w:anchor="__RefHeading___Toc487278857">
            <w:r>
              <w:rPr>
                <w:rStyle w:val="IndexLink"/>
              </w:rPr>
              <w:t>20</w:t>
            </w:r>
          </w:hyperlink>
        </w:p>
        <w:p>
          <w:pPr>
            <w:pStyle w:val="TOC2"/>
            <w:rPr/>
          </w:pPr>
          <w:r>
            <w:rPr/>
            <w:t>3.3</w:t>
            <w:tab/>
            <w:t>Governmental Authorizations</w:t>
            <w:tab/>
          </w:r>
          <w:hyperlink w:anchor="__RefHeading___Toc487278858">
            <w:r>
              <w:rPr>
                <w:rStyle w:val="IndexLink"/>
              </w:rPr>
              <w:t>20</w:t>
            </w:r>
          </w:hyperlink>
        </w:p>
        <w:p>
          <w:pPr>
            <w:pStyle w:val="TOC2"/>
            <w:rPr/>
          </w:pPr>
          <w:r>
            <w:rPr/>
            <w:t>3.4</w:t>
            <w:tab/>
            <w:t>Authorization of Agreement; No Violation; No Consents</w:t>
            <w:tab/>
          </w:r>
          <w:hyperlink w:anchor="__RefHeading___Toc487278859">
            <w:r>
              <w:rPr>
                <w:rStyle w:val="IndexLink"/>
              </w:rPr>
              <w:t>20</w:t>
            </w:r>
          </w:hyperlink>
        </w:p>
        <w:p>
          <w:pPr>
            <w:pStyle w:val="TOC2"/>
            <w:rPr/>
          </w:pPr>
          <w:r>
            <w:rPr/>
            <w:t>3.5</w:t>
            <w:tab/>
            <w:t>Seller Taxes</w:t>
            <w:tab/>
          </w:r>
          <w:hyperlink w:anchor="__RefHeading___Toc487278860">
            <w:r>
              <w:rPr>
                <w:rStyle w:val="IndexLink"/>
              </w:rPr>
              <w:t>21</w:t>
            </w:r>
          </w:hyperlink>
        </w:p>
        <w:p>
          <w:pPr>
            <w:pStyle w:val="TOC2"/>
            <w:rPr/>
          </w:pPr>
          <w:r>
            <w:rPr/>
            <w:t>3.6</w:t>
            <w:tab/>
            <w:t>No Adverse Change</w:t>
            <w:tab/>
          </w:r>
          <w:hyperlink w:anchor="__RefHeading___Toc487278861">
            <w:r>
              <w:rPr>
                <w:rStyle w:val="IndexLink"/>
              </w:rPr>
              <w:t>21</w:t>
            </w:r>
          </w:hyperlink>
        </w:p>
        <w:p>
          <w:pPr>
            <w:pStyle w:val="TOC1"/>
            <w:rPr/>
          </w:pPr>
          <w:r>
            <w:rPr>
              <w:rFonts w:cs="Wingdings"/>
            </w:rPr>
            <w:t>ARTICLE IV</w:t>
          </w:r>
          <w:r>
            <w:rPr/>
            <w:t xml:space="preserve"> REPRESENTATIONS AND WARRANTIES OF PURCHASER</w:t>
            <w:tab/>
          </w:r>
          <w:hyperlink w:anchor="__RefHeading___Toc487278862">
            <w:r>
              <w:rPr>
                <w:rStyle w:val="IndexLink"/>
              </w:rPr>
              <w:t>21</w:t>
            </w:r>
          </w:hyperlink>
        </w:p>
        <w:p>
          <w:pPr>
            <w:pStyle w:val="TOC2"/>
            <w:rPr/>
          </w:pPr>
          <w:r>
            <w:rPr/>
            <w:t>4.1</w:t>
            <w:tab/>
            <w:t>Organization and Qualification</w:t>
            <w:tab/>
          </w:r>
          <w:hyperlink w:anchor="__RefHeading___Toc487278863">
            <w:r>
              <w:rPr>
                <w:rStyle w:val="IndexLink"/>
              </w:rPr>
              <w:t>21</w:t>
            </w:r>
          </w:hyperlink>
        </w:p>
        <w:p>
          <w:pPr>
            <w:pStyle w:val="TOC2"/>
            <w:rPr/>
          </w:pPr>
          <w:r>
            <w:rPr/>
            <w:t>4.2</w:t>
            <w:tab/>
            <w:t>Authorization of Agreement; No Violation; No Consents</w:t>
            <w:tab/>
          </w:r>
          <w:hyperlink w:anchor="__RefHeading___Toc487278864">
            <w:r>
              <w:rPr>
                <w:rStyle w:val="IndexLink"/>
              </w:rPr>
              <w:t>21</w:t>
            </w:r>
          </w:hyperlink>
        </w:p>
        <w:p>
          <w:pPr>
            <w:pStyle w:val="TOC2"/>
            <w:rPr/>
          </w:pPr>
          <w:r>
            <w:rPr/>
            <w:t>4.3</w:t>
            <w:tab/>
            <w:t>Investment Purpose; Investment Company</w:t>
            <w:tab/>
          </w:r>
          <w:hyperlink w:anchor="__RefHeading___Toc487278865">
            <w:r>
              <w:rPr>
                <w:rStyle w:val="IndexLink"/>
              </w:rPr>
              <w:t>22</w:t>
            </w:r>
          </w:hyperlink>
        </w:p>
        <w:p>
          <w:pPr>
            <w:pStyle w:val="TOC2"/>
            <w:rPr/>
          </w:pPr>
          <w:r>
            <w:rPr/>
            <w:t>4.4</w:t>
            <w:tab/>
            <w:t>Operating and Maintenance Agreement</w:t>
            <w:tab/>
          </w:r>
          <w:hyperlink w:anchor="__RefHeading___Toc487278866">
            <w:r>
              <w:rPr>
                <w:rStyle w:val="IndexLink"/>
              </w:rPr>
              <w:t>22</w:t>
            </w:r>
          </w:hyperlink>
        </w:p>
        <w:p>
          <w:pPr>
            <w:pStyle w:val="TOC1"/>
            <w:rPr/>
          </w:pPr>
          <w:r>
            <w:rPr>
              <w:rFonts w:cs="Wingdings"/>
            </w:rPr>
            <w:t>ARTICLE V</w:t>
          </w:r>
          <w:r>
            <w:rPr/>
            <w:t xml:space="preserve"> COVENANTS OF SELLER AND COMPANY</w:t>
            <w:tab/>
          </w:r>
          <w:hyperlink w:anchor="__RefHeading___Toc487278867">
            <w:r>
              <w:rPr>
                <w:rStyle w:val="IndexLink"/>
              </w:rPr>
              <w:t>22</w:t>
            </w:r>
          </w:hyperlink>
        </w:p>
        <w:p>
          <w:pPr>
            <w:pStyle w:val="TOC2"/>
            <w:rPr/>
          </w:pPr>
          <w:r>
            <w:rPr/>
            <w:t>5.1</w:t>
            <w:tab/>
            <w:t>Conduct of Business Prior to the Closing Date</w:t>
            <w:tab/>
          </w:r>
          <w:hyperlink w:anchor="__RefHeading___Toc487278868">
            <w:r>
              <w:rPr>
                <w:rStyle w:val="IndexLink"/>
              </w:rPr>
              <w:t>22</w:t>
            </w:r>
          </w:hyperlink>
        </w:p>
        <w:p>
          <w:pPr>
            <w:pStyle w:val="TOC2"/>
            <w:rPr/>
          </w:pPr>
          <w:r>
            <w:rPr/>
            <w:t>5.2</w:t>
            <w:tab/>
            <w:t>Obtaining Consents.</w:t>
            <w:tab/>
          </w:r>
          <w:hyperlink w:anchor="__RefHeading___Toc487278869">
            <w:r>
              <w:rPr>
                <w:rStyle w:val="IndexLink"/>
              </w:rPr>
              <w:t>25</w:t>
            </w:r>
          </w:hyperlink>
        </w:p>
        <w:p>
          <w:pPr>
            <w:pStyle w:val="TOC2"/>
            <w:rPr/>
          </w:pPr>
          <w:r>
            <w:rPr/>
            <w:t>5.3</w:t>
            <w:tab/>
            <w:t>Access by Purchaser to Company</w:t>
            <w:tab/>
          </w:r>
          <w:hyperlink w:anchor="__RefHeading___Toc487278870">
            <w:r>
              <w:rPr>
                <w:rStyle w:val="IndexLink"/>
              </w:rPr>
              <w:t>26</w:t>
            </w:r>
          </w:hyperlink>
        </w:p>
        <w:p>
          <w:pPr>
            <w:pStyle w:val="TOC2"/>
            <w:rPr/>
          </w:pPr>
          <w:r>
            <w:rPr/>
            <w:t>5.4</w:t>
            <w:tab/>
            <w:t>Satisfaction of Closing Conditions</w:t>
            <w:tab/>
          </w:r>
          <w:hyperlink w:anchor="__RefHeading___Toc487278871">
            <w:r>
              <w:rPr>
                <w:rStyle w:val="IndexLink"/>
              </w:rPr>
              <w:t>26</w:t>
            </w:r>
          </w:hyperlink>
        </w:p>
        <w:p>
          <w:pPr>
            <w:pStyle w:val="TOC2"/>
            <w:rPr/>
          </w:pPr>
          <w:r>
            <w:rPr/>
            <w:t>5.5</w:t>
            <w:tab/>
            <w:t>Notification</w:t>
            <w:tab/>
          </w:r>
          <w:hyperlink w:anchor="__RefHeading___Toc487278872">
            <w:r>
              <w:rPr>
                <w:rStyle w:val="IndexLink"/>
              </w:rPr>
              <w:t>26</w:t>
            </w:r>
          </w:hyperlink>
        </w:p>
        <w:p>
          <w:pPr>
            <w:pStyle w:val="TOC2"/>
            <w:rPr/>
          </w:pPr>
          <w:r>
            <w:rPr/>
            <w:t>5.6</w:t>
            <w:tab/>
            <w:t>Delivery of Documents at Closing</w:t>
            <w:tab/>
          </w:r>
          <w:hyperlink w:anchor="__RefHeading___Toc487278873">
            <w:r>
              <w:rPr>
                <w:rStyle w:val="IndexLink"/>
              </w:rPr>
              <w:t>26</w:t>
            </w:r>
          </w:hyperlink>
        </w:p>
        <w:p>
          <w:pPr>
            <w:pStyle w:val="TOC2"/>
            <w:rPr/>
          </w:pPr>
          <w:r>
            <w:rPr/>
            <w:t>5.7</w:t>
            <w:tab/>
            <w:t>No Solicitation</w:t>
            <w:tab/>
          </w:r>
          <w:hyperlink w:anchor="__RefHeading___Toc487278874">
            <w:r>
              <w:rPr>
                <w:rStyle w:val="IndexLink"/>
              </w:rPr>
              <w:t>26</w:t>
            </w:r>
          </w:hyperlink>
        </w:p>
        <w:p>
          <w:pPr>
            <w:pStyle w:val="TOC2"/>
            <w:rPr/>
          </w:pPr>
          <w:r>
            <w:rPr/>
            <w:t>5.8</w:t>
            <w:tab/>
            <w:t>Insurance</w:t>
            <w:tab/>
          </w:r>
          <w:hyperlink w:anchor="__RefHeading___Toc487278875">
            <w:r>
              <w:rPr>
                <w:rStyle w:val="IndexLink"/>
              </w:rPr>
              <w:t>26</w:t>
            </w:r>
          </w:hyperlink>
        </w:p>
        <w:p>
          <w:pPr>
            <w:pStyle w:val="TOC2"/>
            <w:rPr/>
          </w:pPr>
          <w:r>
            <w:rPr/>
            <w:t>5.9</w:t>
            <w:tab/>
            <w:t>Employee Benefits</w:t>
            <w:tab/>
          </w:r>
          <w:hyperlink w:anchor="__RefHeading___Toc487278876">
            <w:r>
              <w:rPr>
                <w:rStyle w:val="IndexLink"/>
              </w:rPr>
              <w:t>27</w:t>
            </w:r>
          </w:hyperlink>
        </w:p>
        <w:p>
          <w:pPr>
            <w:pStyle w:val="TOC2"/>
            <w:rPr/>
          </w:pPr>
          <w:r>
            <w:rPr/>
            <w:t>5.10</w:t>
            <w:tab/>
            <w:t>New Jersey Revenue Bonds.</w:t>
            <w:tab/>
          </w:r>
          <w:hyperlink w:anchor="__RefHeading___Toc487278877">
            <w:r>
              <w:rPr>
                <w:rStyle w:val="IndexLink"/>
              </w:rPr>
              <w:t>27</w:t>
            </w:r>
          </w:hyperlink>
        </w:p>
        <w:p>
          <w:pPr>
            <w:pStyle w:val="TOC1"/>
            <w:rPr/>
          </w:pPr>
          <w:r>
            <w:rPr>
              <w:rFonts w:cs="Wingdings"/>
            </w:rPr>
            <w:t>ARTICLE VI</w:t>
          </w:r>
          <w:r>
            <w:rPr/>
            <w:t xml:space="preserve"> COVENANTS OF PURCHASER</w:t>
            <w:tab/>
          </w:r>
          <w:hyperlink w:anchor="__RefHeading___Toc487278878">
            <w:r>
              <w:rPr>
                <w:rStyle w:val="IndexLink"/>
              </w:rPr>
              <w:t>28</w:t>
            </w:r>
          </w:hyperlink>
        </w:p>
        <w:p>
          <w:pPr>
            <w:pStyle w:val="TOC2"/>
            <w:rPr/>
          </w:pPr>
          <w:r>
            <w:rPr/>
            <w:t>6.1</w:t>
            <w:tab/>
            <w:t>Obtaining Consents</w:t>
            <w:tab/>
          </w:r>
          <w:hyperlink w:anchor="__RefHeading___Toc487278879">
            <w:r>
              <w:rPr>
                <w:rStyle w:val="IndexLink"/>
              </w:rPr>
              <w:t>28</w:t>
            </w:r>
          </w:hyperlink>
        </w:p>
        <w:p>
          <w:pPr>
            <w:pStyle w:val="TOC2"/>
            <w:rPr/>
          </w:pPr>
          <w:r>
            <w:rPr/>
            <w:t>6.2</w:t>
            <w:tab/>
            <w:t>Satisfaction of Closing Conditions</w:t>
            <w:tab/>
          </w:r>
          <w:hyperlink w:anchor="__RefHeading___Toc487278880">
            <w:r>
              <w:rPr>
                <w:rStyle w:val="IndexLink"/>
              </w:rPr>
              <w:t>29</w:t>
            </w:r>
          </w:hyperlink>
        </w:p>
        <w:p>
          <w:pPr>
            <w:pStyle w:val="TOC2"/>
            <w:rPr/>
          </w:pPr>
          <w:r>
            <w:rPr/>
            <w:t>6.3</w:t>
            <w:tab/>
            <w:t>Delivery of Documents at Closing</w:t>
            <w:tab/>
          </w:r>
          <w:hyperlink w:anchor="__RefHeading___Toc487278881">
            <w:r>
              <w:rPr>
                <w:rStyle w:val="IndexLink"/>
              </w:rPr>
              <w:t>29</w:t>
            </w:r>
          </w:hyperlink>
        </w:p>
        <w:p>
          <w:pPr>
            <w:pStyle w:val="TOC2"/>
            <w:rPr/>
          </w:pPr>
          <w:r>
            <w:rPr/>
            <w:t>6.4</w:t>
            <w:tab/>
            <w:t>Employees</w:t>
            <w:tab/>
          </w:r>
          <w:hyperlink w:anchor="__RefHeading___Toc487278882">
            <w:r>
              <w:rPr>
                <w:rStyle w:val="IndexLink"/>
              </w:rPr>
              <w:t>29</w:t>
            </w:r>
          </w:hyperlink>
        </w:p>
        <w:p>
          <w:pPr>
            <w:pStyle w:val="TOC2"/>
            <w:rPr/>
          </w:pPr>
          <w:r>
            <w:rPr/>
            <w:t>6.5</w:t>
            <w:tab/>
            <w:t>Notification</w:t>
            <w:tab/>
          </w:r>
          <w:hyperlink w:anchor="__RefHeading___Toc487278883">
            <w:r>
              <w:rPr>
                <w:rStyle w:val="IndexLink"/>
              </w:rPr>
              <w:t>29</w:t>
            </w:r>
          </w:hyperlink>
        </w:p>
        <w:p>
          <w:pPr>
            <w:pStyle w:val="TOC2"/>
            <w:rPr/>
          </w:pPr>
          <w:r>
            <w:rPr/>
            <w:t>6.6</w:t>
            <w:tab/>
            <w:t>Certain Company Intellectual Property Rights</w:t>
            <w:tab/>
          </w:r>
          <w:hyperlink w:anchor="__RefHeading___Toc487278884">
            <w:r>
              <w:rPr>
                <w:rStyle w:val="IndexLink"/>
              </w:rPr>
              <w:t>29</w:t>
            </w:r>
          </w:hyperlink>
        </w:p>
        <w:p>
          <w:pPr>
            <w:pStyle w:val="TOC2"/>
            <w:rPr/>
          </w:pPr>
          <w:r>
            <w:rPr/>
            <w:t>6.7</w:t>
            <w:tab/>
            <w:t>Financing</w:t>
            <w:tab/>
          </w:r>
          <w:hyperlink w:anchor="__RefHeading___Toc487278885">
            <w:r>
              <w:rPr>
                <w:rStyle w:val="IndexLink"/>
              </w:rPr>
              <w:t>30</w:t>
            </w:r>
          </w:hyperlink>
        </w:p>
        <w:p>
          <w:pPr>
            <w:pStyle w:val="TOC2"/>
            <w:rPr/>
          </w:pPr>
          <w:r>
            <w:rPr/>
            <w:t>6.8</w:t>
            <w:tab/>
            <w:t>Termination of Seller-Company Arrangements</w:t>
            <w:tab/>
          </w:r>
          <w:hyperlink w:anchor="__RefHeading___Toc487278886">
            <w:r>
              <w:rPr>
                <w:rStyle w:val="IndexLink"/>
              </w:rPr>
              <w:t>30</w:t>
            </w:r>
          </w:hyperlink>
        </w:p>
        <w:p>
          <w:pPr>
            <w:pStyle w:val="TOC2"/>
            <w:rPr/>
          </w:pPr>
          <w:r>
            <w:rPr/>
            <w:t>6.9</w:t>
            <w:tab/>
            <w:t>Post-Closing Access</w:t>
            <w:tab/>
          </w:r>
          <w:hyperlink w:anchor="__RefHeading___Toc487278887">
            <w:r>
              <w:rPr>
                <w:rStyle w:val="IndexLink"/>
              </w:rPr>
              <w:t>30</w:t>
            </w:r>
          </w:hyperlink>
        </w:p>
        <w:p>
          <w:pPr>
            <w:pStyle w:val="TOC1"/>
            <w:rPr/>
          </w:pPr>
          <w:r>
            <w:rPr>
              <w:rFonts w:cs="Wingdings"/>
            </w:rPr>
            <w:t>ARTICLE VII</w:t>
          </w:r>
          <w:r>
            <w:rPr/>
            <w:t xml:space="preserve"> TAX MATTERS</w:t>
            <w:tab/>
          </w:r>
          <w:hyperlink w:anchor="__RefHeading___Toc487278888">
            <w:r>
              <w:rPr>
                <w:rStyle w:val="IndexLink"/>
              </w:rPr>
              <w:t>30</w:t>
            </w:r>
          </w:hyperlink>
        </w:p>
        <w:p>
          <w:pPr>
            <w:pStyle w:val="TOC2"/>
            <w:rPr/>
          </w:pPr>
          <w:r>
            <w:rPr/>
            <w:t>7.1</w:t>
            <w:tab/>
            <w:t>Limited Liability Company Purchase Price Allocation</w:t>
            <w:tab/>
          </w:r>
          <w:hyperlink w:anchor="__RefHeading___Toc487278889">
            <w:r>
              <w:rPr>
                <w:rStyle w:val="IndexLink"/>
              </w:rPr>
              <w:t>30</w:t>
            </w:r>
          </w:hyperlink>
        </w:p>
        <w:p>
          <w:pPr>
            <w:pStyle w:val="TOC2"/>
            <w:rPr/>
          </w:pPr>
          <w:r>
            <w:rPr/>
            <w:t>7.2</w:t>
            <w:tab/>
            <w:t>Tax Returns</w:t>
            <w:tab/>
          </w:r>
          <w:hyperlink w:anchor="__RefHeading___Toc487278890">
            <w:r>
              <w:rPr>
                <w:rStyle w:val="IndexLink"/>
              </w:rPr>
              <w:t>31</w:t>
            </w:r>
          </w:hyperlink>
        </w:p>
        <w:p>
          <w:pPr>
            <w:pStyle w:val="TOC2"/>
            <w:rPr/>
          </w:pPr>
          <w:r>
            <w:rPr/>
            <w:t>7.3</w:t>
            <w:tab/>
            <w:t>Indemnification</w:t>
            <w:tab/>
          </w:r>
          <w:hyperlink w:anchor="__RefHeading___Toc487278891">
            <w:r>
              <w:rPr>
                <w:rStyle w:val="IndexLink"/>
              </w:rPr>
              <w:t>31</w:t>
            </w:r>
          </w:hyperlink>
        </w:p>
        <w:p>
          <w:pPr>
            <w:pStyle w:val="TOC2"/>
            <w:rPr/>
          </w:pPr>
          <w:r>
            <w:rPr/>
            <w:t>7.4</w:t>
            <w:tab/>
            <w:t>Cooperation</w:t>
            <w:tab/>
          </w:r>
          <w:hyperlink w:anchor="__RefHeading___Toc487278892">
            <w:r>
              <w:rPr>
                <w:rStyle w:val="IndexLink"/>
              </w:rPr>
              <w:t>32</w:t>
            </w:r>
          </w:hyperlink>
        </w:p>
        <w:p>
          <w:pPr>
            <w:pStyle w:val="TOC2"/>
            <w:rPr/>
          </w:pPr>
          <w:r>
            <w:rPr/>
            <w:t>7.5</w:t>
            <w:tab/>
            <w:t>Contests</w:t>
            <w:tab/>
          </w:r>
          <w:hyperlink w:anchor="__RefHeading___Toc487278893">
            <w:r>
              <w:rPr>
                <w:rStyle w:val="IndexLink"/>
              </w:rPr>
              <w:t>32</w:t>
            </w:r>
          </w:hyperlink>
        </w:p>
        <w:p>
          <w:pPr>
            <w:pStyle w:val="TOC2"/>
            <w:rPr/>
          </w:pPr>
          <w:r>
            <w:rPr/>
            <w:t>7.6</w:t>
            <w:tab/>
            <w:t>Transfer Taxes</w:t>
            <w:tab/>
          </w:r>
          <w:hyperlink w:anchor="__RefHeading___Toc487278894">
            <w:r>
              <w:rPr>
                <w:rStyle w:val="IndexLink"/>
              </w:rPr>
              <w:t>32</w:t>
            </w:r>
          </w:hyperlink>
        </w:p>
        <w:p>
          <w:pPr>
            <w:pStyle w:val="TOC2"/>
            <w:rPr/>
          </w:pPr>
          <w:r>
            <w:rPr/>
            <w:t>7.7</w:t>
            <w:tab/>
            <w:t>Tax Sharing Agreements</w:t>
            <w:tab/>
          </w:r>
          <w:hyperlink w:anchor="__RefHeading___Toc487278895">
            <w:r>
              <w:rPr>
                <w:rStyle w:val="IndexLink"/>
              </w:rPr>
              <w:t>33</w:t>
            </w:r>
          </w:hyperlink>
        </w:p>
        <w:p>
          <w:pPr>
            <w:pStyle w:val="TOC2"/>
            <w:rPr/>
          </w:pPr>
          <w:r>
            <w:rPr/>
            <w:t>7.8</w:t>
            <w:tab/>
            <w:t>Survival of Obligations</w:t>
            <w:tab/>
          </w:r>
          <w:hyperlink w:anchor="__RefHeading___Toc487278896">
            <w:r>
              <w:rPr>
                <w:rStyle w:val="IndexLink"/>
              </w:rPr>
              <w:t>33</w:t>
            </w:r>
          </w:hyperlink>
        </w:p>
        <w:p>
          <w:pPr>
            <w:pStyle w:val="TOC2"/>
            <w:rPr/>
          </w:pPr>
          <w:r>
            <w:rPr/>
            <w:t>7.9</w:t>
            <w:tab/>
            <w:t>Purchaser’s Exclusive Remedy.</w:t>
            <w:tab/>
          </w:r>
          <w:hyperlink w:anchor="__RefHeading___Toc487278897">
            <w:r>
              <w:rPr>
                <w:rStyle w:val="IndexLink"/>
              </w:rPr>
              <w:t>33</w:t>
            </w:r>
          </w:hyperlink>
        </w:p>
        <w:p>
          <w:pPr>
            <w:pStyle w:val="TOC1"/>
            <w:rPr/>
          </w:pPr>
          <w:r>
            <w:rPr>
              <w:rFonts w:cs="Wingdings"/>
            </w:rPr>
            <w:t>ARTICLE VIII</w:t>
          </w:r>
          <w:r>
            <w:rPr/>
            <w:t xml:space="preserve"> CONDITIONS TO THE CLOSING</w:t>
            <w:tab/>
          </w:r>
          <w:hyperlink w:anchor="__RefHeading___Toc487278898">
            <w:r>
              <w:rPr>
                <w:rStyle w:val="IndexLink"/>
              </w:rPr>
              <w:t>33</w:t>
            </w:r>
          </w:hyperlink>
        </w:p>
        <w:p>
          <w:pPr>
            <w:pStyle w:val="TOC2"/>
            <w:rPr/>
          </w:pPr>
          <w:r>
            <w:rPr/>
            <w:t>8.1</w:t>
            <w:tab/>
            <w:t>Conditions to Obligation of Purchaser</w:t>
            <w:tab/>
          </w:r>
          <w:hyperlink w:anchor="__RefHeading___Toc487278899">
            <w:r>
              <w:rPr>
                <w:rStyle w:val="IndexLink"/>
              </w:rPr>
              <w:t>33</w:t>
            </w:r>
          </w:hyperlink>
        </w:p>
        <w:p>
          <w:pPr>
            <w:pStyle w:val="TOC2"/>
            <w:rPr/>
          </w:pPr>
          <w:r>
            <w:rPr/>
            <w:t>8.2</w:t>
            <w:tab/>
            <w:t>Conditions to Obligations of Seller</w:t>
            <w:tab/>
          </w:r>
          <w:hyperlink w:anchor="__RefHeading___Toc487278900">
            <w:r>
              <w:rPr>
                <w:rStyle w:val="IndexLink"/>
              </w:rPr>
              <w:t>35</w:t>
            </w:r>
          </w:hyperlink>
        </w:p>
        <w:p>
          <w:pPr>
            <w:pStyle w:val="TOC1"/>
            <w:rPr/>
          </w:pPr>
          <w:r>
            <w:rPr>
              <w:rFonts w:cs="Wingdings"/>
            </w:rPr>
            <w:t>ARTICLE IX</w:t>
          </w:r>
          <w:r>
            <w:rPr/>
            <w:t xml:space="preserve"> SURVIVAL OF REPRESENTATIONS AND WARRANTIES AND INDEMNIFICATION</w:t>
            <w:tab/>
          </w:r>
          <w:hyperlink w:anchor="__RefHeading___Toc487278901">
            <w:r>
              <w:rPr>
                <w:rStyle w:val="IndexLink"/>
              </w:rPr>
              <w:t>36</w:t>
            </w:r>
          </w:hyperlink>
        </w:p>
        <w:p>
          <w:pPr>
            <w:pStyle w:val="TOC2"/>
            <w:rPr/>
          </w:pPr>
          <w:r>
            <w:rPr/>
            <w:t>9.1</w:t>
            <w:tab/>
            <w:t>Survival of Representations and Warranties; Acknowledgement of Purchaser Reliance.</w:t>
            <w:tab/>
          </w:r>
          <w:hyperlink w:anchor="__RefHeading___Toc487278902">
            <w:r>
              <w:rPr>
                <w:rStyle w:val="IndexLink"/>
              </w:rPr>
              <w:t>36</w:t>
            </w:r>
          </w:hyperlink>
        </w:p>
        <w:p>
          <w:pPr>
            <w:pStyle w:val="TOC2"/>
            <w:rPr/>
          </w:pPr>
          <w:r>
            <w:rPr/>
            <w:t>9.2</w:t>
            <w:tab/>
            <w:t>Unlimited Indemnification by Seller.</w:t>
            <w:tab/>
          </w:r>
          <w:hyperlink w:anchor="__RefHeading___Toc487278903">
            <w:r>
              <w:rPr>
                <w:rStyle w:val="IndexLink"/>
              </w:rPr>
              <w:t>36</w:t>
            </w:r>
          </w:hyperlink>
        </w:p>
        <w:p>
          <w:pPr>
            <w:pStyle w:val="TOC2"/>
            <w:rPr/>
          </w:pPr>
          <w:r>
            <w:rPr/>
            <w:t>9.3</w:t>
            <w:tab/>
            <w:t>Limited Indemnity by Seller</w:t>
            <w:tab/>
          </w:r>
          <w:hyperlink w:anchor="__RefHeading___Toc487278904">
            <w:r>
              <w:rPr>
                <w:rStyle w:val="IndexLink"/>
              </w:rPr>
              <w:t>38</w:t>
            </w:r>
          </w:hyperlink>
        </w:p>
        <w:p>
          <w:pPr>
            <w:pStyle w:val="TOC2"/>
            <w:rPr/>
          </w:pPr>
          <w:r>
            <w:rPr/>
            <w:t>9.4</w:t>
            <w:tab/>
            <w:t>Indemnification by Purchaser</w:t>
            <w:tab/>
          </w:r>
          <w:hyperlink w:anchor="__RefHeading___Toc487278905">
            <w:r>
              <w:rPr>
                <w:rStyle w:val="IndexLink"/>
              </w:rPr>
              <w:t>38</w:t>
            </w:r>
          </w:hyperlink>
        </w:p>
        <w:p>
          <w:pPr>
            <w:pStyle w:val="TOC2"/>
            <w:rPr/>
          </w:pPr>
          <w:r>
            <w:rPr/>
            <w:t>9.5</w:t>
            <w:tab/>
            <w:t>Indemnification; Notice and Settlement.</w:t>
            <w:tab/>
          </w:r>
          <w:hyperlink w:anchor="__RefHeading___Toc487278906">
            <w:r>
              <w:rPr>
                <w:rStyle w:val="IndexLink"/>
              </w:rPr>
              <w:t>39</w:t>
            </w:r>
          </w:hyperlink>
        </w:p>
        <w:p>
          <w:pPr>
            <w:pStyle w:val="TOC2"/>
            <w:rPr/>
          </w:pPr>
          <w:r>
            <w:rPr/>
            <w:t>9.6</w:t>
            <w:tab/>
            <w:t>Adjustments to Indemnity Payments.</w:t>
            <w:tab/>
          </w:r>
          <w:hyperlink w:anchor="__RefHeading___Toc487278907">
            <w:r>
              <w:rPr>
                <w:rStyle w:val="IndexLink"/>
              </w:rPr>
              <w:t>40</w:t>
            </w:r>
          </w:hyperlink>
        </w:p>
        <w:p>
          <w:pPr>
            <w:pStyle w:val="TOC2"/>
            <w:rPr/>
          </w:pPr>
          <w:r>
            <w:rPr/>
            <w:t>9.7</w:t>
            <w:tab/>
            <w:t>Exclusive Remedy</w:t>
            <w:tab/>
          </w:r>
          <w:hyperlink w:anchor="__RefHeading___Toc487278908">
            <w:r>
              <w:rPr>
                <w:rStyle w:val="IndexLink"/>
              </w:rPr>
              <w:t>40</w:t>
            </w:r>
          </w:hyperlink>
        </w:p>
        <w:p>
          <w:pPr>
            <w:pStyle w:val="TOC2"/>
            <w:rPr/>
          </w:pPr>
          <w:r>
            <w:rPr/>
            <w:t>9.8</w:t>
            <w:tab/>
            <w:t>Tax Claims Pursuant to Article VII and IX.</w:t>
            <w:tab/>
          </w:r>
          <w:hyperlink w:anchor="__RefHeading___Toc487278909">
            <w:r>
              <w:rPr>
                <w:rStyle w:val="IndexLink"/>
              </w:rPr>
              <w:t>40</w:t>
            </w:r>
          </w:hyperlink>
        </w:p>
        <w:p>
          <w:pPr>
            <w:pStyle w:val="TOC1"/>
            <w:rPr/>
          </w:pPr>
          <w:r>
            <w:rPr>
              <w:rFonts w:cs="Wingdings"/>
            </w:rPr>
            <w:t>ARTICLE X</w:t>
          </w:r>
          <w:r>
            <w:rPr/>
            <w:t xml:space="preserve"> TERMINATION</w:t>
            <w:tab/>
          </w:r>
          <w:hyperlink w:anchor="__RefHeading___Toc487278910">
            <w:r>
              <w:rPr>
                <w:rStyle w:val="IndexLink"/>
              </w:rPr>
              <w:t>41</w:t>
            </w:r>
          </w:hyperlink>
        </w:p>
        <w:p>
          <w:pPr>
            <w:pStyle w:val="TOC2"/>
            <w:rPr/>
          </w:pPr>
          <w:r>
            <w:rPr/>
            <w:t>10.1</w:t>
            <w:tab/>
            <w:t>Termination of Agreement</w:t>
            <w:tab/>
          </w:r>
          <w:hyperlink w:anchor="__RefHeading___Toc487278911">
            <w:r>
              <w:rPr>
                <w:rStyle w:val="IndexLink"/>
              </w:rPr>
              <w:t>41</w:t>
            </w:r>
          </w:hyperlink>
        </w:p>
        <w:p>
          <w:pPr>
            <w:pStyle w:val="TOC2"/>
            <w:rPr/>
          </w:pPr>
          <w:r>
            <w:rPr/>
            <w:t>10.2</w:t>
            <w:tab/>
            <w:t>Effect of Termination</w:t>
            <w:tab/>
          </w:r>
          <w:hyperlink w:anchor="__RefHeading___Toc487278912">
            <w:r>
              <w:rPr>
                <w:rStyle w:val="IndexLink"/>
              </w:rPr>
              <w:t>41</w:t>
            </w:r>
          </w:hyperlink>
        </w:p>
        <w:p>
          <w:pPr>
            <w:pStyle w:val="TOC2"/>
            <w:rPr/>
          </w:pPr>
          <w:r>
            <w:rPr/>
            <w:t>10.3</w:t>
            <w:tab/>
            <w:t>Fees, Expenses and Other Payments</w:t>
            <w:tab/>
          </w:r>
          <w:hyperlink w:anchor="__RefHeading___Toc487278913">
            <w:r>
              <w:rPr>
                <w:rStyle w:val="IndexLink"/>
              </w:rPr>
              <w:t>42</w:t>
            </w:r>
          </w:hyperlink>
        </w:p>
        <w:p>
          <w:pPr>
            <w:pStyle w:val="TOC1"/>
            <w:rPr/>
          </w:pPr>
          <w:r>
            <w:rPr>
              <w:rFonts w:cs="Wingdings"/>
            </w:rPr>
            <w:t>ARTICLE XI</w:t>
          </w:r>
          <w:r>
            <w:rPr/>
            <w:t xml:space="preserve"> OTHER COVENANTS AND OBLIGATIONS</w:t>
            <w:tab/>
          </w:r>
          <w:hyperlink w:anchor="__RefHeading___Toc487278914">
            <w:r>
              <w:rPr>
                <w:rStyle w:val="IndexLink"/>
              </w:rPr>
              <w:t>42</w:t>
            </w:r>
          </w:hyperlink>
        </w:p>
        <w:p>
          <w:pPr>
            <w:pStyle w:val="TOC2"/>
            <w:rPr/>
          </w:pPr>
          <w:r>
            <w:rPr/>
            <w:t>11.1</w:t>
            <w:tab/>
            <w:t>Confidentiality</w:t>
            <w:tab/>
          </w:r>
          <w:hyperlink w:anchor="__RefHeading___Toc487278915">
            <w:r>
              <w:rPr>
                <w:rStyle w:val="IndexLink"/>
              </w:rPr>
              <w:t>42</w:t>
            </w:r>
          </w:hyperlink>
        </w:p>
        <w:p>
          <w:pPr>
            <w:pStyle w:val="TOC2"/>
            <w:rPr/>
          </w:pPr>
          <w:r>
            <w:rPr/>
            <w:t>11.2</w:t>
            <w:tab/>
            <w:t>Public Announcements</w:t>
            <w:tab/>
          </w:r>
          <w:hyperlink w:anchor="__RefHeading___Toc487278916">
            <w:r>
              <w:rPr>
                <w:rStyle w:val="IndexLink"/>
              </w:rPr>
              <w:t>42</w:t>
            </w:r>
          </w:hyperlink>
        </w:p>
        <w:p>
          <w:pPr>
            <w:pStyle w:val="TOC2"/>
            <w:rPr/>
          </w:pPr>
          <w:r>
            <w:rPr/>
            <w:t>11.3</w:t>
            <w:tab/>
            <w:t>Further Assurances</w:t>
            <w:tab/>
          </w:r>
          <w:hyperlink w:anchor="__RefHeading___Toc487278917">
            <w:r>
              <w:rPr>
                <w:rStyle w:val="IndexLink"/>
              </w:rPr>
              <w:t>42</w:t>
            </w:r>
          </w:hyperlink>
        </w:p>
        <w:p>
          <w:pPr>
            <w:pStyle w:val="TOC2"/>
            <w:rPr/>
          </w:pPr>
          <w:r>
            <w:rPr/>
            <w:t>11.4</w:t>
            <w:tab/>
            <w:t>Brokers</w:t>
            <w:tab/>
          </w:r>
          <w:hyperlink w:anchor="__RefHeading___Toc487278918">
            <w:r>
              <w:rPr>
                <w:rStyle w:val="IndexLink"/>
              </w:rPr>
              <w:t>43</w:t>
            </w:r>
          </w:hyperlink>
        </w:p>
        <w:p>
          <w:pPr>
            <w:pStyle w:val="TOC2"/>
            <w:rPr/>
          </w:pPr>
          <w:r>
            <w:rPr/>
            <w:t>11.5</w:t>
            <w:tab/>
            <w:t>Use of Certain Names</w:t>
            <w:tab/>
          </w:r>
          <w:hyperlink w:anchor="__RefHeading___Toc487278919">
            <w:r>
              <w:rPr>
                <w:rStyle w:val="IndexLink"/>
              </w:rPr>
              <w:t>43</w:t>
            </w:r>
          </w:hyperlink>
        </w:p>
        <w:p>
          <w:pPr>
            <w:pStyle w:val="TOC1"/>
            <w:rPr/>
          </w:pPr>
          <w:r>
            <w:rPr>
              <w:rFonts w:cs="Wingdings"/>
            </w:rPr>
            <w:t>ARTICLE XII</w:t>
          </w:r>
          <w:r>
            <w:rPr/>
            <w:t xml:space="preserve"> MISCELLANEOUS</w:t>
            <w:tab/>
          </w:r>
          <w:hyperlink w:anchor="__RefHeading___Toc487278920">
            <w:r>
              <w:rPr>
                <w:rStyle w:val="IndexLink"/>
              </w:rPr>
              <w:t>43</w:t>
            </w:r>
          </w:hyperlink>
        </w:p>
        <w:p>
          <w:pPr>
            <w:pStyle w:val="TOC2"/>
            <w:rPr/>
          </w:pPr>
          <w:r>
            <w:rPr/>
            <w:t>12.1</w:t>
            <w:tab/>
            <w:t>Definitions.  For purposes of this Agreement:</w:t>
            <w:tab/>
          </w:r>
          <w:hyperlink w:anchor="__RefHeading___Toc487278921">
            <w:r>
              <w:rPr>
                <w:rStyle w:val="IndexLink"/>
              </w:rPr>
              <w:t>43</w:t>
            </w:r>
          </w:hyperlink>
        </w:p>
        <w:p>
          <w:pPr>
            <w:pStyle w:val="TOC2"/>
            <w:rPr/>
          </w:pPr>
          <w:r>
            <w:rPr/>
            <w:t>12.2</w:t>
            <w:tab/>
            <w:t>No Third Party Beneficiaries</w:t>
            <w:tab/>
          </w:r>
          <w:hyperlink w:anchor="__RefHeading___Toc487278922">
            <w:r>
              <w:rPr>
                <w:rStyle w:val="IndexLink"/>
              </w:rPr>
              <w:t>47</w:t>
            </w:r>
          </w:hyperlink>
        </w:p>
        <w:p>
          <w:pPr>
            <w:pStyle w:val="TOC2"/>
            <w:rPr/>
          </w:pPr>
          <w:r>
            <w:rPr/>
            <w:t>12.3</w:t>
            <w:tab/>
            <w:t>Notices</w:t>
            <w:tab/>
          </w:r>
          <w:hyperlink w:anchor="__RefHeading___Toc487278923">
            <w:r>
              <w:rPr>
                <w:rStyle w:val="IndexLink"/>
              </w:rPr>
              <w:t>47</w:t>
            </w:r>
          </w:hyperlink>
        </w:p>
        <w:p>
          <w:pPr>
            <w:pStyle w:val="TOC2"/>
            <w:rPr/>
          </w:pPr>
          <w:r>
            <w:rPr/>
            <w:t>12.4</w:t>
            <w:tab/>
            <w:t>Headings</w:t>
            <w:tab/>
          </w:r>
          <w:hyperlink w:anchor="__RefHeading___Toc487278924">
            <w:r>
              <w:rPr>
                <w:rStyle w:val="IndexLink"/>
              </w:rPr>
              <w:t>48</w:t>
            </w:r>
          </w:hyperlink>
        </w:p>
        <w:p>
          <w:pPr>
            <w:pStyle w:val="TOC2"/>
            <w:rPr/>
          </w:pPr>
          <w:r>
            <w:rPr/>
            <w:t>12.5</w:t>
            <w:tab/>
            <w:t>Entire Agreement</w:t>
            <w:tab/>
          </w:r>
          <w:hyperlink w:anchor="__RefHeading___Toc487278925">
            <w:r>
              <w:rPr>
                <w:rStyle w:val="IndexLink"/>
              </w:rPr>
              <w:t>48</w:t>
            </w:r>
          </w:hyperlink>
        </w:p>
        <w:p>
          <w:pPr>
            <w:pStyle w:val="TOC2"/>
            <w:rPr/>
          </w:pPr>
          <w:r>
            <w:rPr/>
            <w:t>12.6</w:t>
            <w:tab/>
            <w:t>Waiver</w:t>
            <w:tab/>
          </w:r>
          <w:hyperlink w:anchor="__RefHeading___Toc487278926">
            <w:r>
              <w:rPr>
                <w:rStyle w:val="IndexLink"/>
              </w:rPr>
              <w:t>48</w:t>
            </w:r>
          </w:hyperlink>
        </w:p>
        <w:p>
          <w:pPr>
            <w:pStyle w:val="TOC2"/>
            <w:rPr/>
          </w:pPr>
          <w:r>
            <w:rPr/>
            <w:t>12.7</w:t>
            <w:tab/>
            <w:t>Amendment</w:t>
            <w:tab/>
          </w:r>
          <w:hyperlink w:anchor="__RefHeading___Toc487278927">
            <w:r>
              <w:rPr>
                <w:rStyle w:val="IndexLink"/>
              </w:rPr>
              <w:t>49</w:t>
            </w:r>
          </w:hyperlink>
        </w:p>
        <w:p>
          <w:pPr>
            <w:pStyle w:val="TOC2"/>
            <w:rPr/>
          </w:pPr>
          <w:r>
            <w:rPr/>
            <w:t>12.8</w:t>
            <w:tab/>
            <w:t>Assignment</w:t>
            <w:tab/>
          </w:r>
          <w:hyperlink w:anchor="__RefHeading___Toc487278928">
            <w:r>
              <w:rPr>
                <w:rStyle w:val="IndexLink"/>
              </w:rPr>
              <w:t>49</w:t>
            </w:r>
          </w:hyperlink>
        </w:p>
        <w:p>
          <w:pPr>
            <w:pStyle w:val="TOC2"/>
            <w:rPr/>
          </w:pPr>
          <w:r>
            <w:rPr/>
            <w:t>12.9</w:t>
            <w:tab/>
            <w:t>NO CONSEQUENTIAL OR PUNITIVE DAMAGES</w:t>
            <w:tab/>
          </w:r>
          <w:hyperlink w:anchor="__RefHeading___Toc487278929">
            <w:r>
              <w:rPr>
                <w:rStyle w:val="IndexLink"/>
              </w:rPr>
              <w:t>49</w:t>
            </w:r>
          </w:hyperlink>
        </w:p>
        <w:p>
          <w:pPr>
            <w:pStyle w:val="TOC2"/>
            <w:rPr/>
          </w:pPr>
          <w:r>
            <w:rPr/>
            <w:t>12.10</w:t>
            <w:tab/>
            <w:t>Severability</w:t>
            <w:tab/>
          </w:r>
          <w:hyperlink w:anchor="__RefHeading___Toc487278930">
            <w:r>
              <w:rPr>
                <w:rStyle w:val="IndexLink"/>
              </w:rPr>
              <w:t>49</w:t>
            </w:r>
          </w:hyperlink>
        </w:p>
        <w:p>
          <w:pPr>
            <w:pStyle w:val="TOC2"/>
            <w:rPr/>
          </w:pPr>
          <w:r>
            <w:rPr/>
            <w:t>12.11</w:t>
            <w:tab/>
            <w:t>Governing Law</w:t>
            <w:tab/>
          </w:r>
          <w:hyperlink w:anchor="__RefHeading___Toc487278931">
            <w:r>
              <w:rPr>
                <w:rStyle w:val="IndexLink"/>
              </w:rPr>
              <w:t>49</w:t>
            </w:r>
          </w:hyperlink>
        </w:p>
        <w:p>
          <w:pPr>
            <w:pStyle w:val="TOC2"/>
            <w:rPr/>
          </w:pPr>
          <w:r>
            <w:rPr/>
            <w:t>12.12</w:t>
            <w:tab/>
            <w:t>Counterparts</w:t>
            <w:tab/>
          </w:r>
          <w:hyperlink w:anchor="__RefHeading___Toc487278932">
            <w:r>
              <w:rPr>
                <w:rStyle w:val="IndexLink"/>
              </w:rPr>
              <w:t>50</w:t>
            </w:r>
          </w:hyperlink>
        </w:p>
        <w:p>
          <w:pPr>
            <w:pStyle w:val="TOC2"/>
            <w:rPr/>
          </w:pPr>
          <w:r>
            <w:rPr/>
            <w:t>12.13</w:t>
            <w:tab/>
            <w:t>Withholding or Granting of Consent</w:t>
            <w:tab/>
          </w:r>
          <w:hyperlink w:anchor="__RefHeading___Toc487278933">
            <w:r>
              <w:rPr>
                <w:rStyle w:val="IndexLink"/>
              </w:rPr>
              <w:t>50</w:t>
            </w:r>
          </w:hyperlink>
        </w:p>
        <w:p>
          <w:pPr>
            <w:pStyle w:val="TOC2"/>
            <w:rPr/>
          </w:pPr>
          <w:r>
            <w:rPr/>
            <w:t>12.14</w:t>
            <w:tab/>
            <w:t>Remedies Cumulative</w:t>
            <w:tab/>
          </w:r>
          <w:hyperlink w:anchor="__RefHeading___Toc487278934">
            <w:r>
              <w:rPr>
                <w:rStyle w:val="IndexLink"/>
              </w:rPr>
              <w:t>50</w:t>
            </w:r>
          </w:hyperlink>
        </w:p>
        <w:p>
          <w:pPr>
            <w:pStyle w:val="TOC2"/>
            <w:rPr/>
          </w:pPr>
          <w:r>
            <w:rPr/>
            <w:t>12.15</w:t>
            <w:tab/>
            <w:t>Construction</w:t>
            <w:tab/>
          </w:r>
          <w:hyperlink w:anchor="__RefHeading___Toc487278935">
            <w:r>
              <w:rPr>
                <w:rStyle w:val="IndexLink"/>
              </w:rPr>
              <w:t>50</w:t>
            </w:r>
          </w:hyperlink>
          <w:r>
            <w:rPr>
              <w:rStyle w:val="IndexLink"/>
            </w:rPr>
            <w:fldChar w:fldCharType="end"/>
          </w:r>
        </w:p>
      </w:sdtContent>
    </w:sdt>
    <w:p>
      <w:pPr>
        <w:pStyle w:val="Normal"/>
        <w:rPr>
          <w:u w:val="single"/>
        </w:rPr>
      </w:pPr>
      <w:r>
        <w:rPr>
          <w:u w:val="single"/>
        </w:rPr>
      </w:r>
      <w:r>
        <w:br w:type="page"/>
      </w:r>
    </w:p>
    <w:p>
      <w:pPr>
        <w:pStyle w:val="Normal"/>
        <w:jc w:val="center"/>
        <w:rPr/>
      </w:pPr>
      <w:r>
        <w:rPr/>
        <w:t>SCHEDULES</w:t>
      </w:r>
    </w:p>
    <w:p>
      <w:pPr>
        <w:pStyle w:val="Normal"/>
        <w:jc w:val="center"/>
        <w:rPr/>
      </w:pPr>
      <w:r>
        <w:rPr/>
      </w:r>
    </w:p>
    <w:p>
      <w:pPr>
        <w:pStyle w:val="Normal"/>
        <w:rPr/>
      </w:pPr>
      <w:r>
        <w:rPr/>
        <w:t>1.3(c)</w:t>
        <w:tab/>
        <w:tab/>
        <w:t>Reference Statement of Net Working Capital</w:t>
      </w:r>
    </w:p>
    <w:p>
      <w:pPr>
        <w:pStyle w:val="Normal"/>
        <w:rPr/>
      </w:pPr>
      <w:r>
        <w:rPr/>
        <w:t>2.1</w:t>
        <w:tab/>
        <w:tab/>
        <w:t>Organization and Qualification</w:t>
      </w:r>
    </w:p>
    <w:p>
      <w:pPr>
        <w:pStyle w:val="Normal"/>
        <w:rPr/>
      </w:pPr>
      <w:r>
        <w:rPr/>
        <w:t>2.2</w:t>
        <w:tab/>
        <w:tab/>
        <w:t>Capital Stock</w:t>
      </w:r>
    </w:p>
    <w:p>
      <w:pPr>
        <w:pStyle w:val="Normal"/>
        <w:rPr/>
      </w:pPr>
      <w:r>
        <w:rPr/>
        <w:t>2.3</w:t>
        <w:tab/>
        <w:tab/>
        <w:t>Subsidiaries</w:t>
      </w:r>
    </w:p>
    <w:p>
      <w:pPr>
        <w:pStyle w:val="Normal"/>
        <w:rPr/>
      </w:pPr>
      <w:r>
        <w:rPr/>
        <w:t>2.4</w:t>
        <w:tab/>
        <w:tab/>
        <w:t>Governmental Authorizations</w:t>
      </w:r>
    </w:p>
    <w:p>
      <w:pPr>
        <w:pStyle w:val="Normal"/>
        <w:rPr/>
      </w:pPr>
      <w:r>
        <w:rPr/>
        <w:t>2.5(a)</w:t>
        <w:tab/>
        <w:tab/>
        <w:t>Financial Statements</w:t>
      </w:r>
    </w:p>
    <w:p>
      <w:pPr>
        <w:pStyle w:val="Normal"/>
        <w:rPr/>
      </w:pPr>
      <w:r>
        <w:rPr/>
        <w:t>2.6</w:t>
        <w:tab/>
        <w:tab/>
        <w:t>No Adverse Changes; Absence of Undisclosed Liabilities</w:t>
      </w:r>
    </w:p>
    <w:p>
      <w:pPr>
        <w:pStyle w:val="Normal"/>
        <w:rPr/>
      </w:pPr>
      <w:r>
        <w:rPr/>
        <w:t>2.7</w:t>
        <w:tab/>
        <w:tab/>
        <w:t>Properties</w:t>
      </w:r>
    </w:p>
    <w:p>
      <w:pPr>
        <w:pStyle w:val="Normal"/>
        <w:rPr/>
      </w:pPr>
      <w:r>
        <w:rPr/>
        <w:t>2.7(a)</w:t>
        <w:tab/>
        <w:tab/>
        <w:t>Real Estate/Title</w:t>
      </w:r>
    </w:p>
    <w:p>
      <w:pPr>
        <w:pStyle w:val="Normal"/>
        <w:rPr/>
      </w:pPr>
      <w:r>
        <w:rPr/>
        <w:t>2.7(b)</w:t>
        <w:tab/>
        <w:tab/>
        <w:t>Leases</w:t>
      </w:r>
    </w:p>
    <w:p>
      <w:pPr>
        <w:pStyle w:val="Normal"/>
        <w:rPr/>
      </w:pPr>
      <w:r>
        <w:rPr/>
        <w:t>2.8</w:t>
        <w:tab/>
        <w:tab/>
        <w:t>Litigation, Judgments, Etc.</w:t>
      </w:r>
    </w:p>
    <w:p>
      <w:pPr>
        <w:pStyle w:val="Normal"/>
        <w:rPr/>
      </w:pPr>
      <w:r>
        <w:rPr/>
        <w:t>2.9</w:t>
        <w:tab/>
        <w:tab/>
        <w:t>Intellectual Property</w:t>
      </w:r>
    </w:p>
    <w:p>
      <w:pPr>
        <w:pStyle w:val="Normal"/>
        <w:rPr/>
      </w:pPr>
      <w:r>
        <w:rPr/>
        <w:t>2.10</w:t>
        <w:tab/>
        <w:tab/>
        <w:t>Environmental Matters</w:t>
      </w:r>
    </w:p>
    <w:p>
      <w:pPr>
        <w:pStyle w:val="Normal"/>
        <w:rPr/>
      </w:pPr>
      <w:r>
        <w:rPr/>
        <w:t>2.11(a)</w:t>
        <w:tab/>
        <w:tab/>
        <w:t>Tax Returns</w:t>
      </w:r>
    </w:p>
    <w:p>
      <w:pPr>
        <w:pStyle w:val="Normal"/>
        <w:rPr/>
      </w:pPr>
      <w:r>
        <w:rPr/>
        <w:t>2.11(b)</w:t>
        <w:tab/>
        <w:tab/>
        <w:t>Tax Audits</w:t>
      </w:r>
    </w:p>
    <w:p>
      <w:pPr>
        <w:pStyle w:val="Normal"/>
        <w:rPr/>
      </w:pPr>
      <w:r>
        <w:rPr/>
        <w:t>2.11(c)</w:t>
        <w:tab/>
        <w:tab/>
        <w:t>IRS Claims</w:t>
      </w:r>
    </w:p>
    <w:p>
      <w:pPr>
        <w:pStyle w:val="Normal"/>
        <w:rPr/>
      </w:pPr>
      <w:r>
        <w:rPr/>
        <w:t>2.11(d)</w:t>
        <w:tab/>
        <w:tab/>
        <w:t>Extensions</w:t>
      </w:r>
    </w:p>
    <w:p>
      <w:pPr>
        <w:pStyle w:val="Normal"/>
        <w:rPr/>
      </w:pPr>
      <w:r>
        <w:rPr/>
        <w:t>2.11(e)</w:t>
        <w:tab/>
        <w:tab/>
        <w:t>Reserves</w:t>
      </w:r>
    </w:p>
    <w:p>
      <w:pPr>
        <w:pStyle w:val="Normal"/>
        <w:rPr/>
      </w:pPr>
      <w:r>
        <w:rPr/>
        <w:t>2.11(f)</w:t>
        <w:tab/>
        <w:tab/>
        <w:t>Tax Elections</w:t>
      </w:r>
    </w:p>
    <w:p>
      <w:pPr>
        <w:pStyle w:val="Normal"/>
        <w:rPr/>
      </w:pPr>
      <w:r>
        <w:rPr/>
        <w:t>2.11(g)</w:t>
        <w:tab/>
        <w:tab/>
        <w:t>Other Liability</w:t>
      </w:r>
    </w:p>
    <w:p>
      <w:pPr>
        <w:pStyle w:val="Normal"/>
        <w:rPr/>
      </w:pPr>
      <w:r>
        <w:rPr/>
        <w:t>2.12(a)</w:t>
        <w:tab/>
        <w:tab/>
        <w:t>Employee Benefit Plans</w:t>
      </w:r>
    </w:p>
    <w:p>
      <w:pPr>
        <w:pStyle w:val="Normal"/>
        <w:rPr/>
      </w:pPr>
      <w:r>
        <w:rPr/>
        <w:t>2.12(c)</w:t>
        <w:tab/>
        <w:tab/>
        <w:t>ERISA Affiliate</w:t>
      </w:r>
    </w:p>
    <w:p>
      <w:pPr>
        <w:pStyle w:val="Normal"/>
        <w:rPr/>
      </w:pPr>
      <w:r>
        <w:rPr/>
        <w:t>2.12(d)</w:t>
        <w:tab/>
        <w:tab/>
        <w:t>Other Compensation</w:t>
      </w:r>
    </w:p>
    <w:p>
      <w:pPr>
        <w:pStyle w:val="Normal"/>
        <w:rPr/>
      </w:pPr>
      <w:r>
        <w:rPr/>
        <w:t>2.13</w:t>
        <w:tab/>
        <w:tab/>
        <w:t>Authorization of Agreement; No Violation; No Consents Matters</w:t>
      </w:r>
    </w:p>
    <w:p>
      <w:pPr>
        <w:pStyle w:val="Normal"/>
        <w:rPr/>
      </w:pPr>
      <w:r>
        <w:rPr/>
        <w:t>2.14</w:t>
        <w:tab/>
        <w:tab/>
        <w:t>Labor and Employment</w:t>
      </w:r>
    </w:p>
    <w:p>
      <w:pPr>
        <w:pStyle w:val="Normal"/>
        <w:rPr/>
      </w:pPr>
      <w:r>
        <w:rPr/>
        <w:t>2.15</w:t>
        <w:tab/>
        <w:tab/>
        <w:t>Contracts</w:t>
      </w:r>
    </w:p>
    <w:p>
      <w:pPr>
        <w:pStyle w:val="Normal"/>
        <w:rPr/>
      </w:pPr>
      <w:r>
        <w:rPr/>
        <w:t>2.16</w:t>
        <w:tab/>
        <w:tab/>
        <w:t>Accounts Receivable</w:t>
      </w:r>
    </w:p>
    <w:p>
      <w:pPr>
        <w:pStyle w:val="Normal"/>
        <w:rPr/>
      </w:pPr>
      <w:r>
        <w:rPr/>
        <w:t>2.17</w:t>
        <w:tab/>
        <w:tab/>
        <w:t>Banks</w:t>
      </w:r>
    </w:p>
    <w:p>
      <w:pPr>
        <w:pStyle w:val="Normal"/>
        <w:rPr/>
      </w:pPr>
      <w:r>
        <w:rPr/>
        <w:t>2.18</w:t>
        <w:tab/>
        <w:tab/>
        <w:t>Directors, Officers and Key Employees</w:t>
      </w:r>
    </w:p>
    <w:p>
      <w:pPr>
        <w:pStyle w:val="Normal"/>
        <w:rPr/>
      </w:pPr>
      <w:r>
        <w:rPr/>
        <w:t>2.19</w:t>
        <w:tab/>
        <w:tab/>
        <w:t>Books of Account</w:t>
      </w:r>
    </w:p>
    <w:p>
      <w:pPr>
        <w:pStyle w:val="Normal"/>
        <w:rPr/>
      </w:pPr>
      <w:r>
        <w:rPr/>
        <w:t>2.20</w:t>
        <w:tab/>
        <w:tab/>
        <w:t>Suppliers and Customers</w:t>
      </w:r>
    </w:p>
    <w:p>
      <w:pPr>
        <w:pStyle w:val="Normal"/>
        <w:rPr/>
      </w:pPr>
      <w:r>
        <w:rPr/>
        <w:t>2.21</w:t>
        <w:tab/>
        <w:tab/>
        <w:t>Insurance</w:t>
      </w:r>
    </w:p>
    <w:p>
      <w:pPr>
        <w:pStyle w:val="Normal"/>
        <w:rPr/>
      </w:pPr>
      <w:r>
        <w:rPr/>
        <w:t>3.3</w:t>
        <w:tab/>
        <w:tab/>
        <w:t xml:space="preserve">Governmental Authorizations </w:t>
      </w:r>
    </w:p>
    <w:p>
      <w:pPr>
        <w:pStyle w:val="Normal"/>
        <w:rPr/>
      </w:pPr>
      <w:r>
        <w:rPr/>
        <w:t>3.4</w:t>
        <w:tab/>
        <w:tab/>
        <w:t>Authorization of Agreement; No Violation; No Consents Matters</w:t>
      </w:r>
    </w:p>
    <w:p>
      <w:pPr>
        <w:pStyle w:val="Normal"/>
        <w:rPr/>
      </w:pPr>
      <w:r>
        <w:rPr/>
        <w:t>4.2</w:t>
        <w:tab/>
        <w:tab/>
        <w:t>Authorization of Agreement; No Violation; No Consents Matters</w:t>
      </w:r>
    </w:p>
    <w:p>
      <w:pPr>
        <w:pStyle w:val="Normal"/>
        <w:rPr/>
      </w:pPr>
      <w:r>
        <w:rPr/>
        <w:t>5.1</w:t>
        <w:tab/>
        <w:tab/>
        <w:t>Conduct of Business Prior to the Closing Date</w:t>
      </w:r>
    </w:p>
    <w:p>
      <w:pPr>
        <w:pStyle w:val="Normal"/>
        <w:rPr/>
      </w:pPr>
      <w:r>
        <w:rPr/>
        <w:t>5.1(f)</w:t>
        <w:tab/>
        <w:tab/>
        <w:t>Third Party Financing</w:t>
      </w:r>
    </w:p>
    <w:p>
      <w:pPr>
        <w:pStyle w:val="Normal"/>
        <w:rPr/>
      </w:pPr>
      <w:r>
        <w:rPr/>
        <w:t>5.1(g)</w:t>
        <w:tab/>
        <w:tab/>
        <w:t>Capital and Maintenance Expenditures</w:t>
      </w:r>
    </w:p>
    <w:p>
      <w:pPr>
        <w:pStyle w:val="Normal"/>
        <w:rPr/>
      </w:pPr>
      <w:r>
        <w:rPr/>
        <w:t>5.1(p)</w:t>
        <w:tab/>
        <w:tab/>
        <w:t>Intercompany Transactions</w:t>
      </w:r>
    </w:p>
    <w:p>
      <w:pPr>
        <w:pStyle w:val="Normal"/>
        <w:rPr/>
      </w:pPr>
      <w:r>
        <w:rPr/>
        <w:t>6.4</w:t>
        <w:tab/>
        <w:tab/>
        <w:t>Employees</w:t>
      </w:r>
    </w:p>
    <w:p>
      <w:pPr>
        <w:pStyle w:val="Normal"/>
        <w:rPr/>
      </w:pPr>
      <w:r>
        <w:rPr/>
        <w:t>9.2(b)</w:t>
        <w:tab/>
        <w:tab/>
        <w:t>Legal Proceedings</w:t>
      </w:r>
      <w:r>
        <w:br w:type="page"/>
      </w:r>
    </w:p>
    <w:p>
      <w:pPr>
        <w:pStyle w:val="Normal"/>
        <w:jc w:val="center"/>
        <w:rPr/>
      </w:pPr>
      <w:r>
        <w:rPr/>
        <w:t>EXHIBITS</w:t>
      </w:r>
    </w:p>
    <w:p>
      <w:pPr>
        <w:pStyle w:val="Normal"/>
        <w:jc w:val="center"/>
        <w:rPr/>
      </w:pPr>
      <w:r>
        <w:rPr/>
      </w:r>
    </w:p>
    <w:p>
      <w:pPr>
        <w:pStyle w:val="Normal"/>
        <w:rPr/>
      </w:pPr>
      <w:r>
        <w:rPr/>
        <w:t>A</w:t>
        <w:tab/>
        <w:tab/>
        <w:t>Site Access and Remediation Side Agreement</w:t>
      </w:r>
    </w:p>
    <w:p>
      <w:pPr>
        <w:pStyle w:val="Normal"/>
        <w:rPr/>
      </w:pPr>
      <w:r>
        <w:rPr/>
        <w:t>B</w:t>
        <w:tab/>
        <w:tab/>
        <w:t>Newsprint Swap Agreement</w:t>
      </w:r>
    </w:p>
    <w:p>
      <w:pPr>
        <w:pStyle w:val="Normal"/>
        <w:rPr/>
      </w:pPr>
      <w:r>
        <w:rPr/>
      </w:r>
    </w:p>
    <w:p>
      <w:pPr>
        <w:sectPr>
          <w:footerReference w:type="default" r:id="rId4"/>
          <w:footerReference w:type="first" r:id="rId5"/>
          <w:type w:val="nextPage"/>
          <w:pgSz w:w="12240" w:h="15840"/>
          <w:pgMar w:left="1440" w:right="1440" w:gutter="0" w:header="0" w:top="1440" w:footer="720" w:bottom="1440"/>
          <w:pgNumType w:start="1" w:fmt="lowerRoman"/>
          <w:formProt w:val="false"/>
          <w:titlePg/>
          <w:textDirection w:val="lrTb"/>
          <w:docGrid w:type="default" w:linePitch="360" w:charSpace="0"/>
        </w:sectPr>
        <w:pStyle w:val="Normal"/>
        <w:rPr/>
      </w:pPr>
      <w:r>
        <w:rPr/>
      </w:r>
    </w:p>
    <w:p>
      <w:pPr>
        <w:pStyle w:val="Heading"/>
        <w:rPr>
          <w:b w:val="false"/>
        </w:rPr>
      </w:pPr>
      <w:r>
        <w:rPr>
          <w:b w:val="false"/>
        </w:rPr>
        <w:t>PURCHASE AND SALE AGREEMENT</w:t>
      </w:r>
    </w:p>
    <w:p>
      <w:pPr>
        <w:pStyle w:val="BodyText"/>
        <w:rPr/>
      </w:pPr>
      <w:r>
        <w:rPr/>
        <w:t>THIS PURCHASE AND SALE AGREEMENT (this "Agreement") is made and entered into as of [         ], by and among Enron North America Corp., a Delaware corporation ("Purchaser"), and Media General Inc., a corporation incorporated in the Commonwealth of Virginia ("Seller"), and Garden State Paper Company, Inc., a corporation incorporated in the Commonwealth of Virginia ("Company").</w:t>
      </w:r>
    </w:p>
    <w:p>
      <w:pPr>
        <w:pStyle w:val="Heading"/>
        <w:spacing w:before="0" w:after="240"/>
        <w:rPr/>
      </w:pPr>
      <w:r>
        <w:rPr>
          <w:b w:val="false"/>
          <w:u w:val="single"/>
        </w:rPr>
        <w:t>W</w:t>
      </w:r>
      <w:r>
        <w:rPr>
          <w:b w:val="false"/>
        </w:rPr>
        <w:t xml:space="preserve"> </w:t>
      </w:r>
      <w:r>
        <w:rPr>
          <w:b w:val="false"/>
          <w:u w:val="single"/>
        </w:rPr>
        <w:t>I</w:t>
      </w:r>
      <w:r>
        <w:rPr>
          <w:b w:val="false"/>
        </w:rPr>
        <w:t xml:space="preserve"> </w:t>
      </w:r>
      <w:r>
        <w:rPr>
          <w:b w:val="false"/>
          <w:u w:val="single"/>
        </w:rPr>
        <w:t>T</w:t>
      </w:r>
      <w:r>
        <w:rPr>
          <w:b w:val="false"/>
        </w:rPr>
        <w:t xml:space="preserve"> </w:t>
      </w:r>
      <w:r>
        <w:rPr>
          <w:b w:val="false"/>
          <w:u w:val="single"/>
        </w:rPr>
        <w:t>N</w:t>
      </w:r>
      <w:r>
        <w:rPr>
          <w:b w:val="false"/>
        </w:rPr>
        <w:t xml:space="preserve"> </w:t>
      </w:r>
      <w:r>
        <w:rPr>
          <w:b w:val="false"/>
          <w:u w:val="single"/>
        </w:rPr>
        <w:t>E</w:t>
      </w:r>
      <w:r>
        <w:rPr>
          <w:b w:val="false"/>
        </w:rPr>
        <w:t xml:space="preserve"> </w:t>
      </w:r>
      <w:r>
        <w:rPr>
          <w:b w:val="false"/>
          <w:u w:val="single"/>
        </w:rPr>
        <w:t>S</w:t>
      </w:r>
      <w:r>
        <w:rPr>
          <w:b w:val="false"/>
        </w:rPr>
        <w:t xml:space="preserve"> </w:t>
      </w:r>
      <w:r>
        <w:rPr>
          <w:b w:val="false"/>
          <w:u w:val="single"/>
        </w:rPr>
        <w:t>S</w:t>
      </w:r>
      <w:r>
        <w:rPr>
          <w:b w:val="false"/>
        </w:rPr>
        <w:t xml:space="preserve"> </w:t>
      </w:r>
      <w:r>
        <w:rPr>
          <w:b w:val="false"/>
          <w:u w:val="single"/>
        </w:rPr>
        <w:t>E</w:t>
      </w:r>
      <w:r>
        <w:rPr>
          <w:b w:val="false"/>
        </w:rPr>
        <w:t xml:space="preserve"> </w:t>
      </w:r>
      <w:r>
        <w:rPr>
          <w:b w:val="false"/>
          <w:u w:val="single"/>
        </w:rPr>
        <w:t>T</w:t>
      </w:r>
      <w:r>
        <w:rPr>
          <w:b w:val="false"/>
        </w:rPr>
        <w:t xml:space="preserve"> </w:t>
      </w:r>
      <w:r>
        <w:rPr>
          <w:b w:val="false"/>
          <w:u w:val="single"/>
        </w:rPr>
        <w:t>H</w:t>
      </w:r>
      <w:r>
        <w:rPr>
          <w:b w:val="false"/>
        </w:rPr>
        <w:t>:</w:t>
      </w:r>
    </w:p>
    <w:p>
      <w:pPr>
        <w:pStyle w:val="BodyText"/>
        <w:rPr/>
      </w:pPr>
      <w:r>
        <w:rPr/>
        <w:t>WHEREAS, Company is a wholly owned subsidiary of Seller;</w:t>
      </w:r>
    </w:p>
    <w:p>
      <w:pPr>
        <w:pStyle w:val="BodyText"/>
        <w:rPr/>
      </w:pPr>
      <w:r>
        <w:rPr/>
        <w:t>WHEREAS, Seller desires to sell, and Purchaser desires to purchase, all of the outstanding common shares (the "Shares") or Membership Interests (as defined below) of Company on the terms and subject to the conditions set forth herein, as a result of which Purchaser will own, after such sale, 100% of the outstanding equity interest in Company and no options to acquire equity in Company will be outstanding; and</w:t>
      </w:r>
    </w:p>
    <w:p>
      <w:pPr>
        <w:pStyle w:val="BodyText"/>
        <w:rPr/>
      </w:pPr>
      <w:r>
        <w:rPr/>
        <w:t>WHEREAS, subject to the terms and conditions of this Agreement, Purchaser has requested that Company be merged into a limited liability company organized under the laws of Delaware (the "Successor Company") immediately prior to the Closing of the transaction contemplated by this Agreement (the "LLC Conversion").  Immediately after the LLC Conversion, Seller will own all of the issued and outstanding membership interests of the Successor Company (the "Membership Interests").  After the LLC Conversion occurs references contained herein to Company shall mean the Successor Company.  The Membership Interests are also referred to herein as the "Purchased Interests".</w:t>
      </w:r>
    </w:p>
    <w:p>
      <w:pPr>
        <w:pStyle w:val="BodyText"/>
        <w:rPr/>
      </w:pPr>
      <w:r>
        <w:rPr/>
        <w:t>NOW, THEREFORE, in consideration of and subject to the mutual agreements, terms and conditions herein contained, the parties hereto agree as follows:</w:t>
      </w:r>
    </w:p>
    <w:p>
      <w:pPr>
        <w:pStyle w:val="Heading1"/>
        <w:ind w:hanging="0" w:start="0"/>
        <w:rPr/>
      </w:pPr>
      <w:r>
        <w:rPr/>
        <w:br/>
        <w:br/>
      </w:r>
      <w:bookmarkStart w:id="0" w:name="__RefHeading___Toc487278826"/>
      <w:r>
        <w:rPr/>
        <w:t>SALE OF PURCHASED INTERESTS</w:t>
      </w:r>
      <w:bookmarkEnd w:id="0"/>
    </w:p>
    <w:p>
      <w:pPr>
        <w:pStyle w:val="Heading2"/>
        <w:ind w:hanging="0" w:start="0"/>
        <w:rPr>
          <w:vanish/>
          <w:color w:val="FF0000"/>
        </w:rPr>
      </w:pPr>
      <w:bookmarkStart w:id="1" w:name="__RefHeading___Toc487278827"/>
      <w:bookmarkEnd w:id="1"/>
      <w:r>
        <w:rPr/>
        <w:t>Purchase Price</w:t>
      </w:r>
    </w:p>
    <w:p>
      <w:pPr>
        <w:pStyle w:val="BodyText"/>
        <w:rPr/>
      </w:pPr>
      <w:r>
        <w:rPr/>
        <w:t>.  At the Closing (as defined below), Seller will sell, transfer, convey and deliver to Purchaser (or a designee of Purchaser) all of the Purchased Interests owned by it immediately prior to the Closing, as evidenced by the delivery of each outstanding certificate evidencing such Purchased Interests in good delivery form and duly endorsed for transfer or, if applicable, accompanied by duly executed stock powers, in exchange for an aggregate purchase price of $72 million (the "Purchase Price").  The Purchase Price shall be adjusted as set forth in Sections 1.3 and 1.4.</w:t>
      </w:r>
    </w:p>
    <w:p>
      <w:pPr>
        <w:pStyle w:val="Heading2"/>
        <w:ind w:hanging="0" w:start="0"/>
        <w:rPr/>
      </w:pPr>
      <w:bookmarkStart w:id="2" w:name="__RefHeading___Toc487278828"/>
      <w:r>
        <w:rPr/>
        <w:t>Closing.</w:t>
      </w:r>
      <w:bookmarkEnd w:id="2"/>
      <w:r>
        <w:rPr/>
        <w:t xml:space="preserve"> </w:t>
      </w:r>
    </w:p>
    <w:p>
      <w:pPr>
        <w:pStyle w:val="Heading3"/>
        <w:ind w:hanging="0" w:start="0"/>
        <w:rPr/>
      </w:pPr>
      <w:r>
        <w:rPr>
          <w:vanish/>
        </w:rPr>
        <w:t xml:space="preserve"> </w:t>
      </w:r>
      <w:r>
        <w:fldChar w:fldCharType="begin"/>
      </w:r>
      <w:r>
        <w:rPr>
          <w:vanish/>
          <w:color w:val="FF0000"/>
        </w:rPr>
        <w:instrText xml:space="preserve"> LISTNUM </w:instrText>
      </w:r>
      <w:r>
        <w:rPr>
          <w:vanish/>
          <w:color w:val="FF0000"/>
        </w:rPr>
      </w:r>
      <w:r>
        <w:rPr>
          <w:vanish/>
          <w:color w:val="FF0000"/>
        </w:rPr>
        <w:fldChar w:fldCharType="separate"/>
      </w:r>
      <w:r>
        <w:rPr>
          <w:vanish/>
          <w:color w:val="FF0000"/>
        </w:rPr>
      </w:r>
      <w:r>
        <w:rPr>
          <w:vanish/>
          <w:color w:val="FF0000"/>
        </w:rPr>
      </w:r>
      <w:r>
        <w:rPr>
          <w:vanish/>
          <w:color w:val="FF0000"/>
        </w:rPr>
        <w:fldChar w:fldCharType="end"/>
      </w:r>
      <w:r>
        <w:rPr/>
        <w:t>The closing (the "Closing") of the sale and purchase of the Purchased Interests shall take place at the offices of LeBoeuf, Lamb, Greene &amp; MacRae, L.L.P., 125 West 55th Street, New York, New York at [10:00] a.m. (local time) on the first Designated Closing Date to occur after the satisfaction or waiver of the closing conditions set forth in Sections 8.1(b), 8.1(g), 8.2(d), and 8.2(f), or at such other place, time and date upon which the parties hereto may agree (the actual date on which the Closing occurs being the "Closing Date"); provided that the Closing shall occur only if the Seller has satisfied each condition in Section 8.1, or the Purchaser has waived such conditions in Section 8.1 that have not been satisfied; and the Purchaser shall have satisfied each condition in Section 8.2, or the Seller shall have waived such conditions in Section 8.2 that have not been satisfied.  For purposes of this Agreement, “Designated Closing Date” means August 28, 2000, and for each calendar month thereafter the first Business Day after the day on which Company closes its books for accounting purposes.</w:t>
      </w:r>
    </w:p>
    <w:p>
      <w:pPr>
        <w:pStyle w:val="Heading3"/>
        <w:ind w:hanging="0" w:start="0"/>
        <w:rPr/>
      </w:pPr>
      <w:r>
        <w:rPr/>
        <w:t>If on the date on which the Closing would otherwise be required to take place pursuant to Section 1.2(a), there shall be in effect any injunction or prohibition described in Sections 8.1(c) or 8.2(b) hereto, then either Seller or Purchaser may, at its option, postpone the date on which the Closing is required to take place until such date, set by the party that elects to postpone the date for Closing pursuant to this section 1.2(b), on at least five Business Days’ written notice to the other party, that is as soon as practicable after such injunction or other prohibition ceases to be in effect; provided, however, that any postponement of the date on which the Closing is required to take place to a date more than five Business Days beyond the Upset Date shall require the consent of both Seller and Purchaser.</w:t>
      </w:r>
    </w:p>
    <w:p>
      <w:pPr>
        <w:pStyle w:val="Heading2"/>
        <w:ind w:hanging="0" w:start="0"/>
        <w:rPr/>
      </w:pPr>
      <w:bookmarkStart w:id="3" w:name="__RefHeading___Toc487278829"/>
      <w:bookmarkEnd w:id="3"/>
      <w:r>
        <w:rPr/>
        <w:t>Adjustment to Purchase Price</w:t>
      </w:r>
    </w:p>
    <w:p>
      <w:pPr>
        <w:pStyle w:val="Heading3"/>
        <w:ind w:hanging="0" w:start="0"/>
        <w:rPr/>
      </w:pPr>
      <w:r>
        <w:rPr/>
        <w:t>The Purchase Price shall be increased by the amount that the Working Capital set forth on the Closing Date Statement of Net Working Capital exceeds the Working Capital set forth on the Reference Statement of Net Working Capital, or decreased by the amount that the Working Capital set forth on the Closing Date Statement of Net Working Capital  is less than the Working Capital set forth on the Reference Statement of Net Working Capital, as the case may be.  The Purchase Price shall also be adjusted upward as provided in Section 1.4 (with respect to Taxes) and Section 5.1(g) (with respect to capital expenditures in excess of budgeted amounts which are approved by Purchaser) such amounts shall be paid in the same manner as the Purchase Price pursuant to Section 1.1 of this Agreement.</w:t>
      </w:r>
    </w:p>
    <w:p>
      <w:pPr>
        <w:pStyle w:val="Heading3"/>
        <w:ind w:hanging="0" w:start="0"/>
        <w:rPr/>
      </w:pPr>
      <w:r>
        <w:rPr/>
        <w:t>As used in this Agreement, "Working Capital" means current assets less current liabilities as reflected on the relevant Statement of Net Working Capital.  For purposes of such calculation, current assets shall be current assets as determined in accordance with GAAP, including cash, marketable securities, net accounts receivable, prepaid expenses and net inventories of Company, but shall not include federal, state and local [income] taxes receivable (including the current portion of deferred [income] taxes) or intercompany receivables.  Current liabilities shall be current liabilities as determined in accordance with GAAP, including obligations, debts, prepayments and accruals whose liquidation is reasonably expected to require the use of current assets or the creation of current liabilities of Company but shall not include federal, state and local [income] taxes payable (including the current portion of deferred [income] taxes), [intercompany payables, or any other liabilities that remain the responsibility of Seller under this Agreement (including, but not limited to, employee benefit plan and compensation arrangement liabilities)].  To the extent not inconsistent with this Section 1.3, all of the foregoing calculations shall be made in conformity with GAAP. [Fairfield shutdown]</w:t>
      </w:r>
    </w:p>
    <w:p>
      <w:pPr>
        <w:pStyle w:val="Heading3"/>
        <w:ind w:hanging="0" w:start="0"/>
        <w:rPr/>
      </w:pPr>
      <w:r>
        <w:rPr/>
        <w:t>For purposes of this Agreement, “Reference Statement of Net Working Capital” means the calculation of the Working Capital of Company as of 12:01 a.m. (or 7:30 a.m. with respect to Working Capital items that relate to Company’s mill operations) on the Reference Date made in accordance with Section 1.3(b) and set forth on Schedule 1.3(c), and Closing Date Statement of Net Working Capital means the calculation of the Working Capital of Company as of 12:01 a.m. (or 7:30 a.m. with respect to Working Capital items that relate to the Company’s mill operations) on the Closing Date made in accordance with Section 1.3(b) and  from which the calculation of the adjustment to the Purchase Price of the Purchased Interests will be made in accordance with Section 1.3(a) hereof.</w:t>
      </w:r>
    </w:p>
    <w:p>
      <w:pPr>
        <w:pStyle w:val="Heading3"/>
        <w:ind w:hanging="0" w:start="0"/>
        <w:rPr/>
      </w:pPr>
      <w:r>
        <w:rPr/>
        <w:t>Within 75 days following the Closing Date, Purchaser shall prepare and deliver to Seller the Closing Date Statement of Net Working Capital prepared by Purchaser, including a calculation of the Working Capital of Company on the Closing Date and including a review and assessment of accounts receivable on the Closing Date, an inventory of work in process, pulp and raw materials, and finished goods taken by Purchaser on the Closing Date and a review of the liabilities on the Closing Date, each determined in accordance with this Section 1.3 and, to the extent not inconsistent with this Section 1.3, GAAP.  The Closing Date Statement of Net Working Capital shall be prepared by Purchaser in good faith and shall be certified by Purchaser to be, as of the date prepared, its good faith estimate of the amounts reflected thereon.  After Purchaser has delivered its Closing Date Statement of Net Working Capital in accordance with this Section 1.3(d), it shall not be entitled to raise any additional issues or changes that would result in a decrease to the Net Working Capital of Company as of the Closing Date.</w:t>
      </w:r>
    </w:p>
    <w:p>
      <w:pPr>
        <w:pStyle w:val="Heading3"/>
        <w:ind w:hanging="0" w:start="0"/>
        <w:rPr/>
      </w:pPr>
      <w:r>
        <w:rPr/>
        <w:t>Purchaser will provide Seller with a preliminary draft of the Closing Date Statement of Net Working Capital within 60 days following the Closing Date.  Purchaser shall allow Seller and its agents access at all reasonable times after the Closing to copies of the books, records and accounts of Company and make available to Seller such information as Seller reasonably requests to allow Seller to examine the accuracy of the Closing Date Statement of Net Working Capital.  Purchaser and Seller will in good faith attempt to resolve any disputes with respect to such calculation before the final Closing Date Statement of Net Working Capital is rendered.</w:t>
      </w:r>
    </w:p>
    <w:p>
      <w:pPr>
        <w:pStyle w:val="Heading3"/>
        <w:ind w:hanging="0" w:start="0"/>
        <w:rPr/>
      </w:pPr>
      <w:r>
        <w:rPr/>
        <w:t>Seller shall give written notice to Purchaser of any objection to the Closing Date Statement of Net Working Capital within 30 days after Seller's receipt of the final statement pursuant to Section 1.3(d).  The notice shall specify in reasonable detail the items in the Closing Date Statement of Net Working Capital to which Seller objects and shall provide a summary of Seller's reasons for such objections.  After Seller has delivered its notice of objections in accordance with this Section 1.3(f), it shall not be entitled to raise any additional objections that would result in an increase to the Net Working Capital of Company as of the Closing Date.</w:t>
      </w:r>
    </w:p>
    <w:p>
      <w:pPr>
        <w:pStyle w:val="Heading3"/>
        <w:ind w:hanging="0" w:start="0"/>
        <w:rPr/>
      </w:pPr>
      <w:r>
        <w:rPr/>
        <w:t>Any dispute between Purchaser and Seller with respect to the Closing Date Statement of Net Working Capital which is not resolved within 15 Business Days after receipt by Purchaser of the written notice from Seller shall be referred for decision to a nationally recognized accounting firm selected by Purchaser and reasonably acceptable to Seller who is not engaged in providing services to Seller or Purchaser or any of their Affiliates to decide the dispute within 30 days of such referral.  The decision by the accounting firm shall be final and binding on Seller and Purchaser.  The cost of retaining the accounting firm with respect to resolving disputes as to the Closing Date Statement of Net Working Capital shall be borne by Seller and Purchaser equally.</w:t>
      </w:r>
    </w:p>
    <w:p>
      <w:pPr>
        <w:pStyle w:val="Heading3"/>
        <w:ind w:hanging="0" w:start="0"/>
        <w:rPr/>
      </w:pPr>
      <w:r>
        <w:rPr/>
        <w:t>Following delivery of Seller’s written notice of objections to the Closing Date Statement of Net Working Capital, any balance due to Seller or refund due to Purchaser pursuant to the adjustments set forth in Section 1.3(a) that is not in dispute shall be paid within ten (10) days of such delivery (and any payment in respect of any amount in dispute shall be paid within 10 days of the resolution of such dispute) together with interest on each payment amount from the Closing Date to the date of payment at 7% per annum, in immediately available funds to an account designated by Seller or Purchaser, as the case may be, at least 2 Business Days before the payment is due.</w:t>
      </w:r>
    </w:p>
    <w:p>
      <w:pPr>
        <w:pStyle w:val="Heading2"/>
        <w:ind w:hanging="0" w:start="0"/>
        <w:rPr/>
      </w:pPr>
      <w:r>
        <w:rPr/>
        <w:tab/>
      </w:r>
      <w:bookmarkStart w:id="4" w:name="__RefHeading___Toc487278830"/>
      <w:r>
        <w:rPr/>
        <w:t>Treatment of Acquisition As Asset Purchase For Income Tax Purposes.</w:t>
      </w:r>
      <w:bookmarkEnd w:id="4"/>
    </w:p>
    <w:p>
      <w:pPr>
        <w:pStyle w:val="Heading3"/>
        <w:ind w:hanging="0" w:start="0"/>
        <w:rPr/>
      </w:pPr>
      <w:r>
        <w:rPr/>
        <w:t>Immediately prior to Closing, the parties shall effect the LLC Conversion by causing a certificate of merger to be filed in the offices of the Secretary of State of the State of Delaware and articles of merger with the State Corporation Commission of the Commonwealth of Virginia.  Purchaser agrees and acknowledges that Purchaser shall prepare, at its sole expense, but with reasonable cooperation from Seller if necessary, all documentation required to effect the LLC Conversion (including, but not limited to, the limited liability company agreement of the Successor Company and all filings required to be made in Virginia and Delaware), which documentation shall be reasonably acceptable to Seller.  Seller shall cooperate with Purchaser in making the required filings and in obtaining any necessary consents or approvals.  Purchaser further agrees and acknowledges that it has elected to consummate the LLC Conversion at its own risk and that Seller and Company are not making any representations or warranties regarding the LLC Conversion other than as provided herein, including without limitation regarding the legal effectiveness or tax consequences of the LLC Conversion.  For the avoidance of doubt, Purchaser also acknowledges and agrees that the Successor Company will inherit all of the liabilities and obligations of Company as part of the LLC Conversion, including without limitation all collective bargaining agreements and similar agreements of Company, and that Purchaser will become responsible, as the 100% owner of the Successor Company, for the same liabilities and obligations of Company that it would have become responsible for, as Purchaser of 100% of the capital stock of Company, were the LLC Conversion not effected.</w:t>
      </w:r>
    </w:p>
    <w:p>
      <w:pPr>
        <w:pStyle w:val="Heading3"/>
        <w:ind w:hanging="0" w:start="0"/>
        <w:rPr/>
      </w:pPr>
      <w:r>
        <w:rPr/>
        <w:t xml:space="preserve">Purchaser shall pay to Seller (i) any Additional Taxes directly resulting from the LLC Conversion, but in no event more than [$2,000,000], and (ii) any other costs incurred by Company, Seller or the Seller's Affiliates that are in excess of the costs that would have been incurred by Company, Seller and the Seller's Affiliates if Seller instead were to have sold all the Shares of Company without effecting the LLC Conversion.  For purposes of this Section 1.4(b), "Additional Taxes" means the net amount of any Taxes incurred by Company, Seller or the Seller's Affiliates that are in excess of the Taxes that would have been incurred by Company, Seller and Seller's Affiliates if Seller instead were to have sold all the Shares of Company without effecting the LLC Conversion (including any Transfer Taxes and any Taxes imposed on the increase in the Purchase Price pursuant to this Section 1.4(b), but taking into account any corresponding Tax benefit realized, such as a deduction or reduction in taxable gain for federal income tax purposes for the amount of any state and local Taxes incurred).  For purposes of computing Additional Taxes or any corresponding Tax benefit, Taxes shall be computed at the highest applicable marginal rate, and it shall be assumed that neither Seller nor any of its Affiliates had any items of income, gain, loss, or deduction or credit other than that resulting from (x) the operations of Company and (y) the transactions contemplated by this Agreement.  Within [30] days after the Closing Date, Seller shall give notice to Purchaser of its calculation of the payment to be made by Purchaser pursuant to this Section 1.4(b), which notice shall include (i) a detailed explanation of the calculation and all workpapers supporting such calculation, (ii) a certification from the independent accounting firm which then prepares or reviews the Seller's federal income tax return attesting to the accuracy of such calculation, and (iii) wire transfer instructions for such payment, if any.  Seller shall promptly make available to Purchaser such information as Purchaser reasonably requests to allow Purchaser to examine the accuracy of such calculation.  Purchaser shall pay the amount shown on such notices by wire transfer of immediately available funds to Seller within 20 days of receipt by Purchaser of such notice; provided, however, that if Purchaser disputes the calculation set forth in such notice, Purchaser shall give written notice to Seller of any objection to such calculation within 20 days following receipt by Purchaser of such notice, which notice shall specify in reasonable detail the items in such calculation to which Purchaser objects and shall provide a summary of Purchaser's reasons for such objections.  Any dispute between Purchaser and Seller with respect to such calculation shall be resolved in accordance with the procedures set forth in Section 1.3. </w:t>
      </w:r>
    </w:p>
    <w:p>
      <w:pPr>
        <w:pStyle w:val="Normal"/>
        <w:rPr/>
      </w:pPr>
      <w:r>
        <w:rPr/>
      </w:r>
    </w:p>
    <w:p>
      <w:pPr>
        <w:pStyle w:val="Heading1"/>
        <w:ind w:hanging="0" w:start="0"/>
        <w:rPr/>
      </w:pPr>
      <w:r>
        <w:rPr/>
        <w:br/>
        <w:br/>
      </w:r>
      <w:bookmarkStart w:id="5" w:name="__RefHeading___Toc487278831"/>
      <w:r>
        <w:rPr/>
        <w:t>REPRESENTATIONS AND WARRANTIES</w:t>
        <w:br/>
        <w:t>OF SELLER AND COMPANY</w:t>
      </w:r>
      <w:bookmarkEnd w:id="5"/>
    </w:p>
    <w:p>
      <w:pPr>
        <w:pStyle w:val="BodyText"/>
        <w:rPr/>
      </w:pPr>
      <w:r>
        <w:rPr/>
        <w:t>Seller and Company, jointly and severally, warrant and represent with respect to Company to Purchaser as follows:</w:t>
      </w:r>
    </w:p>
    <w:p>
      <w:pPr>
        <w:pStyle w:val="Heading2"/>
        <w:ind w:hanging="0" w:start="0"/>
        <w:rPr>
          <w:vanish/>
          <w:color w:val="FF0000"/>
        </w:rPr>
      </w:pPr>
      <w:bookmarkStart w:id="6" w:name="__RefHeading___Toc487278832"/>
      <w:bookmarkEnd w:id="6"/>
      <w:r>
        <w:rPr/>
        <w:t>Organization and Qualification</w:t>
      </w:r>
    </w:p>
    <w:p>
      <w:pPr>
        <w:pStyle w:val="BodyText"/>
        <w:rPr/>
      </w:pPr>
      <w:r>
        <w:rPr/>
        <w:t>.  Before giving effect to the LLC Conversion, Company is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in each jurisdiction where the character of its properties or the nature of its business makes such qualification necessary, except where the failure to be so qualified could not reasonably be expected to result in a Material Adverse Effect. Company is not in breach or violation of any provisions of its respective organizational documents and bylaws (or their equivalent).  Purchaser has been provided true and correct copies of the organizational documents and bylaws (or their equivalent) as in effect on the date hereof of Company.  Except as disclosed on Schedule 2.1, the minute books of Company that have been made available to Seller for review constitute all of the minute books and contain a complete and accurate record of any stock or membership interest transfer records relating to the acquisition or formation of any entity since the date such entity was either acquired or formed by Company or its Affiliates.</w:t>
      </w:r>
    </w:p>
    <w:p>
      <w:pPr>
        <w:pStyle w:val="Heading2"/>
        <w:ind w:hanging="0" w:start="0"/>
        <w:rPr>
          <w:vanish/>
          <w:color w:val="FF0000"/>
        </w:rPr>
      </w:pPr>
      <w:bookmarkStart w:id="7" w:name="__RefHeading___Toc487278833"/>
      <w:bookmarkEnd w:id="7"/>
      <w:r>
        <w:rPr/>
        <w:t>Capital Stock</w:t>
      </w:r>
    </w:p>
    <w:p>
      <w:pPr>
        <w:pStyle w:val="BodyText"/>
        <w:rPr/>
      </w:pPr>
      <w:r>
        <w:rPr/>
        <w:t>.  The authorized capital of Company before the LLC Conversion consists of 5,000 Shares, all of which Shares are validly issued and outstanding, fully paid and nonassessable.  All of the Shares are and on the Closing Date all of the Shares or after giving effect to the LLC Conversion, the Membership Interests will be owned beneficially and of record by Seller free and clear of any pledge, lien, charge, encumbrance, voting trust arrangement or other adverse claim excluding restrictions on transfer which are covered by the representations in Section 2.13.  There are no outstanding subscriptions, options, warrants, rights, conversion rights, rights of first refusal or other agreements or commitments obligating Company to issue or purchase equity interests of Company or any security convertible into equity interests or obligating Company to purchase, sell or transfer any equity interests of Company.</w:t>
      </w:r>
    </w:p>
    <w:p>
      <w:pPr>
        <w:pStyle w:val="Heading2"/>
        <w:ind w:hanging="0" w:start="0"/>
        <w:rPr>
          <w:i w:val="false"/>
          <w:i w:val="false"/>
          <w:vanish/>
          <w:color w:val="FF0000"/>
        </w:rPr>
      </w:pPr>
      <w:bookmarkStart w:id="8" w:name="__RefHeading___Toc487278834"/>
      <w:bookmarkEnd w:id="8"/>
      <w:r>
        <w:rPr/>
        <w:t>Subsidiaries</w:t>
      </w:r>
    </w:p>
    <w:p>
      <w:pPr>
        <w:pStyle w:val="BodyText"/>
        <w:rPr/>
      </w:pPr>
      <w:r>
        <w:rPr/>
        <w:t>.  Company does not presently have any Subsidiaries.  Other than as set forth in Schedule 2.3, Company does not directly or indirectly own any interest in any other corporation, partnership, joint venture or other business association or entity and Company does not have any ownership interest or right in (whether as a partner, joint venturer or otherwise), or any right or obligation to acquire the capital stock or securities of, any Person.</w:t>
      </w:r>
    </w:p>
    <w:p>
      <w:pPr>
        <w:pStyle w:val="Heading2"/>
        <w:ind w:hanging="0" w:start="0"/>
        <w:rPr>
          <w:vanish/>
          <w:color w:val="FF0000"/>
        </w:rPr>
      </w:pPr>
      <w:bookmarkStart w:id="9" w:name="__RefHeading___Toc487278835"/>
      <w:bookmarkEnd w:id="9"/>
      <w:r>
        <w:rPr/>
        <w:t>Governmental Authorizations</w:t>
      </w:r>
    </w:p>
    <w:p>
      <w:pPr>
        <w:pStyle w:val="BodyText"/>
        <w:rPr/>
      </w:pPr>
      <w:r>
        <w:rPr/>
        <w:t>.  Schedule 2.4 lists and describes all material licenses, franchises, certificates, approvals, certificates of approval, consents, permits, authorizations and orders necessary for Company to lawfully operate its business as of the date of this Agreement (the "Governmental Authorizations").  Company holds all Governmental Authorizations and Company  is in compliance in all material respects with such Governmental Authorizations and any applicable statutes, laws, ordinances, rules and regulations (including, without limitation, any of the foregoing related to occupational safety, storage, disposal, discharge into the environment of hazardous waste, environmental protection, conservation, unfair competition, labor practices or corrupt practices) of any governmental authorities.  Except as set forth on Schedule 2.4, Company has not received any written notice from a governmental or regulatory authority within 3 years of the date hereof of any violation of any such Governmental Authorizations or statutes, laws, rules and regulations or written notice of any plan for any termination or adverse modification of any Governmental Authorization.</w:t>
      </w:r>
    </w:p>
    <w:p>
      <w:pPr>
        <w:pStyle w:val="Heading2"/>
        <w:ind w:hanging="0" w:start="0"/>
        <w:rPr>
          <w:vanish/>
          <w:color w:val="FF0000"/>
        </w:rPr>
      </w:pPr>
      <w:bookmarkStart w:id="10" w:name="__RefHeading___Toc487278836"/>
      <w:bookmarkEnd w:id="10"/>
      <w:r>
        <w:rPr/>
        <w:t>Financial Statements</w:t>
      </w:r>
    </w:p>
    <w:p>
      <w:pPr>
        <w:pStyle w:val="BodyText"/>
        <w:rPr/>
      </w:pPr>
      <w:r>
        <w:rPr/>
        <w:t>.  Attached as Schedule 2.5(a) are copies of (i) the balance sheet of Company ("Reference Balance Sheet") as of March 26, 2000 and the related statement of income for the period then ended (the "Reference Date"); (ii) the consolidated balance sheet of Company as of December 26, 1999, and the related statement of income for such period; and (iii) the consolidated balance sheets of Company as of December 27, 1998 and December 28, 1997 and the related consolidated statements of income for such periods (collectively, the "Financial Statements").  The Financial Statements were prepared in accordance with generally accepted accounting principles in the United States ("GAAP") (except as indicated in the notes thereto and except, for the omission of footnotes and changes resulting from customary and recurring year-end adjustments [and except for the omission of statements of cash flow and stockholders equity]), and, subject to the addition of footnotes and changes resulting from customary and recurring year-end adjustments in the case of the unaudited Financial Statements, present fairly in all material respects Company's financial position and results of its operations as of the relevant dates thereof and for the periods covered thereby.</w:t>
      </w:r>
    </w:p>
    <w:p>
      <w:pPr>
        <w:pStyle w:val="Heading2"/>
        <w:ind w:hanging="0" w:start="0"/>
        <w:rPr>
          <w:vanish/>
          <w:color w:val="FF0000"/>
        </w:rPr>
      </w:pPr>
      <w:bookmarkStart w:id="11" w:name="__RefHeading___Toc487278837"/>
      <w:r>
        <w:rPr/>
        <w:t>No Adverse Changes; Absence of Undisclosed Liabilities.</w:t>
      </w:r>
      <w:bookmarkEnd w:id="11"/>
      <w:r>
        <w:rPr/>
        <w:t xml:space="preserve"> </w:t>
      </w:r>
    </w:p>
    <w:p>
      <w:pPr>
        <w:pStyle w:val="Heading3"/>
        <w:ind w:hanging="0" w:start="0"/>
        <w:rPr/>
      </w:pPr>
      <w:r>
        <w:rPr/>
        <w:t>Except as otherwise set forth on Schedule 2.6, since the Reference Date, Company has conducted its business in the ordinary course and there has not been: (i) any declaration, setting aside or payment of any dividend in respect of the equity interest of Company (other than cash dividends or distributions that are taken into account in computing the Working Capital as of the Closing Date) or direct or indirect purchase, acquisition or redemption of any such equity interest; (ii) any issuance of any equity interests or securities, or options, warrants, convertible or exchangeable securities or other rights to purchase or acquire any securities, of Company (iii) any incurrence, assumption or guarantee by Company of any debt for borrowed money or any debt or liability outside of the ordinary course of business; (iv) any creation or assumption of any lien, encumbrance or other restriction on any asset of Company  (other than as are incurred in the ordinary course of business) or any sale, transfer or other disposition of any fixed asset of Company  or except in the ordinary course of business, any sale, transfer or other disposition of any other asset of Company ; (v) other than ordinary course inter-company transactions of the type described in Schedule 5.1(p), any making of any loan, advance or capital contribution to or investment in any Person by Company  in an amount exceeding $50,000 for any individual transaction or $100,000 in the aggregate; (vi) any Material Adverse Effect (including, but not limited to, material damage, destruction, loss or condemnation of assets of Company), whether or not covered by insurance; (vii) except as required by GAAP any change in any method of accounting or accounting practice or policy by Company, or in any manner of keeping the books, accounts or records of Company, or any reclassification of non-current assets to current assets, or any reclassification of current liabilities to non-current liabilities, or any material misstatement or misrepresentation of net income or net assets of Company; (viii) any increase in compensation, bonus or other benefits (except in accordance with past practices as to frequency, timing and amount or in accordance with any employment agreements or the collective bargaining agreement between Company and the labor union, concluded prior to the Reference Date or as may otherwise be required by law), any grant of or agreement to pay any severance or termination pay to any officer or employee of Company  other than in accordance with any existing severance or termination pay policies agreements, employment agreements or collective bargaining agreements, or any change to any existing severance or termination pay policies resulting in an increase in benefits payable under such policies or agreements, employment agreements or collective bargaining agreements; (ix) any material adverse change to, restriction in or termination of any Governmental Authorizations or any material adverse change in any law or regulation that is specifically applicable to the Company’s business as presently conducted; or (x) any Arrangement to take or contemplating any of the actions set forth in this Section 2.6(a).</w:t>
      </w:r>
    </w:p>
    <w:p>
      <w:pPr>
        <w:pStyle w:val="Heading3"/>
        <w:ind w:hanging="0" w:start="0"/>
        <w:rPr/>
      </w:pPr>
      <w:r>
        <w:rPr/>
        <w:t>Except as described in Schedule 2.6, Company does not have any material indebtedness, liability, obligation, payable or lien of the type required by GAAP, whether fixed, contingent or unmatured, to be reflected on a balance sheet or notes to financial statements that is not reflected or reserved against in the Financial Statements, except for such indebtedness, liabilities or obligations which have arisen after the Reference Date and were incurred in the ordinary course of business.</w:t>
      </w:r>
    </w:p>
    <w:p>
      <w:pPr>
        <w:pStyle w:val="Heading2"/>
        <w:ind w:hanging="0" w:start="0"/>
        <w:rPr>
          <w:i w:val="false"/>
          <w:i w:val="false"/>
          <w:vanish/>
          <w:color w:val="FF0000"/>
        </w:rPr>
      </w:pPr>
      <w:bookmarkStart w:id="12" w:name="__RefHeading___Toc487278838"/>
      <w:bookmarkEnd w:id="12"/>
      <w:r>
        <w:rPr/>
        <w:t>Properties</w:t>
      </w:r>
    </w:p>
    <w:p>
      <w:pPr>
        <w:pStyle w:val="BodyText"/>
        <w:rPr/>
      </w:pPr>
      <w:r>
        <w:rPr/>
        <w:t>.  Schedule 2.7 sets forth as of the date of this Agreement, (a) a list of all real property owned by Company , (b) a list of all real property leases, and all material rights of way, easements, servitudes, permits, surface and underground leases and other similar assets of Company , (c) a list of all options granted, or other contractual obligations held, by Company  to purchase, lease or otherwise acquire any interest or estate of Company, (d) any option granted, or other contractual obligation held by Company  to sell, lease or otherwise dispose of any interest or estate in real property, (e) a list of all items of personal property with a book value (excluding accumulated depreciation or amortization) in excess of $25,000 owned by Company and all personal property leased by Company under any capital, operating or other lease with annual payments in excess of $25,000.  Company has good, valid and indefeasible title to all of the owned real property listed on Schedule 2.7(a) (or, with respect to easements, rights of way, servitudes, permits, surface and underground leases and other similar assets set forth on Schedule 2.7(a), title to the applicable asset sufficient to enable Company  to conduct its business with respect thereto without material interference as it is currently being conducted), free and clear of all liens, charges and encumbrances except for (i) liens for taxes not yet due and payable; (ii) liens for taxes, assessments, governmental charges or levies, or claims the non-payment of which is being diligently contested in good faith or liens arising out of judgments or awards against Company with respect to which at the time there shall be a prosecution for appeal or there shall be a proceeding to review or the time limit has not yet run for such an appeal or review with respect to such judgment or award; provided that with respect to the foregoing liens in this clause (ii), adequate reserves shall have been set aside on the Company's books, and no foreclosure, distraint, sale or similar proceedings shall have been commenced with respect thereto that remain unstayed for a period of 60 days after their commencement; (iii) construction, mechanic and materialmen's liens and similar statutory liens arising in the ordinary course of business; (iv) liens relating to liabilities on the Reference Balance Sheet; (v) with respect to the real property owned and leased, rights of way, easements, servitudes, permits, surface and underground leases, mineral rights and other similar reservations and restrictions, defects of title which are set forth in Schedule 2.7 or which, either individually or in the aggregate, do not affect or interfere with the ownership or use of such real property as the business is currently conducted; (vi) liens, charges or encumbrances arising under or in respect of the New Jersey Revenue Bonds and the documents and instruments delivered in connection therewith or pursuant thereto; and (vii) any other liens, charges or encumbrances that are described in Schedule 2.7, and subject to restrictions on transfer arising under applicable legal and contractual restrictions (collectively, "Permitted Liens"), and all leases pursuant to which Company leases from others real or personal property set forth on Schedule 2.7(b) are in good standing, valid and effective as to Company in accordance with their respective terms.  There is not, under any of such leases set forth on Schedule 2.7(a), any existing material default or event of default (or event, which with notice or lapse of time, or both, would constitute a material default or event of default and in respect of which Company has not taken adequate steps to prevent such a default from occurring).  Company has good and valid title to all of its other assets set forth on Schedule 2.7 (including, without limitation, pipelines, equipment, water storage facilities, treatment plants or other tangible personal property) sufficient to enable Company  to conduct its business with respect thereto without material interference as it is currently being conducted, free and clear of all liens, charges and encumbrances except for Permitted Liens.   As of the date hereof, Company has not received any written notice for assessments for public improvements against any real property which remains unpaid, and no such assessment has been proposed to the Seller's and Company's collective knowledge.  As of the date hereof, there is no pending condemnation, expropriation, eminent domain or similar proceeding affecting all or any portion of any of the real property and, to the Seller's and Company's collective knowledge, no such proceeding is threatened.  The buildings, structures, facilities, equipment and other tangible assets of Company are in good condition, taken as a whole based on their usage and age, normal wear and tear excepted. Except with respect to customary corporate overhead services provided by the corporate offices of Seller and except as disclosed on Schedule 2.7, the assets of Company include all material assets reasonably necessary to operate the business of Company as it is presently operated.</w:t>
      </w:r>
    </w:p>
    <w:p>
      <w:pPr>
        <w:pStyle w:val="Heading2"/>
        <w:ind w:hanging="0" w:start="0"/>
        <w:rPr>
          <w:i w:val="false"/>
          <w:i w:val="false"/>
          <w:vanish/>
          <w:color w:val="FF0000"/>
        </w:rPr>
      </w:pPr>
      <w:bookmarkStart w:id="13" w:name="__RefHeading___Toc487278839"/>
      <w:bookmarkEnd w:id="13"/>
      <w:r>
        <w:rPr/>
        <w:t>Litigation, Judgments, Etc.</w:t>
      </w:r>
    </w:p>
    <w:p>
      <w:pPr>
        <w:pStyle w:val="BodyText"/>
        <w:rPr/>
      </w:pPr>
      <w:r>
        <w:rPr/>
        <w:t xml:space="preserve">  </w:t>
      </w:r>
      <w:r>
        <w:rPr/>
        <w:t>Except as described in Schedule 2.8, as of the date of this Agreement, there are no claims, actions, suits, proceedings or, to the Company’s and Seller’s collective knowledge investigations, filed, pending or, to the Company's and Seller’s collective knowledge, threatened against or affecting Company or any properties or rights of Company in any court or before or by any federal, state, provincial or other governmental or regulatory authority or body, domestic or foreign, or before any arbitrator. Company is not in default with respect to any judgment, order, writ, injunction, decree or award applicable to it of any court or other governmental or regulatory authority or body, domestic or foreign, or arbitrator having jurisdiction over it and all such judgments, orders, writs, injunctions, decrees and awards are described in Schedule 2.8.  Schedule 2.8 sets forth a description of all actions, suits, investigations or proceedings brought by or against Company  in which a judgment, order or decree was rendered, or in which a settlement was reached, at any time since January 1, 1997 and the amount in any such controversy exceeded $25,000 or in which Company was named as a defendant in a criminal proceeding, including a description of the disposition in such action, suit, investigation or proceeding and the amount of any settlement, judgment or penalty.</w:t>
      </w:r>
    </w:p>
    <w:p>
      <w:pPr>
        <w:pStyle w:val="Heading2"/>
        <w:ind w:hanging="0" w:start="0"/>
        <w:rPr>
          <w:color w:val="FF0000"/>
        </w:rPr>
      </w:pPr>
      <w:bookmarkStart w:id="14" w:name="__RefHeading___Toc487278840"/>
      <w:bookmarkEnd w:id="14"/>
      <w:r>
        <w:rPr/>
        <w:t>Intellectual Property</w:t>
      </w:r>
    </w:p>
    <w:p>
      <w:pPr>
        <w:pStyle w:val="Heading3"/>
        <w:ind w:hanging="0" w:start="0"/>
        <w:rPr/>
      </w:pPr>
      <w:r>
        <w:rPr/>
        <w:t>Except as set forth in Schedule 2.9, Company owns, or possesses adequate licenses or other valid rights to use, all existing software (including software under development), trade secrets or similar confidential information, technology, know-how, customer lists, marketing and customer information, and materials which are the subject matter of copyright (e.g., manuals, documentation, etc.), all intangible intellectual property rights, including any applications for patents or issued patents, trademarks, service marks, trade names, or trade dress, and all pending or issued registrations thereof, all copyrights and applications and registrations thereof, and all Arrangements (e.g., licenses) with third parties pertaining to such matters that are material to its business as currently conducted (the "Company Intellectual Property Rights") free and clear of all liens, pledges, restrictions, security interests, claims, licenses or other similar encumbrances other than Permitted Liens and except as disclosed on Schedule 2.9 no claim or demand has been made alleging that Company  does not own any right, title or interest in and to any part of the Company Intellectual Property Rights.  Schedule 2.9 contains an accurate and complete description of all Company Intellectual Property Rights presently owned, held or used by Company as of the date of this Agreement that are material to its business as currently conducted.  All such Company Intellectual Property Rights are valid and enforceable, except for any such Company Intellectual Property Rights the failure to be valid and enforceable would not have a material adverse effect on the conduct of the Company's business as currently conducted.</w:t>
      </w:r>
    </w:p>
    <w:p>
      <w:pPr>
        <w:pStyle w:val="Heading3"/>
        <w:ind w:hanging="0" w:start="0"/>
        <w:rPr/>
      </w:pPr>
      <w:r>
        <w:rPr/>
        <w:t>To the Seller's and Company's collective knowledge, except as disclosed on Schedule 2.9, the conduct of the business of Company as now conducted does not infringe any valid patents, trademarks, trade names, service marks or copyrights of others. Neither Seller nor Company has any knowledge of any claim that any of the Company Intellectual Property Rights or any past or current operations of Company infringes on any right of any Person.  Neither Seller nor Company has any knowledge that any Person is infringing any of the Company Intellectual Property Rights.  Subject to receipt of any necessary consents, the consummation of the transactions contemplated hereby will not result in the loss or impairment of any Company Intellectual Property Rights.</w:t>
      </w:r>
    </w:p>
    <w:p>
      <w:pPr>
        <w:pStyle w:val="Heading2"/>
        <w:ind w:hanging="0" w:start="0"/>
        <w:rPr/>
      </w:pPr>
      <w:bookmarkStart w:id="15" w:name="__RefHeading___Toc487278841"/>
      <w:bookmarkEnd w:id="15"/>
      <w:r>
        <w:rPr/>
        <w:t>Environmental Matters.</w:t>
      </w:r>
    </w:p>
    <w:p>
      <w:pPr>
        <w:pStyle w:val="Normal"/>
        <w:rPr/>
      </w:pPr>
      <w:r>
        <w:rPr/>
      </w:r>
    </w:p>
    <w:p>
      <w:pPr>
        <w:pStyle w:val="Heading3"/>
        <w:ind w:hanging="0" w:start="0"/>
        <w:rPr/>
      </w:pPr>
      <w:r>
        <w:rPr/>
        <w:t>Except as disclosed in Schedule 2.10:</w:t>
      </w:r>
    </w:p>
    <w:p>
      <w:pPr>
        <w:pStyle w:val="Heading4"/>
        <w:ind w:hanging="0" w:start="0"/>
        <w:rPr/>
      </w:pPr>
      <w:r>
        <w:rPr/>
        <w:t>Company, and its business, properties and operations are in compliance in all material respects, at all relevant times, with all applicable Environmental Laws and there are no Environmental Conditions existing on any current or to the Seller's and Company’s collective knowledge former properties owned, leased or otherwise controlled by Company or resulting from its operations that could give rise to any on-site or material off-site obligations or material liabilities of Company under any Environmental Laws.</w:t>
      </w:r>
    </w:p>
    <w:p>
      <w:pPr>
        <w:pStyle w:val="Heading4"/>
        <w:ind w:hanging="0" w:start="0"/>
        <w:rPr/>
      </w:pPr>
      <w:r>
        <w:rPr/>
        <w:t>Company and its businesses, properties and operations, including to the Seller's and Company’s collective knowledge as a result of any operations of any prior owners or operators:  (A) are not subject to any existing, pending or threatened (in writing) claim, action, suit, notice of violation, inquiry or proceeding under any Environmental Law or in connection with any, actual or alleged, release of, or exposure to, any Hazardous Material; (B) during the period of Seller's ownership of Company, has not entered into or been subject to any consent decree, compliance order, or administrative order with respect to the Environmental Condition of any current or to the Seller's and Company’s collective knowledge former businesses, properties or operations or with respect to any other property; or (C) during the period of Seller's ownership of Company, has not received any written request for information or been notified in writing that it is a potentially responsible party under the Comprehensive Environmental Response, Compensation and Liability Act ("CERCLA") or any similar local, state or provincial law, and none of the properties it owns or operates or uses or to the Seller's and Company’s collective knowledge have owned or operated or used is listed or, to the collective knowledge of Seller and Company, is proposed for listing on the "National Priorities List" under CERCLA, or on the Comprehensive Environmental Response, Compensation and Liability Information System maintained ("CERCLIS") by the U.S. Environmental Protection Agency (as updated through the date hereof) or on any similar local, state or provincial list of sites requiring investigation, cleanup, or monitoring.</w:t>
      </w:r>
    </w:p>
    <w:p>
      <w:pPr>
        <w:pStyle w:val="Heading4"/>
        <w:ind w:hanging="0" w:start="0"/>
        <w:rPr/>
      </w:pPr>
      <w:r>
        <w:rPr/>
        <w:t>All Environmental Approvals have been duly obtained, filed or complied with and Company is in compliance in all material respects with the terms and conditions of all such notices, permits, permit exemptions, licenses, certificates, approvals, certificates of approval, and similar authorizations.</w:t>
      </w:r>
    </w:p>
    <w:p>
      <w:pPr>
        <w:pStyle w:val="Heading4"/>
        <w:ind w:hanging="0" w:start="0"/>
        <w:rPr/>
      </w:pPr>
      <w:r>
        <w:rPr/>
        <w:t>Company has not (A) placed, or permitted to be placed, any engineering or institutional controls, pursuant to any Environmental Law or in response to any release of any Hazardous Material, that would limit the use, development, value or transferability, of any properties it owns or operates; or (B) owned or operated any underground storage tanks or surface impoundments in, on, under or about any properties and there are no underground storage tanks or surface impoundments in, on, under or about its properties that have since been removed from the ground or abandoned in place.</w:t>
      </w:r>
    </w:p>
    <w:p>
      <w:pPr>
        <w:pStyle w:val="Heading4"/>
        <w:ind w:hanging="0" w:start="0"/>
        <w:rPr/>
      </w:pPr>
      <w:r>
        <w:rPr/>
        <w:t xml:space="preserve">Company has not assumed or retained from any Person, either contractually or by operation of law, any liability for any Environmental Condition. </w:t>
      </w:r>
    </w:p>
    <w:p>
      <w:pPr>
        <w:pStyle w:val="Heading3"/>
        <w:ind w:hanging="0" w:start="0"/>
        <w:rPr/>
      </w:pPr>
      <w:r>
        <w:rPr/>
        <w:t>Company has made available to Purchaser any and all information in its control or possession relating to:  (i) Environmental Conditions adversely affecting the businesses or properties owned or operated by Company or its operations; (ii) Hazardous Materials used, stored or generated in the course of businesses or operations and all off-site Hazardous Materials treatment, storage or disposal facilities used by Company; (iii) current and anticipated capital expenditures relating to pollution control equipment or investigation, remediation and/or monitoring of any Environmental Condition; and (iv) any records of or written notice from the New Jersey Department of Environmental Protection (the "NJDEP") which describes any Environmental Condition or any action or omission of Company that could reasonably be expected to result in any Material Adverse Effect, [and to the Seller's and Company's collective knowledge there are no records of the NJDEP of any such action or omission.]</w:t>
      </w:r>
    </w:p>
    <w:p>
      <w:pPr>
        <w:pStyle w:val="Heading3"/>
        <w:ind w:hanging="0" w:start="0"/>
        <w:rPr/>
      </w:pPr>
      <w:r>
        <w:rPr/>
        <w:t>Definitions.</w:t>
      </w:r>
    </w:p>
    <w:p>
      <w:pPr>
        <w:pStyle w:val="Heading4"/>
        <w:ind w:hanging="0" w:start="0"/>
        <w:rPr/>
      </w:pPr>
      <w:r>
        <w:rPr/>
        <w:t xml:space="preserve">"Environmental Approvals"  means all notices, permits, permit exemptions, licenses, registrations, certificates, approvals, certificates of approval, or similar authorizations, if any, required to be obtained or filed by or complied with by Company under any Environmental Law in connection with its businesses, operations or ownership or operation of any properties, including without limitation those relating to the handling, use, transportation, method of application, treatment, storage, disposal or release of a Hazardous Material into the environment. </w:t>
      </w:r>
    </w:p>
    <w:p>
      <w:pPr>
        <w:pStyle w:val="Heading4"/>
        <w:ind w:hanging="0" w:start="0"/>
        <w:rPr/>
      </w:pPr>
      <w:r>
        <w:rPr/>
        <w:t>"Environmental Condition" means (A) any release of a Hazardous Material from, in, on, under or onto any properties or the environment in violation of any Environmental Law or that results in any damages, loss, cost, expenses, or other liability; (B) any release of a Hazardous Material from, in, on, under or onto any property or the environment that results in any actual or alleged damages, loss, cost, expenses, or other liability; or (C) any investigative, enforcement, cleanup, removal, containment, remedial, or other private or governmental or regulatory action at any time threatened (in writing), instituted, or completed against or in respect to any properties or any use or activity on any properties pursuant to any applicable Environmental Law relating to Hazardous Materials, by or in connection with the Company's business.</w:t>
      </w:r>
    </w:p>
    <w:p>
      <w:pPr>
        <w:pStyle w:val="Heading4"/>
        <w:ind w:hanging="0" w:start="0"/>
        <w:rPr/>
      </w:pPr>
      <w:r>
        <w:rPr/>
        <w:t xml:space="preserve"> </w:t>
      </w:r>
      <w:r>
        <w:rPr/>
        <w:t xml:space="preserve">"Environmental Law" means any and all federal, state, provincial, local or foreign laws, statutes, ordinances, regulations, by-laws, rules, judgments, orders, notice requirements, court decisions, agency guidelines, criteria, standards or directions, or principles of law (including principles of both common and civil law and equity, including but not limited to nuisance, trespass, negligence and strict liability) which (A) regulate or relate to the protection or clean-up of the environment, the manufacture, sale, use, treatment, storage, transportation, handling or disposal of hazardous or toxic or otherwise dangerous substances, wastes or materials (whether gas, liquid or solid), the preservation or protection of indoor and outdoor air,  surface -, ground- and drinking water, soils and subsurface strata biota and other natural resources, or the health and safety of persons or property including, without limitation, protection of the health and safety of employees; or (B) impose liability with respect to any of the foregoing.  </w:t>
      </w:r>
    </w:p>
    <w:p>
      <w:pPr>
        <w:pStyle w:val="Heading4"/>
        <w:ind w:hanging="0" w:start="0"/>
        <w:rPr/>
      </w:pPr>
      <w:r>
        <w:rPr/>
        <w:t>"Hazardous Materials" means any substance, whether solid, liquid, gaseous, or any combination of the foregoing: (A) which is listed, defined, or regulated as  a "hazardous material," "hazardous waste," "solid waste," "hazardous substance," "toxic substance," "contaminant" or "pollutant" or otherwise classified as hazardous or toxic, in or pursuant to any Environmental Law; or (B) which is or contains asbestos, polychlorinated biphenyls, radon, urea formaldehyde foam insulation, lead-based paint or explosive or radioactive material or crude oil and derivatives thereof, motor fuel or other petroleum hydrocarbons.</w:t>
      </w:r>
    </w:p>
    <w:p>
      <w:pPr>
        <w:pStyle w:val="Heading2"/>
        <w:ind w:hanging="0" w:start="0"/>
        <w:rPr>
          <w:vanish/>
          <w:color w:val="FF0000"/>
        </w:rPr>
      </w:pPr>
      <w:bookmarkStart w:id="16" w:name="__RefHeading___Toc487278842"/>
      <w:bookmarkEnd w:id="16"/>
      <w:r>
        <w:rPr/>
        <w:t>Company Taxes.</w:t>
      </w:r>
    </w:p>
    <w:p>
      <w:pPr>
        <w:pStyle w:val="BodyText"/>
        <w:rPr>
          <w:vanish/>
          <w:color w:val="FF0000"/>
        </w:rPr>
      </w:pPr>
      <w:r>
        <w:rPr>
          <w:vanish/>
          <w:color w:val="FF0000"/>
        </w:rPr>
      </w:r>
    </w:p>
    <w:p>
      <w:pPr>
        <w:pStyle w:val="Heading3"/>
        <w:ind w:hanging="0" w:start="0"/>
        <w:rPr/>
      </w:pPr>
      <w:r>
        <w:rPr/>
        <w:t>Except as set forth in Schedule 2.11(a), (i) Seller has filed or has caused to be filed on a timely manner all returns and reports ("Tax Returns") of or with respect to any Tax (as hereinafter defined) that are required to be filed on or before the Closing Date by or with respect to Company or the business of Company (except Tax Returns for which the filing date has not expired or has been extended and such extension period has not expired), (ii) all items of income, gain, loss, deduction and credit or other items required to be included in each such Tax Return have been or will be so included and all information provided in each such Tax Return is true, correct and complete, (iii) all Taxes that have become or will become due with respect to the period covered by each such Tax Return and all other Taxes due on or before the Closing Date or Taxes with respect to any period ending on or including the Closing Date with respect to Company or the business of Company have been or by Closing will be timely paid in full, subject to such Taxes being contested in good faith for which adequate reserves have been established.  All Tax Returns relating to an Overlap Period  that are required to be filed by Company after the Closing Date are identified on Schedule 2.11(a).  For purposes of this Agreement, "Taxes" shall mean federal, state, local, foreign and other taxes, assessments, fees and other governmental charges, including without limitation income, gross receipts, net proceeds, alternative or add-on minimum, ad valorem, value added, goods and services, sales, use, property (tangible and intangible), stamp, lease, user, excise, duty, franchise, transfer, license, withholding, payroll, employment, fuel, excess profits, occupational, windfall profit, severance, and other similar taxes or governmental charges (including interest, penalties and additions with respect to tax).</w:t>
      </w:r>
    </w:p>
    <w:p>
      <w:pPr>
        <w:pStyle w:val="Heading3"/>
        <w:ind w:hanging="0" w:start="0"/>
        <w:rPr/>
      </w:pPr>
      <w:r>
        <w:rPr/>
        <w:t>Except as set forth on Schedule 2.11(b), no Tax Returns for taxable periods beginning after 1989 of or with respect to Company or the business of Company have been audited or investigated by the applicable governmental or regulatory authority or body.  The applicable statute of limitations for Tax Returns related to the income of Company has expired for all periods up to and including the periods set forth in Schedule 2.11(b).</w:t>
      </w:r>
    </w:p>
    <w:p>
      <w:pPr>
        <w:pStyle w:val="Heading3"/>
        <w:ind w:hanging="0" w:start="0"/>
        <w:rPr/>
      </w:pPr>
      <w:r>
        <w:rPr/>
        <w:t>Except as disclosed in Schedule 2.11(c), neither the Internal Revenue Service nor any other taxing authority has proposed or asserted any deficiency or claim for additional Taxes against, or any adjustment of Taxes relating to, Company or the business of Company.</w:t>
      </w:r>
    </w:p>
    <w:p>
      <w:pPr>
        <w:pStyle w:val="Heading3"/>
        <w:ind w:hanging="0" w:start="0"/>
        <w:rPr/>
      </w:pPr>
      <w:r>
        <w:rPr/>
        <w:t>Except as set forth on Schedule 2.11(d), there is not in force any extension of time with respect to the due date for the filing of any Tax Return, or any waiver or agreement relating to Taxes of or with respect to Company or the business of Company.</w:t>
      </w:r>
    </w:p>
    <w:p>
      <w:pPr>
        <w:pStyle w:val="Heading3"/>
        <w:ind w:hanging="0" w:start="0"/>
        <w:rPr/>
      </w:pPr>
      <w:r>
        <w:rPr/>
        <w:t xml:space="preserve">Except as set forth on Schedule 2.11(e), the Financial Statements reflect an adequate reserve in accordance with GAAP (without regard to any amounts reserved for deferred taxes) for all unpaid Taxes of Company for all Tax periods and portions thereof through the date of such Financial Statements; </w:t>
      </w:r>
    </w:p>
    <w:p>
      <w:pPr>
        <w:pStyle w:val="Heading3"/>
        <w:ind w:hanging="0" w:start="0"/>
        <w:rPr/>
      </w:pPr>
      <w:r>
        <w:rPr/>
        <w:t>Except as set forth on Schedule 2.11(f), no elections or designations have been filed with any governmental or quasi-governmental authority that relate to Taxes of Company with respect to any period following the Closing.</w:t>
      </w:r>
    </w:p>
    <w:p>
      <w:pPr>
        <w:pStyle w:val="Normal"/>
        <w:rPr/>
      </w:pPr>
      <w:r>
        <w:rPr/>
        <w:tab/>
        <w:tab/>
        <w:t>(g)</w:t>
        <w:tab/>
        <w:t>Except as disclosed in Schedule 2.11(g), Company has no liability for the Taxes of any person (i) pursuant to Section 1.1502-6 of the Treasury Regulations promulgated under the Code or comparable provisions of any taxing authority in respect of a consolidated, combined or unitary Tax Return (other than the members of the Seller’s Affiliated Group), (ii) as a transferee or successor, (iii) by contract, or (iv) otherwise.</w:t>
      </w:r>
    </w:p>
    <w:p>
      <w:pPr>
        <w:pStyle w:val="Normal"/>
        <w:rPr/>
      </w:pPr>
      <w:r>
        <w:rPr/>
      </w:r>
    </w:p>
    <w:p>
      <w:pPr>
        <w:pStyle w:val="Heading2"/>
        <w:ind w:hanging="0" w:start="0"/>
        <w:rPr/>
      </w:pPr>
      <w:bookmarkStart w:id="17" w:name="__RefHeading___Toc487278843"/>
      <w:bookmarkEnd w:id="17"/>
      <w:r>
        <w:rPr/>
        <w:t>Employee Benefit Plans.</w:t>
      </w:r>
    </w:p>
    <w:p>
      <w:pPr>
        <w:pStyle w:val="Heading3"/>
        <w:ind w:hanging="0" w:start="0"/>
        <w:rPr/>
      </w:pPr>
      <w:r>
        <w:rPr/>
        <w:t>Schedule 2.12(a) provides a list of each of the following which is sponsored, maintained or contributed to by Seller or Company for the benefit of the employees of Company:</w:t>
      </w:r>
    </w:p>
    <w:p>
      <w:pPr>
        <w:pStyle w:val="Heading4"/>
        <w:ind w:hanging="0" w:start="0"/>
        <w:rPr/>
      </w:pPr>
      <w:r>
        <w:rPr/>
        <w:t xml:space="preserve">each "employee benefit plan" ("Plan) as such term is defined in Section 3(3) of the Employee Retirement Income Security Act of 1974, as amended ("ERISA"); and </w:t>
      </w:r>
    </w:p>
    <w:p>
      <w:pPr>
        <w:pStyle w:val="Heading4"/>
        <w:ind w:hanging="0" w:start="0"/>
        <w:rPr/>
      </w:pPr>
      <w:r>
        <w:rPr/>
        <w:t>each personnel policy, stock option plan, bonus plan or arrangement, incentive award plan or arrangement, vacation policy, severance pay plan, policy, or agreement, deferred compensation agreement or arrangement, executive compensation or supplemental income arrangement, consulting agreement, employment agreement, and each other employee benefit plan, agreement, arrangement, program, practice, or understanding which is not described in Section 2.12(a)(i) ("Benefit Program or Agreement").</w:t>
      </w:r>
    </w:p>
    <w:p>
      <w:pPr>
        <w:pStyle w:val="Normal"/>
        <w:spacing w:before="0" w:after="240"/>
        <w:ind w:firstLine="1440" w:end="0"/>
        <w:rPr/>
      </w:pPr>
      <w:r>
        <w:rPr/>
        <w:t>Except as disclosed in Schedule 2.12(a), Company is not the plan sponsor of any Plan or Benefit Program or Agreement (the "Company Plans").</w:t>
      </w:r>
    </w:p>
    <w:p>
      <w:pPr>
        <w:pStyle w:val="Heading3"/>
        <w:ind w:hanging="0" w:start="0"/>
        <w:rPr/>
      </w:pPr>
      <w:r>
        <w:rPr/>
        <w:t xml:space="preserve">True, correct, and complete copies of each of the Company Plans, and related insurance contracts, or other funding arrangements, and the most recent financial statements and actuarial valuations, if applicable, related to each trusts, if applicable, including all amendments thereto, have been made available to Purchaser.  There has also been made available to Purchaser with respect to each Company Plan, required to file such report and description, the three most recent reports on Form 5500, the summary plan description, any summaries of material modifications, and the most recent financial statements (audited if available).  </w:t>
      </w:r>
    </w:p>
    <w:p>
      <w:pPr>
        <w:pStyle w:val="Heading3"/>
        <w:ind w:hanging="0" w:start="0"/>
        <w:rPr/>
      </w:pPr>
      <w:r>
        <w:rPr/>
        <w:t>Except as otherwise set forth on Schedule 2.12(c),</w:t>
      </w:r>
    </w:p>
    <w:p>
      <w:pPr>
        <w:pStyle w:val="Heading4"/>
        <w:ind w:hanging="0" w:start="0"/>
        <w:rPr/>
      </w:pPr>
      <w:r>
        <w:rPr/>
        <w:t>Neither Seller, Company nor any entity which would be considered a "single employer" with Company within the meaning of Section 4001(b) of ERISA ("ERISA Affiliate") contributes to or has an obligation to contribute to, or has at any time within six years prior to the Closing Date contributed to or had an obligation to contribute to, a multiemployer plan within the meaning of Section 3(37) of ERISA [on behalf of employees of Company].</w:t>
      </w:r>
    </w:p>
    <w:p>
      <w:pPr>
        <w:pStyle w:val="Heading4"/>
        <w:ind w:hanging="0" w:start="0"/>
        <w:rPr/>
      </w:pPr>
      <w:r>
        <w:rPr/>
        <w:t>If Seller, any ERISA Affiliate or Company were to withdraw from any multiemployer plan, as defined in Section 3(37) of ERISA, Company would not have any withdrawal liability within the meaning of Section 4201 of ERISA.</w:t>
      </w:r>
    </w:p>
    <w:p>
      <w:pPr>
        <w:pStyle w:val="Heading4"/>
        <w:ind w:hanging="0" w:start="0"/>
        <w:rPr/>
      </w:pPr>
      <w:r>
        <w:rPr/>
        <w:t>Seller and Company have performed all material obligations, whether arising by operation of law or by contract, required to be performed by it in connection with the Plans and the Benefit Programs and Agreements, and to the Seller’s and Company’s collective knowledge there have been no material defaults or violations by any other party to the Plans or Benefit Programs and Agreements.</w:t>
      </w:r>
    </w:p>
    <w:p>
      <w:pPr>
        <w:pStyle w:val="Heading4"/>
        <w:ind w:hanging="0" w:start="0"/>
        <w:rPr/>
      </w:pPr>
      <w:r>
        <w:rPr/>
        <w:t>All reports and disclosures relating to the Plans required to be filed with or furnished to governmental agencies and/or Plan participants or Plan beneficiaries have been filed or furnished in accordance with applicable law in a timely manner except where failure to file or furnish such report or disclosure would not subject Company to a material fine or penalty, and each Plan and each Benefit Program or Agreement has been administered in material compliance with its terms and governing law.</w:t>
      </w:r>
    </w:p>
    <w:p>
      <w:pPr>
        <w:pStyle w:val="Heading4"/>
        <w:ind w:hanging="0" w:start="0"/>
        <w:rPr/>
      </w:pPr>
      <w:r>
        <w:rPr/>
        <w:t>Each of the Plans intended to be qualified under Section 401 of the Code, (A) [satisfies in form the requirements of such Section except to the extent amendments are not required by law to be made until a date after the Closing Date,] (B) has received a favorable determination letter from the Internal Revenue Service regarding such qualified status, and (C) has not been operated in a way that would adversely affect its qualified status.</w:t>
      </w:r>
    </w:p>
    <w:p>
      <w:pPr>
        <w:pStyle w:val="Heading4"/>
        <w:ind w:hanging="0" w:start="0"/>
        <w:rPr/>
      </w:pPr>
      <w:r>
        <w:rPr/>
        <w:t>There are no actions, suits, or claims pending (other than routine claims for benefits) or to the knowledge of Seller or Company threatened against Company with respect to, any of the Plans or Benefit Programs and Agreements or their assets.</w:t>
      </w:r>
    </w:p>
    <w:p>
      <w:pPr>
        <w:pStyle w:val="Heading4"/>
        <w:ind w:hanging="0" w:start="0"/>
        <w:rPr/>
      </w:pPr>
      <w:r>
        <w:rPr/>
        <w:t>All contributions required to be made to the Plans pursuant to their terms and the provisions of ERISA, the Code, or any other applicable law have been timely made or properly accrued.</w:t>
      </w:r>
    </w:p>
    <w:p>
      <w:pPr>
        <w:pStyle w:val="Heading4"/>
        <w:ind w:hanging="0" w:start="0"/>
        <w:rPr/>
      </w:pPr>
      <w:r>
        <w:rPr/>
        <w:t>No Company Plan is subject to Title IV or Section 302 of ERISA or Section 412 of the Code and Company has not sponsored any such plan in the six years preceding the Closing Date.</w:t>
      </w:r>
    </w:p>
    <w:p>
      <w:pPr>
        <w:pStyle w:val="Heading4"/>
        <w:ind w:hanging="0" w:start="0"/>
        <w:rPr/>
      </w:pPr>
      <w:r>
        <w:rPr/>
        <w:t>No act, omission or transaction has occurred which would result in imposition on Company of (A) breach of fiduciary duty liability damages under Section 409 of ERISA, (B) a civil penalty assessed pursuant to subsections (c), (i) or (1) of Section 502 of ERISA, or (C) a tax imposed pursuant to Chapter 43 of Subtitle D of the Code.</w:t>
      </w:r>
    </w:p>
    <w:p>
      <w:pPr>
        <w:pStyle w:val="Heading4"/>
        <w:ind w:hanging="0" w:start="0"/>
        <w:rPr/>
      </w:pPr>
      <w:r>
        <w:rPr/>
        <w:t>There is no matter pending (other than routine qualification determination filings) with respect to any of the Plans before the Internal Revenue Service, the Department of Labor, the PBGC, or other Governmental Authority.</w:t>
      </w:r>
    </w:p>
    <w:p>
      <w:pPr>
        <w:pStyle w:val="Heading4"/>
        <w:ind w:hanging="0" w:start="0"/>
        <w:rPr/>
      </w:pPr>
      <w:r>
        <w:rPr/>
        <w:t>No current or former employees, executives, officers or directors of Company are provided benefits under any trust sponsored by Company which is intended to be exempt from federal income taxation pursuant to Section 501(c)(9) of the Code.</w:t>
      </w:r>
    </w:p>
    <w:p>
      <w:pPr>
        <w:pStyle w:val="Heading4"/>
        <w:ind w:hanging="0" w:start="0"/>
        <w:rPr/>
      </w:pPr>
      <w:r>
        <w:rPr/>
        <w:t>There has been no withdrawal by Seller or Company of any assets from any tax-qualified Plan and no application for approval of a withdrawal of assets by Seller or Company has been made to any governmental authority.  Any application of surplus assets in any tax-qualified Plan (other than any multiemployer plan) to offset required employer contributions to such Plan has been permitted by law and was permitted under the terms of the Plan and associated funding agreement.</w:t>
      </w:r>
    </w:p>
    <w:p>
      <w:pPr>
        <w:pStyle w:val="Heading4"/>
        <w:ind w:hanging="0" w:start="0"/>
        <w:rPr/>
      </w:pPr>
      <w:r>
        <w:rPr/>
        <w:t>With respect to any employee pension benefit plan within the meaning of Section 3(2) of ERISA which is not listed in Schedule 2.12(a) but which is sponsored, maintained, or contributed to, or has been sponsored, maintained, or contributed to within six years prior to the Closing Date, by any ERISA Affiliate (A) no withdrawal liability, within the meaning of Section 4201 of ERISA, has been incurred, which withdrawal liability has not been satisfied or will be satisfied by the ERISA Affiliate prior to the Closing Date, (B) no liability to the PBGC has been incurred by any ERISA Affiliate, which liability has not been satisfied, (C) no accumulated funding deficiency, whether or not waived, within the meaning of Section 302 of ERISA or Section 412 of the Code has been incurred which has not been satisfied.  With respect to any employee pension benefit plan within the meaning of Section 3(2) of ERISA which is not listed on Schedule 2.12(a) but which is sponsored, maintained or contributed to by a ERISA Affiliate (A) all contributions (including installments) to such plan required by Section 302 of ERISA and Section 412 of the Code have been made, and (B) to the Seller's and Company's collective knowledge, there is no condition or circumstance which would give the PBGC any basis to assess liabilities as against any ERISA Affiliate.</w:t>
      </w:r>
    </w:p>
    <w:p>
      <w:pPr>
        <w:pStyle w:val="Heading4"/>
        <w:ind w:hanging="0" w:start="0"/>
        <w:rPr/>
      </w:pPr>
      <w:r>
        <w:rPr/>
        <w:t>The execution and delivery of this Agreement and the consummation of the transactions contemplated hereby will not (A) require Company to make a larger contribution to, or pay greater benefits or provide other rights under, any Plan or Benefit Program or Agreement than it otherwise would, whether or not some other subsequent action or event would be required to cause such payment or provision to be triggered, or (B) create or give rise to any additional vested rights or service credits under any Plan or Benefit Program or Agreement, except as required under the terms of such Plan or Benefit Program or Agreement or (C) subject Company to withdrawal liability within the meaning of Section 4201 of ERISA.</w:t>
      </w:r>
    </w:p>
    <w:p>
      <w:pPr>
        <w:pStyle w:val="Heading3"/>
        <w:ind w:hanging="0" w:start="0"/>
        <w:rPr/>
      </w:pPr>
      <w:r>
        <w:rPr/>
        <w:t>[Except as set forth on Schedule 2.12(d),] neither Seller nor Company is a party to any agreement, or has established any policy or practice, requiring it to make a payment or provide any other form of compensation or benefit to any person performing services for Company upon termination of such services which would not be payable or provided in the absence of the consummation of the transactions contemplated by this Agreement or otherwise accelerate the timing of the payment or providing of any such compensation or benefit.</w:t>
      </w:r>
    </w:p>
    <w:p>
      <w:pPr>
        <w:pStyle w:val="Heading3"/>
        <w:ind w:hanging="0" w:start="0"/>
        <w:rPr/>
      </w:pPr>
      <w:r>
        <w:rPr/>
        <w:t>In connection with the consummation of the transactions contemplated by this Agreement, no payments of money or other property, acceleration of benefits, or provisions of other rights have or will be made hereunder, under any agreement contemplated herein, or under the Plans or Benefit Programs and Agreements that would result in imposition on Company of the sanctions imposed under Sections 28OG and 4999 of the Code, whether or not some other subsequent action or event would be required to cause such payment, acceleration, or provision to be triggered.</w:t>
      </w:r>
    </w:p>
    <w:p>
      <w:pPr>
        <w:pStyle w:val="Heading3"/>
        <w:ind w:hanging="0" w:start="0"/>
        <w:rPr/>
      </w:pPr>
      <w:r>
        <w:rPr/>
        <w:t>Company does not sponsor, or contribute to, or have any liability for any Plan or Benefit Program or Agreement subject to the laws of any foreign jurisdiction.</w:t>
      </w:r>
    </w:p>
    <w:p>
      <w:pPr>
        <w:pStyle w:val="Heading2"/>
        <w:ind w:hanging="0" w:start="0"/>
        <w:rPr>
          <w:vanish/>
          <w:color w:val="FF0000"/>
        </w:rPr>
      </w:pPr>
      <w:bookmarkStart w:id="18" w:name="__RefHeading___Toc487278844"/>
      <w:bookmarkEnd w:id="18"/>
      <w:r>
        <w:rPr/>
        <w:t>Authorization of Agreement; No Violation; No Consents</w:t>
      </w:r>
    </w:p>
    <w:p>
      <w:pPr>
        <w:pStyle w:val="BodyText"/>
        <w:rPr/>
      </w:pPr>
      <w:r>
        <w:rPr/>
        <w:t>.  Company has full power and authority to enter into, execute and deliver this Agreement and the other agreements and documents to be delivered pursuant to this Agreement,  to carry out the transactions contemplated hereby and thereby on its part and perform its obligations hereunder and thereunder.  All action required to be taken by Company to authorize the execution, delivery and performance by Company of this Agreement has been duly and validly taken on or prior to the date hereof. Except for the expiration or termination of any applicable waiting period under the HSR Act, compliance with all applicable securities laws, receipt of all consents listed on Schedule 2.13, compliance with ISRA, and provided that Seller and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neither the execution or delivery of this Agreement by Company nor the consummation of the transactions contemplated herein by Company (a) will conflict with or result in a breach, default or violation of (i) any of the terms, provisions or conditions of the Articles of Incorporation or bylaws of Company or (ii) contract, agreement or Arrangement required to be listed on Schedule 2.15 judgment, decree, order, governmental permit, certificate or license or any law, statute, rule or regulation to which Company is a party or to which it is subject or (b) will result in the creation of any lien, charge or other encumbrance on any property or assets of Company.  Except for the expiration or termination of any applicable waiting period under the HSR Act, compliance with the applicable securities laws, compliance with ISRA, and provided that Seller and Company make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and except as expressly contemplated by this Agreement or as set forth in Schedule 2.13, no consent, action, approval or authorization of, or registration, declaration or filing with any third party, governmental department, commission, agency or other instrumentality ("Company Consents") is required to authorize, or is otherwise required in connection with, the execution and delivery by Company of this Agreement or the performance of the terms thereof by Company or the validity or enforceability thereof against Company.  Other than this Agreement, there is no Arrangement, whether binding or non-binding, currently in effect with respect to the acquisition, disposition, combination, merger, spin-off or transaction with similar effect involving Company.  This Agreement has been duly executed and delivered by Company.  This Agreement and each document delivered pursuant hereto constitutes, or will constitute upon delivery, the legal, valid and binding obligation of Company (to the extent a party thereto) enforceable against Company in accordance with its terms, subject to applicable bankruptcy, insolvency, reorganization, moratorium and other similar laws affecting creditors' rights generally and to the principles of equity (whether enforcement is sought in a proceeding in equity or at law).</w:t>
      </w:r>
    </w:p>
    <w:p>
      <w:pPr>
        <w:pStyle w:val="Heading2"/>
        <w:ind w:hanging="0" w:start="0"/>
        <w:rPr/>
      </w:pPr>
      <w:bookmarkStart w:id="19" w:name="__RefHeading___Toc487278845"/>
      <w:bookmarkEnd w:id="19"/>
      <w:r>
        <w:rPr/>
        <w:t>Labor and Employment Matters.</w:t>
      </w:r>
    </w:p>
    <w:p>
      <w:pPr>
        <w:pStyle w:val="Heading3"/>
        <w:ind w:hanging="0" w:start="0"/>
        <w:rPr/>
      </w:pPr>
      <w:r>
        <w:rPr/>
        <w:t xml:space="preserve">Schedule 2.14 lists all Company non-bargaining unit employees, their job classifications and rates of pay as of the date of this Agreement.  Except as set forth in Schedule 2.14, there are no, and there have not been in the three years prior to the date hereof, controversies existing or, to the collective knowledge of Seller and Company, pending or threatened, between Company and any of their respective non-bargaining unit or other employees.  Company does not employ any individuals outside of the United States. </w:t>
      </w:r>
    </w:p>
    <w:p>
      <w:pPr>
        <w:pStyle w:val="Heading3"/>
        <w:ind w:hanging="0" w:start="0"/>
        <w:rPr/>
      </w:pPr>
      <w:r>
        <w:rPr/>
        <w:t>Except as set forth on Schedule 2.14, Company is not a party to any labor or collective bargaining agreement and there are no labor or collective bargaining agreements which pertain to employees of Company.  Company has delivered or otherwise made available to Purchaser true, correct, and complete copies of the labor or collective bargaining agreements listed on Schedule 2.14, together with all amendments, modifications, supplements or exhibits thereto which define past practices and/or precedents related to mandatory and/or permissive subjects of collective bargaining.</w:t>
      </w:r>
    </w:p>
    <w:p>
      <w:pPr>
        <w:pStyle w:val="Heading3"/>
        <w:ind w:hanging="0" w:start="0"/>
        <w:rPr/>
      </w:pPr>
      <w:r>
        <w:rPr/>
        <w:t>Except as set forth on Schedule 2.14, no employees of Company are represented by any labor organization.  No labor organization or group of employees of Company has made a pending demand for recognition, and there are no representation proceedings or petitions seeking a representation proceeding presently pending or, to the knowledge of Seller or Company, threatened to be brought or filed, with the National Labor Relations Board or other labor relations tribunal.  There is no organizing activity involving Company pending, or to the knowledge of Seller or Company, threatened by a labor organization or group of employees of Company.</w:t>
      </w:r>
    </w:p>
    <w:p>
      <w:pPr>
        <w:pStyle w:val="Heading3"/>
        <w:ind w:hanging="0" w:start="0"/>
        <w:rPr/>
      </w:pPr>
      <w:r>
        <w:rPr/>
        <w:t>There are no (i) strikes, work stoppages, slowdown, or lockouts or (ii) material grievances, arbitrations or other labor disputes pending, or to the knowledge of Seller or Company, threatened against or involving Company.  There are no unfair labor practice charges, or complaints against Company pending or, to the knowledge of Seller or Company, threatened by or on behalf of any employee or group of employees of Company.  Further, there are no claims, notices, or proceedings pending or being adjudicated under the National Labor Relations Act.</w:t>
      </w:r>
    </w:p>
    <w:p>
      <w:pPr>
        <w:pStyle w:val="Heading3"/>
        <w:ind w:hanging="0" w:start="0"/>
        <w:rPr/>
      </w:pPr>
      <w:r>
        <w:rPr/>
        <w:t>Company is in compliance, in all material respects, with all federal, state and local laws with respect to employment, employment practices, labor relations, and safety and health.</w:t>
      </w:r>
    </w:p>
    <w:p>
      <w:pPr>
        <w:pStyle w:val="Heading3"/>
        <w:ind w:hanging="0" w:start="0"/>
        <w:rPr/>
      </w:pPr>
      <w:r>
        <w:rPr/>
        <w:t xml:space="preserve">The Parties hereto acknowledge the existence of collective bargaining agreements, definitions of bargaining units, and a duty to bargain in good faith.  Nothing herein will limit or impede Purchaser in its effort to promote appropriate collective bargaining or mutually acceptable terms and conditions of employment.  </w:t>
      </w:r>
    </w:p>
    <w:p>
      <w:pPr>
        <w:pStyle w:val="Heading2"/>
        <w:ind w:hanging="0" w:start="0"/>
        <w:rPr>
          <w:i w:val="false"/>
          <w:i w:val="false"/>
          <w:vanish/>
          <w:color w:val="FF0000"/>
        </w:rPr>
      </w:pPr>
      <w:bookmarkStart w:id="20" w:name="__RefHeading___Toc487278846"/>
      <w:bookmarkEnd w:id="20"/>
      <w:r>
        <w:rPr/>
        <w:t>Contracts</w:t>
      </w:r>
    </w:p>
    <w:p>
      <w:pPr>
        <w:pStyle w:val="BodyText"/>
        <w:rPr>
          <w:color w:val="000000"/>
        </w:rPr>
      </w:pPr>
      <w:r>
        <w:rPr/>
        <w:t>.  Schedule 2.15 lists all contracts, agreements and other Arrangements to which Company is a party or by which it or its assets may be bound as of the date of this Agreement in the following categories as of the date of this Agreement: (i) mortgages, indentures, loan or credit agreements, security agreements, guarantees, and other Arrangements relating to the borrowing of money or extension of credit; (ii) material government Arrangements, licenses or permits; (iii) material Arrangements that contain covenants limiting the freedom of Company or any director, officer or employee thereof to compete in any line of business or with any Person in any geographical area; (iv) material Arrangements of Company with Seller or any of its Affiliates; (v) Arrangements (other than collective bargaining agreements)  with any labor union or representative of employees; (vi) Arrangements with officers, employees, agents, consultants, advisors or sales personnel that provide for annual compensation in excess of $25,000 or are not cancelable by Company on notice of not longer than ninety (90) days without liability, penalty or premium other than statutory liability relating to the termination of employees); (vii) secrecy or confidentiality Arrangements (other than Arrangements principally with respect to another subject matter that contain, as a part thereof, confidentiality or secrecy provisions; (viii) Arrangements for the acquisition or disposition of material assets of Company; (ix) any Arrangement not referenced in the foregoing clauses that involves total consideration in excess of $50,000 on an annual basis and has a term of more than one year and is not cancelable by Company on notice of not longer than ninety (90) days without liability, penalty or premium.  Each Arrangement listed on Schedule 2.15 is a valid and binding agreement of Company and neither Company nor, to the knowledge of Seller or Company, any other party thereto is in default thereunder and no condition exists with respect to any such Arrangement, which, with the passage of time or the giving of notice or both, could reasonably be expected to have a Material Adverse Effect.</w:t>
      </w:r>
    </w:p>
    <w:p>
      <w:pPr>
        <w:pStyle w:val="Heading2"/>
        <w:ind w:hanging="0" w:start="0"/>
        <w:rPr>
          <w:i w:val="false"/>
          <w:i w:val="false"/>
          <w:vanish/>
          <w:color w:val="FF0000"/>
        </w:rPr>
      </w:pPr>
      <w:bookmarkStart w:id="21" w:name="__RefHeading___Toc487278847"/>
      <w:bookmarkEnd w:id="21"/>
      <w:r>
        <w:rPr/>
        <w:t>Accounts Receivable</w:t>
      </w:r>
    </w:p>
    <w:p>
      <w:pPr>
        <w:pStyle w:val="BodyText"/>
        <w:rPr/>
      </w:pPr>
      <w:r>
        <w:rPr/>
        <w:t>.  Except as disclosed on Schedule 2.16, all trade and accounts receivable and notes receivable of Company arose in the ordinary and usual course of its business and represent valid obligations due and the reserve for uncollectible accounts reflected on the Reference Balance Sheet is consistent with the reserves established in accordance with past practice of Company.</w:t>
      </w:r>
    </w:p>
    <w:p>
      <w:pPr>
        <w:pStyle w:val="Heading2"/>
        <w:ind w:hanging="0" w:start="0"/>
        <w:rPr>
          <w:vanish/>
          <w:color w:val="FF0000"/>
        </w:rPr>
      </w:pPr>
      <w:bookmarkStart w:id="22" w:name="__RefHeading___Toc487278848"/>
      <w:bookmarkEnd w:id="22"/>
      <w:r>
        <w:rPr/>
        <w:t>Banks</w:t>
      </w:r>
    </w:p>
    <w:p>
      <w:pPr>
        <w:pStyle w:val="BodyText"/>
        <w:rPr/>
      </w:pPr>
      <w:r>
        <w:rPr/>
        <w:t>.  Schedule 2.17 sets forth, as of the date of this Agreement, (a) the name of each bank, trust company, stock and other broker with which Company has an account, credit line, or safe deposit box or vault or maintains any relations, (b) the names of all Persons authorized to draw thereon or to have access to any safe deposit box or vault, (c) the purpose of each such account, safe deposit box or vault, and (d) the names of all Persons authorized by proxies, powers of attorney or like instruments, to act on behalf of Company in matters concerning any of its business or affairs.</w:t>
      </w:r>
    </w:p>
    <w:p>
      <w:pPr>
        <w:pStyle w:val="Heading2"/>
        <w:ind w:hanging="0" w:start="0"/>
        <w:rPr>
          <w:vanish/>
          <w:color w:val="FF0000"/>
        </w:rPr>
      </w:pPr>
      <w:bookmarkStart w:id="23" w:name="__RefHeading___Toc487278849"/>
      <w:bookmarkEnd w:id="23"/>
      <w:r>
        <w:rPr/>
        <w:t>Directors, Officers and Key Employees</w:t>
      </w:r>
    </w:p>
    <w:p>
      <w:pPr>
        <w:pStyle w:val="BodyText"/>
        <w:rPr/>
      </w:pPr>
      <w:r>
        <w:rPr/>
        <w:t>. None of the persons set forth on Schedule 2.14, and no relative or Affiliate known to Seller or Company of any such Person has had in the last three (3) years any transaction with Company involving the receipt by or payment by Company of more than $25,000 in cash, property or services or the increase in the debt or other liabilities of Company, except in the ordinary course of such person's, relative's or Affiliate's employment as set forth in Schedule 2.14 or as otherwise set forth in the Financial Statements.</w:t>
      </w:r>
    </w:p>
    <w:p>
      <w:pPr>
        <w:pStyle w:val="Heading2"/>
        <w:ind w:hanging="0" w:start="0"/>
        <w:rPr>
          <w:i w:val="false"/>
          <w:i w:val="false"/>
          <w:vanish/>
          <w:color w:val="FF0000"/>
        </w:rPr>
      </w:pPr>
      <w:bookmarkStart w:id="24" w:name="__RefHeading___Toc487278850"/>
      <w:bookmarkEnd w:id="24"/>
      <w:r>
        <w:rPr/>
        <w:t>Books of Account</w:t>
      </w:r>
    </w:p>
    <w:p>
      <w:pPr>
        <w:pStyle w:val="BodyText"/>
        <w:rPr/>
      </w:pPr>
      <w:r>
        <w:rPr/>
        <w:t>.  Except as disclosed on Schedule 2.19, the books, records and accounts of Company reasonably reflect in all material respects the transactions and the assets or liabilities of Company. Except as disclosed on Schedule 2.19, Company has not engaged in any transaction, maintained any bank account or used any funds except for transactions, bank accounts and funds which have been and are reflected in the normally maintained books and records of Company.</w:t>
      </w:r>
    </w:p>
    <w:p>
      <w:pPr>
        <w:pStyle w:val="Heading2"/>
        <w:ind w:hanging="0" w:start="0"/>
        <w:rPr>
          <w:vanish/>
          <w:color w:val="FF0000"/>
        </w:rPr>
      </w:pPr>
      <w:bookmarkStart w:id="25" w:name="__RefHeading___Toc487278851"/>
      <w:bookmarkEnd w:id="25"/>
      <w:r>
        <w:rPr/>
        <w:t>Suppliers and Customers</w:t>
      </w:r>
    </w:p>
    <w:p>
      <w:pPr>
        <w:pStyle w:val="BodyText"/>
        <w:rPr/>
      </w:pPr>
      <w:r>
        <w:rPr/>
        <w:t>.   Schedule 2.20 sets forth the top 20 suppliers and customers of Company based on the aggregate annual costs of goods and services or gross sales of Company for the fiscal year ended December 26, 1999 ("Large Suppliers" and "Large Customers").  Except as set forth on Schedule 2.20, no Large Supplier is a sole source supplier. To the Company's and Seller's collective knowledge, no Large Supplier or Large Customer intends to terminate or otherwise modify adversely its relationship with Company.</w:t>
      </w:r>
    </w:p>
    <w:p>
      <w:pPr>
        <w:pStyle w:val="Heading2"/>
        <w:ind w:hanging="0" w:start="0"/>
        <w:rPr>
          <w:i w:val="false"/>
          <w:i w:val="false"/>
          <w:vanish/>
          <w:color w:val="FF0000"/>
        </w:rPr>
      </w:pPr>
      <w:bookmarkStart w:id="26" w:name="__RefHeading___Toc487278852"/>
      <w:bookmarkEnd w:id="26"/>
      <w:r>
        <w:rPr/>
        <w:t>Insurance</w:t>
      </w:r>
    </w:p>
    <w:p>
      <w:pPr>
        <w:pStyle w:val="BodyText"/>
        <w:rPr/>
      </w:pPr>
      <w:r>
        <w:rPr/>
        <w:t>.  Except for insurance policies related to any Plan or any Benefit Program or Agreement sponsored or maintained by Seller, all policies of fire, liability, health and other forms of insurance in existence on the date of this Agreement with respect to the assets or business of Company are in full force and effect and are valid and enforceable.  Except as set forth on Schedule 2.21, no shareholder of Company is a loss payee or additional insured on any such policy.  Schedule 2.21 sets forth a list of all such material policies. Company (a) has not received (i) any written notice from any insurer of a denial of coverage or defense or (ii) any written notice of cancellation or termination in respect of any such policy in existence on the date of this Agreement.</w:t>
      </w:r>
    </w:p>
    <w:p>
      <w:pPr>
        <w:pStyle w:val="Heading2"/>
        <w:ind w:hanging="0" w:start="0"/>
        <w:rPr>
          <w:vanish/>
          <w:color w:val="FF0000"/>
        </w:rPr>
      </w:pPr>
      <w:bookmarkStart w:id="27" w:name="__RefHeading___Toc487278853"/>
      <w:bookmarkEnd w:id="27"/>
      <w:r>
        <w:rPr/>
        <w:t>Availability of Documents</w:t>
      </w:r>
    </w:p>
    <w:p>
      <w:pPr>
        <w:pStyle w:val="BodyText"/>
        <w:rPr/>
      </w:pPr>
      <w:r>
        <w:rPr>
          <w:i/>
        </w:rPr>
        <w:t>.</w:t>
      </w:r>
      <w:r>
        <w:rPr/>
        <w:t xml:space="preserve">  Seller or Company has made available to Purchaser copies of all documents listed on any Schedule of Company or Seller hereto.  Such copies as were made available are true and complete in all material respects and include all amendments, supplements and modifications thereto or waivers currently in effect thereunder.</w:t>
      </w:r>
    </w:p>
    <w:p>
      <w:pPr>
        <w:pStyle w:val="Heading2"/>
        <w:ind w:hanging="0" w:start="0"/>
        <w:rPr>
          <w:i w:val="false"/>
          <w:i w:val="false"/>
          <w:vanish/>
          <w:color w:val="FF0000"/>
        </w:rPr>
      </w:pPr>
      <w:bookmarkStart w:id="28" w:name="__RefHeading___Toc487278854"/>
      <w:bookmarkEnd w:id="28"/>
      <w:r>
        <w:rPr/>
        <w:t>No Material Omissions</w:t>
      </w:r>
    </w:p>
    <w:p>
      <w:pPr>
        <w:pStyle w:val="BodyText"/>
        <w:rPr/>
      </w:pPr>
      <w:r>
        <w:rPr/>
        <w:t>.  No representation or warranty made by Seller or Company in this Agreement contains any untrue statement of a material fact or any omission of a material fact necessary to make the statements contained therein not misleading in light of the circumstances under which they were made.  As of the date of this Agreement, there is no fact that would materially adversely affect the operations, business, assets or prospects of Company that has not been disclosed to Purchaser by Company or Seller.</w:t>
      </w:r>
    </w:p>
    <w:p>
      <w:pPr>
        <w:pStyle w:val="Heading1"/>
        <w:keepNext w:val="true"/>
        <w:keepLines/>
        <w:ind w:hanging="0" w:start="0"/>
        <w:rPr/>
      </w:pPr>
      <w:r>
        <w:rPr/>
        <w:br/>
        <w:br/>
      </w:r>
      <w:bookmarkStart w:id="29" w:name="__RefHeading___Toc487278855"/>
      <w:r>
        <w:rPr/>
        <w:t>REPRESENTATIONS AND WARRANTIES</w:t>
        <w:br/>
        <w:t>OF SELLER</w:t>
      </w:r>
      <w:bookmarkEnd w:id="29"/>
    </w:p>
    <w:p>
      <w:pPr>
        <w:pStyle w:val="BodyText"/>
        <w:keepNext w:val="true"/>
        <w:keepLines/>
        <w:rPr/>
      </w:pPr>
      <w:r>
        <w:rPr/>
        <w:t>Seller warrants and represents to Purchaser as follows:</w:t>
      </w:r>
    </w:p>
    <w:p>
      <w:pPr>
        <w:pStyle w:val="Heading2"/>
        <w:ind w:hanging="0" w:start="0"/>
        <w:rPr>
          <w:i w:val="false"/>
          <w:i w:val="false"/>
          <w:vanish/>
          <w:color w:val="FF0000"/>
        </w:rPr>
      </w:pPr>
      <w:bookmarkStart w:id="30" w:name="__RefHeading___Toc487278856"/>
      <w:bookmarkEnd w:id="30"/>
      <w:r>
        <w:rPr/>
        <w:t>Organization and Qualification</w:t>
      </w:r>
    </w:p>
    <w:p>
      <w:pPr>
        <w:pStyle w:val="BodyText"/>
        <w:keepNext w:val="true"/>
        <w:keepLines/>
        <w:rPr/>
      </w:pPr>
      <w:r>
        <w:rPr/>
        <w:t>.  Seller is a corporation duly organized, validly existing and in good standing under the laws of its jurisdiction of incorporation, with corporate power and authority to own, operate and lease its properties and to carry on its business as now conducted, and is duly qualified to do business and is in good standing as a foreign corporation in each jurisdiction where the character of its properties or the nature of its business makes such qualification necessary.  Seller is not in breach or violation of any provisions of its organizational documents and bylaws (or their equivalent).</w:t>
      </w:r>
    </w:p>
    <w:p>
      <w:pPr>
        <w:pStyle w:val="Heading2"/>
        <w:ind w:hanging="0" w:start="0"/>
        <w:rPr>
          <w:vanish/>
          <w:color w:val="FF0000"/>
        </w:rPr>
      </w:pPr>
      <w:bookmarkStart w:id="31" w:name="__RefHeading___Toc487278857"/>
      <w:bookmarkEnd w:id="31"/>
      <w:r>
        <w:rPr/>
        <w:t>Ownership of Purchased Interests</w:t>
      </w:r>
    </w:p>
    <w:p>
      <w:pPr>
        <w:pStyle w:val="BodyText"/>
        <w:rPr/>
      </w:pPr>
      <w:r>
        <w:rPr/>
        <w:t>.  Seller has good and valid title to the Shares as of the date hereof and will as of Closing have good and valid title to the Shares and after giving effect to the LLC Conversion, the Membership Interests, free and clear of any pledge, lien, charge, encumbrance, voting trust arrangement or other adverse claim, [excluding restrictions on transfer which are covered in the representations in Section 3.4.]</w:t>
      </w:r>
    </w:p>
    <w:p>
      <w:pPr>
        <w:pStyle w:val="Heading2"/>
        <w:ind w:hanging="0" w:start="0"/>
        <w:rPr>
          <w:vanish/>
          <w:color w:val="FF0000"/>
        </w:rPr>
      </w:pPr>
      <w:bookmarkStart w:id="32" w:name="__RefHeading___Toc487278858"/>
      <w:bookmarkEnd w:id="32"/>
      <w:r>
        <w:rPr/>
        <w:t>Governmental Authorizations</w:t>
      </w:r>
    </w:p>
    <w:p>
      <w:pPr>
        <w:pStyle w:val="BodyText"/>
        <w:rPr/>
      </w:pPr>
      <w:r>
        <w:rPr/>
        <w:t>.  Seller holds all Governmental Authorizations required to be held by it with respect to Company and is in compliance in all respects with such Governmental Authorizations and any applicable statutes, laws, ordinances, rules and regulations of any governmental authorities except where the failure to hold such Authorizations or be in compliance would not adversely affect Company or the Seller’s ownership of the Purchased Interests.  Except as set forth on Schedule 3.3, Seller has not received any notice from a governmental or regulatory authority within 3 years of the date hereof of any violation of any such Governmental Authorizations or statutes, laws, rules and regulations.</w:t>
      </w:r>
    </w:p>
    <w:p>
      <w:pPr>
        <w:pStyle w:val="Heading2"/>
        <w:ind w:hanging="0" w:start="0"/>
        <w:rPr>
          <w:i w:val="false"/>
          <w:i w:val="false"/>
          <w:vanish/>
          <w:color w:val="FF0000"/>
        </w:rPr>
      </w:pPr>
      <w:bookmarkStart w:id="33" w:name="__RefHeading___Toc487278859"/>
      <w:bookmarkEnd w:id="33"/>
      <w:r>
        <w:rPr/>
        <w:t>Authorization of Agreement; No Violation; No Consents</w:t>
      </w:r>
    </w:p>
    <w:p>
      <w:pPr>
        <w:pStyle w:val="BodyText"/>
        <w:rPr/>
      </w:pPr>
      <w:r>
        <w:rPr/>
        <w:t>.  Seller has full corporate power and authority to enter into, execute and deliver this Agreement and the other agreements and documents to be delivered by it pursuant to this Agreement, to carry out the transactions contemplated hereby and thereby on its part and perform its obligations hereunder and thereunder.  All corporate action required to be taken by Seller to authorize the execution, delivery and performance by Seller of this Agreement has been duly and validly taken on or prior to the date hereof. Except for the expiration or termination of any applicable waiting period under the HSR Act, compliance with all applicable securities laws, receipt of all consents listed on Schedule 2.13 or as otherwise disclosed in Schedule 2.13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Affiliates is or proposes to be engaged other than the business currently conducted by Company,  neither the execution or delivery of this Agreement by Seller nor the consummation of the transactions contemplated herein by Seller will conflict with or result in a breach, default or violation of (i) any of the terms, provisions or conditions of the Articles of Incorporation or bylaws of Seller or (ii) any material agreement, document, instrument, judgment, decree, order, governmental permit, certificate or license or any law, statute, rule or regulation to which Seller is a party or to which it is subject.  Except for the expiration or termination of any applicable waiting period under the HSR Act, compliance with all applicable securities laws, and provided that Seller makes no representation or warranty regarding any of the following that may result from the specific legal or regulatory status of Purchaser or its Affiliates or as a result of any other facts that specifically relate to the business or activities in which Purchaser or its Affiliate is or proposes to be engaged other than the business currently conducted by Company, and except as expressly contemplated by this Agreement or as set forth in Schedule 3.4, no consent, action, approval or authorization of, or registration, declaration or filing with any third party, governmental department, commission, agency or other instrumentality ("Seller Consents") is required to authorize, or is otherwise required in connection with, the execution and delivery by Seller of this Agreement or the performance of the terms thereof by Seller or the validity or enforceability thereof against Seller.  This Agreement has been duly executed and delivered by Seller.  This Agreement and each document delivered by Seller pursuant hereto constitutes, or will constitute upon delivery, the legal, valid and binding obligation of Seller (to the extent a party thereto) enforceable against Seller in accordance with its terms, subject to applicable bankruptcy, insolvency, reorganization, moratorium and other similar laws affecting creditors' rights generally and to the principles of equity (whether enforcement is sought in a proceeding in equity or at law).</w:t>
      </w:r>
    </w:p>
    <w:p>
      <w:pPr>
        <w:pStyle w:val="Heading2"/>
        <w:ind w:hanging="0" w:start="0"/>
        <w:rPr>
          <w:vanish/>
          <w:color w:val="FF0000"/>
        </w:rPr>
      </w:pPr>
      <w:bookmarkStart w:id="34" w:name="__RefHeading___Toc487278860"/>
      <w:bookmarkEnd w:id="34"/>
      <w:r>
        <w:rPr/>
        <w:t>Seller Taxes</w:t>
      </w:r>
    </w:p>
    <w:p>
      <w:pPr>
        <w:pStyle w:val="BodyText"/>
        <w:rPr/>
      </w:pPr>
      <w:r>
        <w:rPr/>
        <w:t xml:space="preserve">.  Seller's Affiliated Group has filed all Tax Returns that it was required to file for each taxable period during which Company was a member of the group, and has paid all Taxes shown thereon as owing. </w:t>
      </w:r>
    </w:p>
    <w:p>
      <w:pPr>
        <w:pStyle w:val="Heading2"/>
        <w:ind w:hanging="0" w:start="0"/>
        <w:rPr>
          <w:i w:val="false"/>
          <w:i w:val="false"/>
          <w:vanish/>
          <w:color w:val="FF0000"/>
        </w:rPr>
      </w:pPr>
      <w:bookmarkStart w:id="35" w:name="__RefHeading___Toc487278861"/>
      <w:bookmarkEnd w:id="35"/>
      <w:r>
        <w:rPr/>
        <w:t>No Adverse Change</w:t>
      </w:r>
    </w:p>
    <w:p>
      <w:pPr>
        <w:pStyle w:val="BodyText"/>
        <w:rPr/>
      </w:pPr>
      <w:r>
        <w:rPr/>
        <w:t>.  Since the date of the Letter of Intent, there has been no material adverse change in the financial condition of Seller.</w:t>
      </w:r>
    </w:p>
    <w:p>
      <w:pPr>
        <w:pStyle w:val="Heading1"/>
        <w:keepNext w:val="true"/>
        <w:keepLines/>
        <w:ind w:hanging="0" w:start="0"/>
        <w:rPr/>
      </w:pPr>
      <w:r>
        <w:rPr/>
        <w:br/>
        <w:br/>
      </w:r>
      <w:bookmarkStart w:id="36" w:name="__RefHeading___Toc487278862"/>
      <w:r>
        <w:rPr/>
        <w:t>REPRESENTATIONS AND WARRANTIES OF PURCHASER</w:t>
      </w:r>
      <w:bookmarkEnd w:id="36"/>
    </w:p>
    <w:p>
      <w:pPr>
        <w:pStyle w:val="BodyText"/>
        <w:keepNext w:val="true"/>
        <w:keepLines/>
        <w:rPr/>
      </w:pPr>
      <w:r>
        <w:rPr/>
        <w:t>Purchaser represents and warrants to Seller and Company as follows:</w:t>
      </w:r>
    </w:p>
    <w:p>
      <w:pPr>
        <w:pStyle w:val="Heading2"/>
        <w:ind w:hanging="0" w:start="0"/>
        <w:rPr>
          <w:i w:val="false"/>
          <w:i w:val="false"/>
          <w:vanish/>
          <w:color w:val="FF0000"/>
        </w:rPr>
      </w:pPr>
      <w:bookmarkStart w:id="37" w:name="__RefHeading___Toc487278863"/>
      <w:bookmarkEnd w:id="37"/>
      <w:r>
        <w:rPr/>
        <w:t>Organization and Qualification</w:t>
      </w:r>
    </w:p>
    <w:p>
      <w:pPr>
        <w:pStyle w:val="BodyText"/>
        <w:rPr/>
      </w:pPr>
      <w:r>
        <w:rPr/>
        <w:t>.  Purchaser is a corporation duly organized, validly existing and in good standing under the laws of the State of Delaware.</w:t>
      </w:r>
    </w:p>
    <w:p>
      <w:pPr>
        <w:pStyle w:val="Heading2"/>
        <w:ind w:hanging="0" w:start="0"/>
        <w:rPr>
          <w:i w:val="false"/>
          <w:i w:val="false"/>
          <w:vanish/>
          <w:color w:val="FF0000"/>
        </w:rPr>
      </w:pPr>
      <w:bookmarkStart w:id="38" w:name="__RefHeading___Toc487278864"/>
      <w:bookmarkEnd w:id="38"/>
      <w:r>
        <w:rPr/>
        <w:t>Authorization of Agreement; No Violation; No Consents</w:t>
      </w:r>
    </w:p>
    <w:p>
      <w:pPr>
        <w:pStyle w:val="BodyText"/>
        <w:rPr/>
      </w:pPr>
      <w:r>
        <w:rPr/>
        <w:t xml:space="preserve">.  Purchaser has full power and authority to enter into, execute and deliver this Agreement to carry out the transactions contemplated hereby on its part and perform its obligations hereunder.  All corporate action required to be taken by Purchaser to authorize the execution, delivery, and performance by Purchaser of this Agreement has been duly and validly taken on or prior to the date hereof.  Except as otherwise disclosed in Schedule 4.2, neither the execution or delivery by Purchaser of this Agreement nor the consummation of the transactions contemplated herein by Purchaser (a) will conflict with or result in a breach, default or violation of (i) any of the terms, provisions or conditions of the Certificate of Incorporation or bylaws of Purchaser or (ii) any material agreement, document, instrument, judgment, decree, order, governmental permit, certificate, license, law, statute, rule or regulation to which Purchaser is a party or to which it is subject or (b) will result in the creation of any lien, charge or other encumbrance on any property or assets of Purchaser.  Except as disclosed in Schedule 4.2, no consent, action, approval or authorization of, or registration, declaration or filing with, any third party, governmental department, commission, agency or other instrumentality ("Purchaser Consents") is required to authorize, or is otherwise required in connection with, the execution and delivery by Purchaser of this Agreement or the performance of the terms hereof by Purchaser or the validity or enforceability hereof or thereof against Purchaser. This Agreement has been duly executed and delivered by Purchaser.  This Agreement and each  document delivered by Purchaser pursuant hereto constitutes, or will constitute upon delivery, the legal, valid and binding obligations of Purchaser enforceable against Purchaser in accordance with their respective terms, subject to applicable bankruptcy, insolvency, reorganization, moratorium and other similar laws affecting creditors' rights generally and to the principles of equity (whether enforcement is sought in a proceeding in equity or at law). </w:t>
      </w:r>
    </w:p>
    <w:p>
      <w:pPr>
        <w:pStyle w:val="Heading2"/>
        <w:ind w:hanging="0" w:start="0"/>
        <w:rPr>
          <w:vanish/>
          <w:color w:val="FF0000"/>
        </w:rPr>
      </w:pPr>
      <w:bookmarkStart w:id="39" w:name="__RefHeading___Toc487278865"/>
      <w:bookmarkEnd w:id="39"/>
      <w:r>
        <w:rPr/>
        <w:t>Investment Purpose; Investment Company</w:t>
      </w:r>
    </w:p>
    <w:p>
      <w:pPr>
        <w:pStyle w:val="BodyText"/>
        <w:rPr/>
      </w:pPr>
      <w:r>
        <w:rPr/>
        <w:t>.  Purchaser is acquiring the Purchased Interests for investment for its own account and not with a view to the sale or distribution of any part thereof within the meaning of the Securities Act of 1933, as amended, and the rules and regulations of the SEC promulgated thereunder from time to time (the "Securities Act").  Purchaser (either alone or together with its advisors) has sufficient knowledge and experience in financial and business matters so as to be capable of evaluating the merits and risks of its investment in the Purchased Interests and is capable of bearing the economic risks of such investment.  Purchaser is an informed and sophisticated purchaser, and has engaged expert advisors, experienced in the evaluation and purchase of companies such as Company as contemplated hereunder.  Purchaser has undertaken such investigation and has been provided with and has evaluated such documents and information as it has deemed necessary to enable it to make an informed and intelligent decision with respect to the execution, delivery and performance of this Agreement.  Purchaser acknowledges that Seller and Company have given Purchaser access to the key employees, documents and facilities of Company.  Purchaser is not an "investment company" as defined in the Investment Company Act of 1940, as amended.</w:t>
      </w:r>
    </w:p>
    <w:p>
      <w:pPr>
        <w:pStyle w:val="Heading2"/>
        <w:ind w:hanging="0" w:start="0"/>
        <w:rPr>
          <w:vanish/>
          <w:color w:val="0000FF"/>
        </w:rPr>
      </w:pPr>
      <w:bookmarkStart w:id="40" w:name="__RefHeading___Toc487278866"/>
      <w:bookmarkEnd w:id="40"/>
      <w:r>
        <w:rPr/>
        <w:t>Operating and Maintenance Agreement</w:t>
      </w:r>
    </w:p>
    <w:p>
      <w:pPr>
        <w:pStyle w:val="BodyText"/>
        <w:rPr/>
      </w:pPr>
      <w:r>
        <w:rPr/>
        <w:t>.  [Purchaser has negotiated an Operating and Maintenance Agreement acceptable to it and the parties thereto are ready, willing and able to enter into an Operating and Maintenance Agreement, subject only to the occurrence of Closing under this Agreement.]</w:t>
      </w:r>
    </w:p>
    <w:p>
      <w:pPr>
        <w:pStyle w:val="Heading1"/>
        <w:keepNext w:val="true"/>
        <w:ind w:hanging="0" w:start="0"/>
        <w:rPr/>
      </w:pPr>
      <w:r>
        <w:rPr/>
        <w:br/>
        <w:br/>
      </w:r>
      <w:bookmarkStart w:id="41" w:name="__RefHeading___Toc487278867"/>
      <w:r>
        <w:rPr/>
        <w:t>COVENANTS OF SELLER AND COMPANY</w:t>
      </w:r>
      <w:bookmarkEnd w:id="41"/>
    </w:p>
    <w:p>
      <w:pPr>
        <w:pStyle w:val="BodyText"/>
        <w:rPr/>
      </w:pPr>
      <w:r>
        <w:rPr/>
        <w:t>Seller and Company further agree, jointly and severally, except as set forth in or contemplated by this Agreement or as otherwise approved by Purchaser in writing, that from the date hereof through the Closing Date, as to the following:</w:t>
      </w:r>
    </w:p>
    <w:p>
      <w:pPr>
        <w:pStyle w:val="Heading2"/>
        <w:ind w:hanging="0" w:start="0"/>
        <w:rPr>
          <w:vanish/>
          <w:color w:val="0000FF"/>
        </w:rPr>
      </w:pPr>
      <w:bookmarkStart w:id="42" w:name="__RefHeading___Toc487278868"/>
      <w:bookmarkEnd w:id="42"/>
      <w:r>
        <w:rPr/>
        <w:t>Conduct of Business Prior to the Closing Date</w:t>
      </w:r>
    </w:p>
    <w:p>
      <w:pPr>
        <w:pStyle w:val="BodyText"/>
        <w:rPr/>
      </w:pPr>
      <w:r>
        <w:rPr/>
        <w:t>.  Except as required by applicable legal requirements or as contemplated by Schedule 5.1 or in connection with the LLC Conversion, and except as consented to in writing by Purchaser:</w:t>
      </w:r>
    </w:p>
    <w:p>
      <w:pPr>
        <w:pStyle w:val="Heading3"/>
        <w:ind w:hanging="0" w:start="0"/>
        <w:rPr/>
      </w:pPr>
      <w:r>
        <w:rPr/>
        <w:t>The business of Company shall be operated only in the ordinary course of business, consistent with past practice and in a manner consistent with sound business practice; and use all commercially reasonable efforts to preserve intact the present organization of Company and the relationships of Company with other persons;</w:t>
      </w:r>
    </w:p>
    <w:p>
      <w:pPr>
        <w:pStyle w:val="Heading3"/>
        <w:ind w:hanging="0" w:start="0"/>
        <w:rPr/>
      </w:pPr>
      <w:r>
        <w:rPr/>
        <w:t>No change shall be made in the Articles of Incorporation or bylaws of Company;</w:t>
      </w:r>
    </w:p>
    <w:p>
      <w:pPr>
        <w:pStyle w:val="Heading3"/>
        <w:ind w:hanging="0" w:start="0"/>
        <w:rPr/>
      </w:pPr>
      <w:r>
        <w:rPr/>
        <w:t>No change shall be made in the number of shares of authorized or issued capital stock of Company; nor shall any option, warrant, call, right, commitment, conversion right, right of first refusal, or agreement of any character be granted or made by Company relating to the authorized or issued capital stock thereof, nor shall Company  issue, grant or sell any securities or obligations convertible into shares of the capital stock of Company; nor shall Company in any manner whatsoever transfer or issue any interest in Company to any Person (other than as may be required to effect the LLC Conversion); nor shall Company make any declaration, setting aside or payment of any dividend or distribution of assets of any kind in respect of its capital stock (other than cash dividends or distributions that are taken into account in computing the Working Capital as of the Closing Date), nor repurchase or agree to repurchase any share of such capital stock or any other security of Company described above;</w:t>
      </w:r>
    </w:p>
    <w:p>
      <w:pPr>
        <w:pStyle w:val="Heading3"/>
        <w:ind w:hanging="0" w:start="0"/>
        <w:rPr/>
      </w:pPr>
      <w:r>
        <w:rPr/>
        <w:t>Company shall duly comply in all material respects with all laws applicable to them and all laws applicable to it.;</w:t>
      </w:r>
    </w:p>
    <w:p>
      <w:pPr>
        <w:pStyle w:val="Heading3"/>
        <w:ind w:hanging="0" w:start="0"/>
        <w:rPr/>
      </w:pPr>
      <w:r>
        <w:rPr/>
        <w:t>Except in connection with the New Jersey Revenue Bonds or as fully reflected in the Financial Statements and except in the ordinary course of business, including ordinary course intercompany transactions of the type described on Schedule 5.1(p), Company shall not (i) incur any indebtedness (ii) enter into any agreement requiring the maintenance of a specified net worth; (iii) assume, guarantee, endorse or otherwise become liable or responsible (whether directly, contingently or otherwise) for the obligations of any other individual, firm or corporation, except in the ordinary course of the business; or (iv) make any loans, advances or capital contributions to, or investments in, any other individual, firm or corporation, except in connection with normal relocations or travel advances or other advances;</w:t>
      </w:r>
    </w:p>
    <w:p>
      <w:pPr>
        <w:pStyle w:val="Heading3"/>
        <w:ind w:hanging="0" w:start="0"/>
        <w:rPr/>
      </w:pPr>
      <w:r>
        <w:rPr/>
        <w:t>Prior to the Closing Date, Seller and Company shall (i) discharge or otherwise eliminate all intercompany indebtedness owed by Company to Seller and Affiliates thereof, and (ii) repay any indebtedness relating to third party financing of Company;</w:t>
      </w:r>
    </w:p>
    <w:p>
      <w:pPr>
        <w:pStyle w:val="Heading3"/>
        <w:ind w:hanging="0" w:start="0"/>
        <w:rPr/>
      </w:pPr>
      <w:r>
        <w:rPr/>
        <w:t>All presently budgeted capital and maintenance expenditures shall be made at the times budgeted as set forth in the budget attached as Schedule 5.1(g) unless changes are the result of third parties scheduling, availability of materials, man-power or other third party changes.  Company shall not make any single capital expenditure, capital addition or capital improvement in an amount exceeding the budget set forth on Schedule 5.1(g) without Purchaser's written consent.  If Purchaser does consent then the cost of such additional expenditures shall be for the Purchaser's account, and the Purchase Price shall be adjusted upward dollar-for-dollar in the amount of any such additional expenditures and paid in the same manner as the Purchase Price pursuant to Section 1.1 of this Agreement;</w:t>
      </w:r>
    </w:p>
    <w:p>
      <w:pPr>
        <w:pStyle w:val="Heading3"/>
        <w:ind w:hanging="0" w:start="0"/>
        <w:rPr/>
      </w:pPr>
      <w:r>
        <w:rPr/>
        <w:t>Neither Seller nor Company shall, except as may be required by any existing employment agreement or collective bargaining agreement or as may otherwise be required by law (i) except in the ordinary course and consistent with past practices as to frequency, timing and amount, but in no event to exceed [5%] of the prior year's compensation, increase the compensation payable or to become payable by Company to any officer or employee thereof, or increase any bonus, insurance, pension or other employee benefit plan, or increase any payment plan, payment or arrangement made to, for or with any employees or (ii) commit itself (A) to any additional pension, profit-sharing, bonus, incentive, deferred compensation, stock purchase, stock option, stock appreciation right, group insurance, severance pay, retirement or other employee benefit plan, agreement or arrangement, or to any additional employment or material consulting agreement with or for the benefit of any person employed by Company or (B) to amend any of such plans or any of such agreements in existence on the date hereof;</w:t>
      </w:r>
    </w:p>
    <w:p>
      <w:pPr>
        <w:pStyle w:val="Heading3"/>
        <w:ind w:hanging="0" w:start="0"/>
        <w:rPr/>
      </w:pPr>
      <w:r>
        <w:rPr/>
        <w:t>Company shall not except in the ordinary course of business, sell, transfer, mortgage, or otherwise dispose of, or encumber, or agree to sell, transfer, mortgage or otherwise dispose of or encumber, any properties, real, personal or mixed, tangible or intangible, which have a value on the books of Company, either individually or in the aggregate, in excess of $25,000;</w:t>
      </w:r>
    </w:p>
    <w:p>
      <w:pPr>
        <w:pStyle w:val="Heading3"/>
        <w:ind w:hanging="0" w:start="0"/>
        <w:rPr/>
      </w:pPr>
      <w:r>
        <w:rPr/>
        <w:t>Company shall not enter into any other agreement, commitment or contract, except agreements, commitments or contracts in the ordinary course of business and consistent with past practice;</w:t>
      </w:r>
    </w:p>
    <w:p>
      <w:pPr>
        <w:pStyle w:val="Heading3"/>
        <w:ind w:hanging="0" w:start="0"/>
        <w:rPr/>
      </w:pPr>
      <w:r>
        <w:rPr/>
        <w:t>None of Company or the officers or directors of Company may approve, recommend or undertake, with Company as the surviving, disappearing or acquiring corporation, any merger, consolidation, acquisition of all or substantially all of the assets, tender offer or other takeover transaction or enter into any negotiations with, or furnish or cause to be furnished, any information concerning its business, properties or assets to, any person (other than Purchaser) that Company or any of such officers or directors knows to be interested in any such transaction;</w:t>
      </w:r>
    </w:p>
    <w:p>
      <w:pPr>
        <w:pStyle w:val="Heading3"/>
        <w:ind w:hanging="0" w:start="0"/>
        <w:rPr/>
      </w:pPr>
      <w:r>
        <w:rPr/>
        <w:t>Company shall not take, or knowingly permit to be taken, any action or do, or knowingly permit to be done, anything in the conduct of the business of Company that would be contrary to or in breach of any of the terms or provisions of this Agreement or that would cause any of the representations contained herein to be or to become untrue in any material respect;</w:t>
      </w:r>
    </w:p>
    <w:p>
      <w:pPr>
        <w:pStyle w:val="Heading3"/>
        <w:ind w:hanging="0" w:start="0"/>
        <w:rPr/>
      </w:pPr>
      <w:r>
        <w:rPr/>
        <w:t>Company shall not settle any claim, action or proceeding existing on or commenced after the date hereof, which settlement involves a payment in excess of $25,000 (except that Seller and Company may settle any Tax claims in respect of any Taxes for which Seller is responsible under this Agreement and may settle any other claims in respect of any other matters for which Seller is responsible under this Agreement);</w:t>
      </w:r>
    </w:p>
    <w:p>
      <w:pPr>
        <w:pStyle w:val="Heading3"/>
        <w:ind w:hanging="0" w:start="0"/>
        <w:rPr/>
      </w:pPr>
      <w:r>
        <w:rPr/>
        <w:t>Company shall not make any loan or advance to any officer, director, employee, stockholder, consultant, representative, salesman or agent of Company or make any other loan or advance otherwise than in the ordinary or usual course of business;</w:t>
      </w:r>
    </w:p>
    <w:p>
      <w:pPr>
        <w:pStyle w:val="Heading3"/>
        <w:ind w:hanging="0" w:start="0"/>
        <w:rPr/>
      </w:pPr>
      <w:r>
        <w:rPr/>
        <w:t>Company shall not pay or commit to pay any commission or other amount to any director or officer of Company or any employee, consultant, representative, salesman or agent of Company or any relative or Affiliate of any of them except in accordance with collective bargaining agreements, employment contracts or arrangements entered into in the ordinary or usual course of business;</w:t>
      </w:r>
    </w:p>
    <w:p>
      <w:pPr>
        <w:pStyle w:val="Heading3"/>
        <w:ind w:hanging="0" w:start="0"/>
        <w:rPr/>
      </w:pPr>
      <w:r>
        <w:rPr/>
        <w:t xml:space="preserve">Except as set forth on Schedule 5.1(p), Company shall not enter into any transaction with Seller, any of the persons set forth on Schedule 2.18 or any Affiliate of Seller (other than Company known to either Seller or Company, which transaction involves the receipt by or payment by Company of more than $25,000 in cash, property or services or the increase in the debt or other liabilities of Company, except (A) transactions in the ordinary course of business and not involving receipts, payments or increases of $25,000 or more and (B) in the case of persons set forth on Schedule 2.18, in the ordinary course of their employment; and </w:t>
      </w:r>
    </w:p>
    <w:p>
      <w:pPr>
        <w:pStyle w:val="Heading3"/>
        <w:ind w:hanging="0" w:start="0"/>
        <w:rPr/>
      </w:pPr>
      <w:r>
        <w:rPr/>
        <w:t>Company shall not amend any mortgage or deed of trust (or the indebtedness secured thereby) affecting any real property.</w:t>
      </w:r>
    </w:p>
    <w:p>
      <w:pPr>
        <w:pStyle w:val="Heading2"/>
        <w:ind w:hanging="0" w:start="0"/>
        <w:rPr/>
      </w:pPr>
      <w:bookmarkStart w:id="43" w:name="__RefHeading___Toc487278869"/>
      <w:bookmarkEnd w:id="43"/>
      <w:r>
        <w:rPr/>
        <w:t>Obtaining Consents.</w:t>
      </w:r>
    </w:p>
    <w:p>
      <w:pPr>
        <w:pStyle w:val="Heading3"/>
        <w:ind w:hanging="0" w:start="0"/>
        <w:rPr/>
      </w:pPr>
      <w:r>
        <w:rPr/>
        <w:t>[Subject to Section 1.4,] Company and Seller will use all reasonable commercial efforts to obtain all Company Consents and Seller Consents and make all filings, including without limitation any Environmental Approvals and any filings required under the Hart-Scott-Rodino Antitrust Improvements Act of 1976, as amended (the "HSR Act"), which are or may become necessary for the consummation of the transactions contemplated by this Agreement and shall use reasonable commercial efforts to assist Purchaser in obtaining the Purchaser Consents and making filings which are or may become necessary for the consummation of the transactions contemplated by this Agreement including the LLC Conversion; Seller shall make all filings required under the HSR Act within ______ days of the date hereof [and Seller shall pay one-half of any filing fee];</w:t>
      </w:r>
    </w:p>
    <w:p>
      <w:pPr>
        <w:pStyle w:val="Heading3"/>
        <w:ind w:hanging="0" w:start="0"/>
        <w:rPr/>
      </w:pPr>
      <w:r>
        <w:rPr/>
        <w:t>As Company has determined that the New Jersey Industrial Site Recovery Act ("ISRA"), N.J. Stat. Ann. §131K-6 et seq. does apply to the transactions contemplated by this Agreement, prior to the Closing, Seller shall either (1) execute a Remediation Agreement with the NJDEP, which agreement shall be implemented by Seller at Seller’s sole cost and expense or (2) receive from NJDEP a Negative Declaration approval or a No-Further Action Letter subject to the Site Access and Remediation Side Agreement, as such terms are defined under ISRA, at Seller’s sole cost and expense.  In addition to Seller’s execution of a Remediation Agreement, Seller and Purchaser shall enter into a Site Access and Remediation Side Agreement at Closing substantially in the form of Exhibit A hereto; and</w:t>
      </w:r>
    </w:p>
    <w:p>
      <w:pPr>
        <w:pStyle w:val="Heading3"/>
        <w:ind w:hanging="0" w:start="0"/>
        <w:rPr/>
      </w:pPr>
      <w:r>
        <w:rPr/>
        <w:t xml:space="preserve">Notwithstanding the foregoing or any other provision of this Agreement to the contrary, except with respect to compliance with ISRA, which is governed by the provisions of Section 5.2(b), neither Seller nor Company shall have any obligation to take any extraordinary measures to obtain any such consents, transfers, authorizations or approvals (including, without limitation, the initiation of litigation).  </w:t>
      </w:r>
    </w:p>
    <w:p>
      <w:pPr>
        <w:pStyle w:val="Heading2"/>
        <w:ind w:hanging="0" w:start="0"/>
        <w:rPr>
          <w:i w:val="false"/>
          <w:i w:val="false"/>
          <w:vanish/>
          <w:color w:val="FF0000"/>
        </w:rPr>
      </w:pPr>
      <w:bookmarkStart w:id="44" w:name="__RefHeading___Toc487278870"/>
      <w:bookmarkEnd w:id="44"/>
      <w:r>
        <w:rPr/>
        <w:t>Access by Purchaser to Company</w:t>
      </w:r>
    </w:p>
    <w:p>
      <w:pPr>
        <w:pStyle w:val="BodyText"/>
        <w:rPr/>
      </w:pPr>
      <w:r>
        <w:rPr/>
        <w:t>.  During the period from the date of this Agreement to the Closing Date or the prior termination of this Agreement pursuant to Article X, Purchaser and its employees, representatives and agents shall be given access to the facilities, properties, personnel, books and records of Company for the purpose of conducting an investigation of its financial condition, corporate status, business, properties (including surface and subsurface conditions), environmental records and performance and assets; provided, however, that Purchaser provides reasonable advance notice prior to any visits and such investigation shall be conducted in a manner that does not interfere with normal operations of Company.  Company will cause its employees and officers, and will use reasonable commercial efforts to cause its counsel, accountants and other representatives of Company, to be reasonably available to Purchaser and its employees and agents at all reasonable times for such purposes.</w:t>
      </w:r>
    </w:p>
    <w:p>
      <w:pPr>
        <w:pStyle w:val="Heading2"/>
        <w:ind w:hanging="0" w:start="0"/>
        <w:rPr>
          <w:i w:val="false"/>
          <w:i w:val="false"/>
          <w:vanish/>
          <w:color w:val="FF0000"/>
        </w:rPr>
      </w:pPr>
      <w:bookmarkStart w:id="45" w:name="__RefHeading___Toc487278871"/>
      <w:bookmarkEnd w:id="45"/>
      <w:r>
        <w:rPr/>
        <w:t>Satisfaction of Closing Conditions</w:t>
      </w:r>
    </w:p>
    <w:p>
      <w:pPr>
        <w:pStyle w:val="BodyText"/>
        <w:rPr/>
      </w:pPr>
      <w:r>
        <w:rPr/>
        <w:t>.  Company and Seller shall use reasonable commercial efforts to satisfy the conditions to Closing set forth in Section 8.1 relating to Seller or Company in an expeditious manner.</w:t>
      </w:r>
    </w:p>
    <w:p>
      <w:pPr>
        <w:pStyle w:val="Heading2"/>
        <w:ind w:hanging="0" w:start="0"/>
        <w:rPr>
          <w:i w:val="false"/>
          <w:i w:val="false"/>
          <w:vanish/>
          <w:color w:val="FF0000"/>
        </w:rPr>
      </w:pPr>
      <w:bookmarkStart w:id="46" w:name="__RefHeading___Toc487278872"/>
      <w:bookmarkEnd w:id="46"/>
      <w:r>
        <w:rPr/>
        <w:t>Notification</w:t>
      </w:r>
    </w:p>
    <w:p>
      <w:pPr>
        <w:pStyle w:val="BodyText"/>
        <w:rPr/>
      </w:pPr>
      <w:r>
        <w:rPr/>
        <w:t>.  From and after the date of this Agreement, Seller shall promptly notify Purchaser in writing of the occurrence of any matter or event which would constitute a material breach of any representation, warranty or covenant of Seller or Company contained herein.</w:t>
      </w:r>
    </w:p>
    <w:p>
      <w:pPr>
        <w:pStyle w:val="Heading2"/>
        <w:ind w:hanging="0" w:start="0"/>
        <w:rPr>
          <w:i w:val="false"/>
          <w:i w:val="false"/>
          <w:vanish/>
          <w:color w:val="FF0000"/>
        </w:rPr>
      </w:pPr>
      <w:bookmarkStart w:id="47" w:name="__RefHeading___Toc487278873"/>
      <w:bookmarkEnd w:id="47"/>
      <w:r>
        <w:rPr/>
        <w:t>Delivery of Documents at Closing</w:t>
      </w:r>
    </w:p>
    <w:p>
      <w:pPr>
        <w:pStyle w:val="BodyText"/>
        <w:rPr/>
      </w:pPr>
      <w:r>
        <w:rPr/>
        <w:t>.  At the Closing, subject to satisfaction of the conditions set forth in Section 8.2, Seller and Company shall execute and deliver to Purchaser all documents required to be delivered by them pursuant to Section 8.1.</w:t>
      </w:r>
    </w:p>
    <w:p>
      <w:pPr>
        <w:pStyle w:val="Heading2"/>
        <w:ind w:hanging="0" w:start="0"/>
        <w:rPr>
          <w:i w:val="false"/>
          <w:i w:val="false"/>
          <w:vanish/>
          <w:color w:val="FF0000"/>
        </w:rPr>
      </w:pPr>
      <w:bookmarkStart w:id="48" w:name="__RefHeading___Toc487278874"/>
      <w:bookmarkEnd w:id="48"/>
      <w:r>
        <w:rPr/>
        <w:t>No Solicitation</w:t>
      </w:r>
    </w:p>
    <w:p>
      <w:pPr>
        <w:pStyle w:val="BodyText"/>
        <w:rPr/>
      </w:pPr>
      <w:r>
        <w:rPr/>
        <w:t>.  From and after the date of this Agreement, Seller and Company shall not directly or indirectly, through any officer, director, employee, representative or agent of Company, (i) solicit or knowingly encourage, including by way of furnishing information, or take any other action to knowingly facilitate the initiation of any inquiries or proposals regarding any Alternative Transaction, (ii) negotiate or otherwise engage in discussions with any Person (other than Purchaser or its directors, officers, employees, agents and representatives) with respect to any Alternative Transaction, (iii) enter into any agreement, arrangement or understanding requiring it to terminate or fail to consummate the transactions contemplated by this Agreement or (iv) agree to endorse or endorse any Alternative Transaction.</w:t>
      </w:r>
    </w:p>
    <w:p>
      <w:pPr>
        <w:pStyle w:val="Heading2"/>
        <w:ind w:hanging="0" w:start="0"/>
        <w:rPr>
          <w:vanish/>
          <w:color w:val="FF0000"/>
        </w:rPr>
      </w:pPr>
      <w:bookmarkStart w:id="49" w:name="__RefHeading___Toc487278875"/>
      <w:bookmarkEnd w:id="49"/>
      <w:r>
        <w:rPr/>
        <w:t>Insurance</w:t>
      </w:r>
    </w:p>
    <w:p>
      <w:pPr>
        <w:pStyle w:val="BodyText"/>
        <w:rPr/>
      </w:pPr>
      <w:r>
        <w:rPr/>
        <w:t>.  With respect to any insurance policy listed on Schedule 2.21 on which Seller is a loss payee or an insured party and which is an occurrence-based policy, Seller shall assign to Purchaser at or prior to the Closing all rights to receive any proceeds due to Seller or Company under such policy relating to Company that relate to claims for losses (i) occurring and reported prior to the Closing for which insurance coverage under an occurrence-based policy or policies is available, and (ii) occurring but not reported prior to the Closing for which insurance coverage under an occurrence-based policy or polices is available and (iii) with respect to both clauses (i) and (ii) above, in excess of Seller's captive insurance policy coverage as set forth in Schedule 2.21.  With respect to any insurance policy listed on Schedule 2.21 on which Seller or Company is a loss payee or an insured party and which is a claims-made policy, Seller shall assign to Purchaser the right to proceeds due to Seller or Company that relate to claims for losses of Company that are reported prior to Closing and for which such proceeds are payable after the Closing.  Seller shall cooperate with Purchaser to cause its insurers to add Purchaser as an additional insured with respect to Company and their respective assets from and after the Closing in accordance with the foregoing provisions of this Section 5.8.  Purchaser acknowledges and agrees that any insurance proceeds received by Purchaser in accordance with this Section 5.8 shall be credited against and deducted from any amounts otherwise due to Purchaser in accordance with Seller's indemnification obligations under this Agreement.</w:t>
      </w:r>
    </w:p>
    <w:p>
      <w:pPr>
        <w:pStyle w:val="Heading2"/>
        <w:ind w:hanging="0" w:start="0"/>
        <w:rPr>
          <w:vanish/>
          <w:color w:val="FF0000"/>
        </w:rPr>
      </w:pPr>
      <w:bookmarkStart w:id="50" w:name="__RefHeading___Toc487278876"/>
      <w:bookmarkEnd w:id="50"/>
      <w:r>
        <w:rPr/>
        <w:t>Employee Benefits</w:t>
      </w:r>
    </w:p>
    <w:p>
      <w:pPr>
        <w:pStyle w:val="BodyText"/>
        <w:rPr/>
      </w:pPr>
      <w:r>
        <w:rPr/>
        <w:t>.  For purposes of this Section 5.9, the term "Company Employee" shall refer to any individual who was employed by Company prior to the Closing Date and who continues his or her employment with Company following the Closing Date.  With respect to the Benefit Programs and Agreements and the Plans (collectively, the "Seller Plans"), Seller covenants and agrees that (i) the participation of Company Employees in all Seller Plans shall terminate as of the Closing Date (except for Company Plans or as otherwise provided in Section 5.9(iii)) and Seller shall retain all responsibilities, rights, liabilities and obligations with respect to the Seller Plans including specifically, but not by way of limitation, all liabilities relating to or arising from acts or omissions in the administration and operation of the Seller Plans except with respect to liabilities (A) under or with respect to Company Plans arising from events after the Closing Date,  and (B) which are reflected in the Statement of Net Working Capital and taken into account in computing any adjustment to the Purchase Price pursuant to Section 1.3(b), (ii) the Seller Plans shall be fully responsible for benefits earned, accrued or incurred thereunder including specifically but not by way of limitation the Seller Plans benefits resulting from contributions made, expenses incurred and events occurring on or prior to the Closing Date (whether or not submitted for payment prior to the Closing Date) and (iii) Seller shall be fully responsible for all health continuation obligations pursuant to Code Section 4980B for current or former employees of Company and their dependents with respect to which the initial "qualifying event" (within the meaning of Code Section 4980(f)(3)) occurs on, or prior to, the Closing Date.</w:t>
      </w:r>
    </w:p>
    <w:p>
      <w:pPr>
        <w:pStyle w:val="Heading2"/>
        <w:ind w:hanging="0" w:start="0"/>
        <w:rPr/>
      </w:pPr>
      <w:bookmarkStart w:id="51" w:name="__RefHeading___Toc487278877"/>
      <w:bookmarkEnd w:id="51"/>
      <w:r>
        <w:rPr/>
        <w:t>New Jersey Revenue Bonds.</w:t>
      </w:r>
    </w:p>
    <w:p>
      <w:pPr>
        <w:pStyle w:val="Heading3"/>
        <w:ind w:hanging="0" w:start="0"/>
        <w:rPr/>
      </w:pPr>
      <w:r>
        <w:rPr/>
        <w:t>Reference is made to the $20,000,000 Solid Waste Disposal Facility Revenue Bonds (Garden State Paper Company, Inc. Project) Series 1992 (the "New Jersey Revenue Bonds" or "Bonds") issued on or about May 19, 1992 by the New Jersey Economic Development Authority (the "NJEDA") pursuant to an Indenture of Trust dated as of April 1, 1992 (the "Indenture") between NJEDA and the Trustee thereto.  In connection with the Indenture, (i) Company entered into a Loan Agreement with NJEDA dated as of April 1, 1992 (the "Loan Agreement"); (ii) Company entered into a Letter of Credit and Reimbursement Agreement dated as of April 1, 1992 (the "L/C Agreement") with the Toronto-Dominion Bank; (iii) Seller delivered a Guaranty Agreement dated as of April 1, 1992 guaranteeing the prompt payment of all of the Company's obligations under the L/C Agreement (the "L/C Guaranty"); (iv) Seller delivered a Guaranty dated as of May 19, 1992 in favor of the Trustee and the NJEDA, guaranteeing the full payment of all of the Company’s obligations in respect of the Bonds (the "Bond Guaranty"); (v) Company delivered a Tax Regulatory Agreement, dated April 1, 1992 (the "Tax Regulatory Agreement"), to the NJEDA, Goldman, Sachs &amp; Co., and bond counsel; and (vi) Company and Seller entered into certain ancillary documents relating to the Bonds that have been made available to Purchaser.</w:t>
      </w:r>
    </w:p>
    <w:p>
      <w:pPr>
        <w:pStyle w:val="Normal"/>
        <w:tabs>
          <w:tab w:val="clear" w:pos="720"/>
          <w:tab w:val="left" w:pos="990" w:leader="none"/>
        </w:tabs>
        <w:spacing w:before="0" w:after="240"/>
        <w:ind w:firstLine="1440" w:end="0"/>
        <w:jc w:val="both"/>
        <w:rPr/>
      </w:pPr>
      <w:r>
        <w:rPr/>
        <w:t>(b)</w:t>
        <w:tab/>
        <w:t>Seller and Company, as the case may be, shall deliver or cause to be delivered at the Closing the following:  (i) the opinion of St. John &amp; Wayne, Newark, New Jersey, as to the defeasance of the New Jersey Revenue Bonds, dated the Closing Date and addressed to the NJEDA, Purchaser and the Trustee; (ii) a certification of _________, independent certified public accountants, dated the Closing Date, as to the mathematical accuracy and the sufficiency of funds on deposit with the Trustee pursuant to a defeasance escrow agreement (the "Escrow Agreement") for the payment of the principal and redemption premium of, and interest on, the New Jersey Revenue Bonds; (iii) a certificate of the Trustee evidencing that it has cancelled and discharged the Lien of the Indenture; (iv) an executed copy of the Escrow Agreement; (v) a certificate of Company certifying that Company has complied with the provisions of the Tax Regulatory Agreement and the tax covenants set forth in the Loan Agreement; (vi) written evidence (A) that the Letter of Credit (as defined in the Indenture) for the New Jersey Revenue Bonds has been released and has been cancelled by The Toronto-Dominion Bank, (B) that the Seller's and Company's respective duties and obligations under the L/C Agreement, the L/C Guaranty, the Bond Guaranty and the other Bank Security Documents (as defined in the L/C Agreement) have been satisfied and discharged in full and that the L/C Agreement, the L/C Guaranty, the Bond Guaranty and the other Bank Security Documents have been terminated and no longer in full force and effect; (C) that, as of the Closing Date, there are no liens of The Toronto-Dominion Bank on any property or assets of the Company (including the results of a search for tax, lien and judgment filings in the records of _________________ County and the State of New Jersey) and (D) all  notices, releases, UCC-3 financing statement filings (if any), consents, legal opinions and other instruments associated with this Section 5.10(b); and (vii) an executed copy of the "Change of Ownership Form" required under the Loan Agreement.</w:t>
      </w:r>
    </w:p>
    <w:p>
      <w:pPr>
        <w:pStyle w:val="Normal"/>
        <w:tabs>
          <w:tab w:val="clear" w:pos="720"/>
          <w:tab w:val="left" w:pos="990" w:leader="none"/>
        </w:tabs>
        <w:spacing w:before="0" w:after="240"/>
        <w:ind w:firstLine="1440" w:end="0"/>
        <w:jc w:val="both"/>
        <w:rPr/>
      </w:pPr>
      <w:r>
        <w:rPr/>
        <w:t>(c)</w:t>
        <w:tab/>
        <w:t>With respect to the undertakings set forth in Section 5.10(b) hereof, Seller and Company shall coordinate with Purchaser, its agents and attorneys as Seller and Company complete such undertakings.</w:t>
      </w:r>
    </w:p>
    <w:p>
      <w:pPr>
        <w:pStyle w:val="Normal"/>
        <w:tabs>
          <w:tab w:val="clear" w:pos="720"/>
          <w:tab w:val="left" w:pos="990" w:leader="none"/>
        </w:tabs>
        <w:spacing w:before="0" w:after="240"/>
        <w:ind w:firstLine="1440" w:end="0"/>
        <w:jc w:val="both"/>
        <w:rPr/>
      </w:pPr>
      <w:r>
        <w:rPr/>
      </w:r>
    </w:p>
    <w:p>
      <w:pPr>
        <w:pStyle w:val="Heading1"/>
        <w:keepNext w:val="true"/>
        <w:keepLines/>
        <w:ind w:hanging="0" w:start="0"/>
        <w:rPr/>
      </w:pPr>
      <w:r>
        <w:rPr/>
        <w:br/>
        <w:br/>
      </w:r>
      <w:bookmarkStart w:id="52" w:name="__RefHeading___Toc487278878"/>
      <w:r>
        <w:rPr/>
        <w:t>COVENANTS OF PURCHASER</w:t>
      </w:r>
      <w:bookmarkEnd w:id="52"/>
    </w:p>
    <w:p>
      <w:pPr>
        <w:pStyle w:val="BodyText"/>
        <w:rPr/>
      </w:pPr>
      <w:r>
        <w:rPr/>
        <w:t>Purchaser further agrees, except as set forth in or contemplated by this Agreement or as otherwise approved by Seller in writing, as follows:</w:t>
      </w:r>
    </w:p>
    <w:p>
      <w:pPr>
        <w:pStyle w:val="Heading2"/>
        <w:ind w:hanging="0" w:start="0"/>
        <w:rPr>
          <w:i w:val="false"/>
          <w:i w:val="false"/>
          <w:vanish/>
          <w:color w:val="FF0000"/>
        </w:rPr>
      </w:pPr>
      <w:bookmarkStart w:id="53" w:name="__RefHeading___Toc487278879"/>
      <w:bookmarkEnd w:id="53"/>
      <w:r>
        <w:rPr/>
        <w:t>Obtaining Consents</w:t>
      </w:r>
    </w:p>
    <w:p>
      <w:pPr>
        <w:pStyle w:val="BodyText"/>
        <w:rPr/>
      </w:pPr>
      <w:r>
        <w:rPr/>
        <w:t>.  Purchaser will use reasonable commercial efforts to obtain all Purchaser Consents and make all filings, including any filings required under the HSR Act which are or may become necessary for the consummation of the transactions contemplated by this Agreement, and shall use reasonable commercial efforts to assist each of Seller and Company in obtaining Company Consents and Seller Consents and all other consents, resignations, authorizations and approvals and making the filings which are or may become necessary for the consummation of the transactions contemplated by this Agreement.  Purchaser shall make all filings required under the HSR Act within ______ day of the date hereof [and pay half of the HSR filing fee].  Consistent with the Site Access and Remediation Side Agreement and to the extent expressly required by ISRA, Purchaser shall execute and deliver to the NJDEP, or in connection with the transactions contemplated by this Agreement, the certification to NJDEP that is required to be executed by Purchaser in connection with the Remediation Agreement application.</w:t>
      </w:r>
    </w:p>
    <w:p>
      <w:pPr>
        <w:pStyle w:val="Heading2"/>
        <w:ind w:hanging="0" w:start="0"/>
        <w:rPr>
          <w:i w:val="false"/>
          <w:i w:val="false"/>
          <w:vanish/>
          <w:color w:val="FF0000"/>
        </w:rPr>
      </w:pPr>
      <w:bookmarkStart w:id="54" w:name="__RefHeading___Toc487278880"/>
      <w:bookmarkEnd w:id="54"/>
      <w:r>
        <w:rPr/>
        <w:t>Satisfaction of Closing Conditions</w:t>
      </w:r>
    </w:p>
    <w:p>
      <w:pPr>
        <w:pStyle w:val="BodyText"/>
        <w:rPr/>
      </w:pPr>
      <w:r>
        <w:rPr/>
        <w:t>.  Purchaser shall use reasonable commercial efforts to satisfy the conditions to Closing set forth in Section 8.2 relating to Purchaser in an expeditious manner.</w:t>
      </w:r>
    </w:p>
    <w:p>
      <w:pPr>
        <w:pStyle w:val="Heading2"/>
        <w:ind w:hanging="0" w:start="0"/>
        <w:rPr>
          <w:vanish/>
          <w:color w:val="FF0000"/>
        </w:rPr>
      </w:pPr>
      <w:bookmarkStart w:id="55" w:name="__RefHeading___Toc487278881"/>
      <w:bookmarkEnd w:id="55"/>
      <w:r>
        <w:rPr/>
        <w:t>Delivery of Documents at Closing</w:t>
      </w:r>
    </w:p>
    <w:p>
      <w:pPr>
        <w:pStyle w:val="BodyText"/>
        <w:rPr/>
      </w:pPr>
      <w:r>
        <w:rPr/>
        <w:t>.  At the Closing, subject to satisfaction of the conditions set forth in Section 8.1 Purchaser shall execute and deliver to Seller the documents contemplated to be delivered by it pursuant to Section 8.2.</w:t>
      </w:r>
    </w:p>
    <w:p>
      <w:pPr>
        <w:pStyle w:val="Heading2"/>
        <w:ind w:hanging="0" w:start="0"/>
        <w:rPr>
          <w:vanish/>
          <w:color w:val="FF0000"/>
        </w:rPr>
      </w:pPr>
      <w:bookmarkStart w:id="56" w:name="__RefHeading___Toc487278882"/>
      <w:bookmarkEnd w:id="56"/>
      <w:r>
        <w:rPr/>
        <w:t>Employees</w:t>
      </w:r>
    </w:p>
    <w:p>
      <w:pPr>
        <w:pStyle w:val="BodyText"/>
        <w:rPr/>
      </w:pPr>
      <w:r>
        <w:rPr>
          <w:i/>
        </w:rPr>
        <w:t>.</w:t>
      </w:r>
      <w:r>
        <w:rPr/>
        <w:t xml:space="preserve">  Schedule 6.4 will be delivered to Seller within ____ days from the date hereof and will list all employees of Company whom Purchaser does not intend to continue in the employ of Company, Purchaser or its designee after Closing.  Only Company employees who are not members of the bargaining unit may be listed on Schedule 6.4.  Upon written notice from Purchaser, at least ____ days prior to the Closing Date, Purchaser shall cause Company to terminate the employment of all employees of Company listed on Schedule 6.4.  Seller shall be responsible for any severance obligations with respect to such terminated employees and shall indemnify and hold harmless Purchaser therefrom.  Seller shall not offer to retain or employ any of Company's non-bargaining unit employees who are not listed on Schedule 6.4 [prior to and for 3 years following the Closing Date].  Purchaser shall retain, and shall indemnify and hold harmless Seller and Company from, any responsibilities, rights, liabilities and obligations (i) under the Worker Adjustment and Retraining Notification Act ("WARN") related to or arising out of the termination of the employment of the employees listed on Schedule 6.4[, (ii) related to or arising out of Purchaser’s selection of employees for termination pursuant to Section 6.4 (such as discrimination or similar claims) and (iii)] related to or arising out of any employment actions occurring on or after the Closing Date; provided any such Claim is not the result in whole or in part of a breach by Seller of its obligations under this Agreement.</w:t>
      </w:r>
    </w:p>
    <w:p>
      <w:pPr>
        <w:pStyle w:val="Heading2"/>
        <w:ind w:hanging="0" w:start="0"/>
        <w:rPr>
          <w:vanish/>
          <w:color w:val="FF0000"/>
        </w:rPr>
      </w:pPr>
      <w:bookmarkStart w:id="57" w:name="__RefHeading___Toc487278883"/>
      <w:bookmarkEnd w:id="57"/>
      <w:r>
        <w:rPr/>
        <w:t>Notification</w:t>
      </w:r>
    </w:p>
    <w:p>
      <w:pPr>
        <w:pStyle w:val="BodyText"/>
        <w:rPr/>
      </w:pPr>
      <w:r>
        <w:rPr>
          <w:i/>
        </w:rPr>
        <w:t>.</w:t>
      </w:r>
      <w:r>
        <w:rPr/>
        <w:t xml:space="preserve">  From and after the date of this Agreement, Purchaser shall promptly notify Seller in writing of the occurrence of any matter or event which would constitute a material breach of any representation, warranty or covenant of Purchaser contained herein.</w:t>
      </w:r>
    </w:p>
    <w:p>
      <w:pPr>
        <w:pStyle w:val="Heading2"/>
        <w:ind w:hanging="0" w:start="0"/>
        <w:rPr>
          <w:vanish/>
          <w:color w:val="FF0000"/>
        </w:rPr>
      </w:pPr>
      <w:bookmarkStart w:id="58" w:name="__RefHeading___Toc487278884"/>
      <w:bookmarkEnd w:id="58"/>
      <w:r>
        <w:rPr/>
        <w:t>Certain Company Intellectual Property Rights</w:t>
      </w:r>
    </w:p>
    <w:p>
      <w:pPr>
        <w:pStyle w:val="BodyText"/>
        <w:rPr/>
      </w:pPr>
      <w:r>
        <w:rPr>
          <w:i/>
        </w:rPr>
        <w:t>.</w:t>
      </w:r>
      <w:r>
        <w:rPr/>
        <w:t xml:space="preserve">  Purchaser acknowledges and agrees that after the Closing Seller shall continue to be entitled to all royalty and other payments due to Seller pursuant to that certain Amended and Restated License Agreement dated as of November 1, 1987, as amended, among Seller and Company, as licensors, and SP Newsprint Co. (formerly Southeast Paper Manufacturing Co.), as licensee, that neither Purchaser nor Company shall have any rights or claims to such payments, that Purchaser will cause Company to continue to perform its obligations under the above-referenced License Agreement in accordance with its terms, and that Company and Purchaser will not take any action that would interfere with or impair Seller's or the licensee's rights thereunder, including, but not limited to, amending the above-referenced License Agreement without Seller's consent.  Other than as provided in the preceding sentence, Seller agrees that it will not retain any rights that it may have in any Company Intellectual Property Rights to Purchaser after the Closing and Company shall be free to license the rights to any third parties in its discretion.  Seller agrees to execute such documents as may be reasonably necessary to convey good and valid title to Purchaser all of Seller’s rights and title in any Company Intellectual Property Rights after the Closing other than Seller’s rights as provided in the first sentence of this Section 6.6, which shall be retained by Seller.  Notwithstanding anything to the contrary herein, Purchaser also acknowledges and agrees that Seller does not have, and after the Closing will not have, any obligation or liability to Company or Purchaser in respect of any claim between Seller and Company, on the one hand, and Rama Newsprint and Paper Ltd., on the other hand (including but not limited to any obligation to pursue or defend any such claim) and that if Purchaser and Company elect to pursue or defend any such claims after the Closing, it shall be for their own account without any recourse to Seller whatsoever.</w:t>
      </w:r>
    </w:p>
    <w:p>
      <w:pPr>
        <w:pStyle w:val="Heading2"/>
        <w:ind w:hanging="0" w:start="0"/>
        <w:rPr>
          <w:vanish/>
          <w:color w:val="FF0000"/>
        </w:rPr>
      </w:pPr>
      <w:bookmarkStart w:id="59" w:name="__RefHeading___Toc487278885"/>
      <w:bookmarkEnd w:id="59"/>
      <w:r>
        <w:rPr/>
        <w:t>Financing</w:t>
      </w:r>
    </w:p>
    <w:p>
      <w:pPr>
        <w:pStyle w:val="Heading3"/>
        <w:ind w:hanging="0" w:start="0"/>
        <w:rPr/>
      </w:pPr>
      <w:r>
        <w:rPr>
          <w:i/>
        </w:rPr>
        <w:t>.</w:t>
      </w:r>
      <w:r>
        <w:rPr/>
        <w:t xml:space="preserve">  Purchaser will take all commercially reasonable actions necessary to ensure that it will have, as of the Closing, sufficient cash, lines of credit or other immediately available funds to enable it to consummate the transactions contemplated hereby.</w:t>
      </w:r>
    </w:p>
    <w:p>
      <w:pPr>
        <w:pStyle w:val="Heading2"/>
        <w:ind w:hanging="0" w:start="0"/>
        <w:rPr>
          <w:vanish/>
          <w:color w:val="FF0000"/>
        </w:rPr>
      </w:pPr>
      <w:bookmarkStart w:id="60" w:name="__RefHeading___Toc487278886"/>
      <w:bookmarkEnd w:id="60"/>
      <w:r>
        <w:rPr/>
        <w:t>Termination of Seller-Company Arrangements</w:t>
      </w:r>
    </w:p>
    <w:p>
      <w:pPr>
        <w:pStyle w:val="BodyText"/>
        <w:rPr/>
      </w:pPr>
      <w:r>
        <w:rPr/>
        <w:t>.  Purchaser acknowledges and agrees that any and all services provided by Seller or its Affiliates to Company and any other business arrangements between Seller or its Affiliates and Company shall automatically be terminated effective as of the Closing without any additional actions by the parties, and that Seller and its Affiliates shall have no further obligations or liabilities to Company from and after the Closing (except as expressly provided in this Agreement.</w:t>
      </w:r>
    </w:p>
    <w:p>
      <w:pPr>
        <w:pStyle w:val="Heading2"/>
        <w:ind w:hanging="0" w:start="0"/>
        <w:rPr>
          <w:vanish/>
          <w:color w:val="FF0000"/>
        </w:rPr>
      </w:pPr>
      <w:bookmarkStart w:id="61" w:name="__RefHeading___Toc487278887"/>
      <w:bookmarkEnd w:id="61"/>
      <w:r>
        <w:rPr/>
        <w:t>Post-Closing Access</w:t>
      </w:r>
    </w:p>
    <w:p>
      <w:pPr>
        <w:pStyle w:val="BodyText"/>
        <w:rPr/>
      </w:pPr>
      <w:r>
        <w:rPr/>
        <w:t>.  For a period of six years from the Closing Date, Seller shall have access to, and the right to copy, at its expense, during usual business hours upon reasonable prior notice to Purchaser, all of the books and records relating to Company that were transferred to Purchaser pursuant to this Agreement.  Purchaser shall retain and preserve all such books and records for such six year period.  If Seller gives notice to Purchaser on or prior to the sixth anniversary of the Closing Date that Seller reasonably needs continuing access to the books and records in connection with ongoing litigation or an indemnification claim, a governmental audit or some other proceeding, Purchaser will give Seller a reasonable opportunity to remove and retain such books and records, if Purchaser otherwise planned to destroy such books and records or to copy such books and records, at Seller's expense prior to their destruction by Purchaser.</w:t>
      </w:r>
    </w:p>
    <w:p>
      <w:pPr>
        <w:pStyle w:val="Heading1"/>
        <w:ind w:hanging="0" w:start="0"/>
        <w:rPr/>
      </w:pPr>
      <w:r>
        <w:rPr/>
        <w:br/>
        <w:br/>
      </w:r>
      <w:bookmarkStart w:id="62" w:name="__RefHeading___Toc487278888"/>
      <w:r>
        <w:rPr/>
        <w:t>TAX MATTERS</w:t>
      </w:r>
      <w:bookmarkEnd w:id="62"/>
    </w:p>
    <w:p>
      <w:pPr>
        <w:pStyle w:val="Heading2"/>
        <w:ind w:hanging="0" w:start="0"/>
        <w:rPr>
          <w:i w:val="false"/>
          <w:i w:val="false"/>
          <w:vanish/>
          <w:color w:val="FF0000"/>
        </w:rPr>
      </w:pPr>
      <w:bookmarkStart w:id="63" w:name="__RefHeading___Toc487278889"/>
      <w:bookmarkEnd w:id="63"/>
      <w:r>
        <w:rPr/>
        <w:t>Limited Liability Company Purchase Price Allocation</w:t>
      </w:r>
    </w:p>
    <w:p>
      <w:pPr>
        <w:pStyle w:val="BodyText"/>
        <w:rPr/>
      </w:pPr>
      <w:r>
        <w:rPr/>
        <w:t xml:space="preserve">. Within 45 days following the Closing Date, Purchaser shall deliver to Seller a draft schedule (the “Allocation Schedule”) allocating the Consideration (as defined in Temporary Treasury Regulation section 1.1060-1T(c)(1), among the assets of Company, together with a draft copy of IRS Form 8594.  The Allocation Schedule and such form shall be prepared in accordance with Section 1060 of the Code and the regulations thereunder.  Upon receipt of the Allocation Schedule, Purchaser and Seller shall use reasonable efforts to finalize such form in a manner mutually agreeable to them, and each shall execute a copy thereof and return such copy to the other party within 120 days after the Closing Date, but no later than 30 days prior to the due date (including extensions) for filing such forms or the Tax Returns to which such forms must be attached. If Purchaser and Seller cannot agree on such allocation, Purchaser will select a nationally recognized accounting firm or other recognized expert reasonably acceptable to Seller to appraise the Company’s assets, which appraisal shall serve as the basis of the allocation.  The fees and expenses of such appraisal shall be paid </w:t>
      </w:r>
      <w:r>
        <w:rPr>
          <w:b/>
        </w:rPr>
        <w:t>one-half</w:t>
      </w:r>
      <w:r>
        <w:rPr/>
        <w:t xml:space="preserve"> by Seller and one-half by Purchaser.  The parties and their Affiliates shall adopt and utilize the asset values as determined on the Allocation Schedule for the purpose of all Tax Returns filed by them, and shall not voluntarily take any action inconsistent therewith upon examination of any Tax Return, in any refund claim, in any litigation or otherwise with respect to such Tax Returns.</w:t>
      </w:r>
    </w:p>
    <w:p>
      <w:pPr>
        <w:pStyle w:val="Heading2"/>
        <w:ind w:hanging="0" w:start="0"/>
        <w:rPr>
          <w:i w:val="false"/>
          <w:i w:val="false"/>
          <w:vanish/>
          <w:color w:val="FF0000"/>
        </w:rPr>
      </w:pPr>
      <w:bookmarkStart w:id="64" w:name="__RefHeading___Toc487278890"/>
      <w:bookmarkEnd w:id="64"/>
      <w:r>
        <w:rPr/>
        <w:t>Tax Returns</w:t>
      </w:r>
    </w:p>
    <w:p>
      <w:pPr>
        <w:pStyle w:val="BodyText"/>
        <w:rPr/>
      </w:pPr>
      <w:r>
        <w:rPr/>
        <w:t>.  Seller shall prepare or cause to be prepared and file or cause to be filed all Tax Returns for Company for all periods ending on or prior to the Closing Date, including Tax Returns which are filed after the Closing Date, and Seller shall be responsible for the contents of such Tax Returns and the payment of all Taxes due with respect thereto.  Purchaser shall promptly pay or cause to be paid to Seller all refunds of Taxes and interest thereon received by Purchaser, any Affiliate of Purchaser, or Company attributable to Taxes paid by Seller or Company with respect to any taxable period ending on or before the Closing Date.  Purchaser shall prepare or cause to be prepared and file or cause to be filed any Tax Returns of Company for Tax periods which begin before the Closing Date and end after the Closing Date, including Tax Returns of Company for Tax periods which begin after the Closing Date, and Purchaser and Seller shall be responsible for the payment of all Overlap Period Taxes with respect to the Overlap Period Tax Returns as provided for in Section 7.3 of this Agreement.  Seller shall promptly pay or cause to be paid to Purchaser all refunds of Taxes and interest thereon received by Seller or any Affiliate of Seller attributable to Taxes paid by Buyer with respect to any taxable period ending after the Closing Date.</w:t>
      </w:r>
    </w:p>
    <w:p>
      <w:pPr>
        <w:pStyle w:val="Heading2"/>
        <w:ind w:hanging="0" w:start="0"/>
        <w:rPr>
          <w:i w:val="false"/>
          <w:i w:val="false"/>
          <w:vanish/>
          <w:color w:val="FF0000"/>
        </w:rPr>
      </w:pPr>
      <w:bookmarkStart w:id="65" w:name="__RefHeading___Toc487278891"/>
      <w:bookmarkEnd w:id="65"/>
      <w:r>
        <w:rPr/>
        <w:t>Indemnification</w:t>
      </w:r>
    </w:p>
    <w:p>
      <w:pPr>
        <w:pStyle w:val="BodyText"/>
        <w:keepNext w:val="true"/>
        <w:keepLines/>
        <w:rPr/>
      </w:pPr>
      <w:r>
        <w:rPr/>
        <w:t>.  Seller will indemnify and hold harmless Purchaser from and against any and all Tax Claims, resulting from, arising out of or relating to: (A)  the breach of any representation or warranty of Seller or Company in or pursuant to Section 2.11 to the extent they relate to Pre-Closing and Overlap Period Taxes and 3.5 of this Agreement; (B)  any and all Taxes imposed on or incurred by Company relating to any taxable period ending on or prior to the Closing Date ("Pre-Closing Taxes") and (C) with respect to any taxable period ending after the Closing Date that includes the Closing Date (the "Overlap Period"), any and all Taxes imposed on or incurred by Company attributable to the period ending on or prior to the Closing Date ("Overlap Period Taxes").  For purposes of the Overlap Period, in the case of any Taxes that are imposed on a periodic basis and are payable for a taxable period that includes (but does not end on) the Closing Date, the portion of such Tax which relates to the portion of such taxable period ending on the Closing Date shall (x) in the case of any Taxes other than Taxes based upon or related to income or receipts, be deemed to be the amount of such Tax for the entire taxable period multiplied by a fraction the numerator of which is the number of days in the taxable period ending on the Closing Date and the denominator of which is the number of days in the entire taxable period, and (y) in the case of any Tax based upon or related to income or receipts be deemed equal to the amount which would be payable if the relevant taxable period ended on the Closing Date.  Any credits relating to a taxable period that begins before and ends after the Closing Date shall be taken into account as though the relevant taxable period ended on the Closing Date.  All determinations necessary to give effect to the foregoing allocations shall be made in a manner consistent with prior practice of Company.  The amount payable by Seller to Purchaser pursuant to this Article VII shall be reduced by the amount of any Tax benefit realized or to be realized (including by refund or by reduction of or offset against Taxes otherwise payable had the claim for Pre-Closing Taxes or Overlap Period Taxes not been sustained) by Purchaser by reason of the payment or incurrence by Purchaser of the Pre-Closing Tax or Overlap Period Tax for which indemnification pursuant to this Article VII is sought.  To the extent that a Tax benefit is realized after payment has been made by Seller to Purchaser with respect to a Pre-Closing Tax or Overlap Period Tax, Purchaser shall promptly pay an amount equal to such proceeds or benefit to Seller.  Seller shall reimburse Purchaser for any Taxes resulting from the settlement or final determination as provided in Section 7.5, if any, with respect to any such matter and shall pay Purchaser within 15 days after payment by Purchaser of such Taxes.</w:t>
      </w:r>
    </w:p>
    <w:p>
      <w:pPr>
        <w:pStyle w:val="Heading2"/>
        <w:ind w:hanging="0" w:start="0"/>
        <w:rPr>
          <w:i w:val="false"/>
          <w:i w:val="false"/>
          <w:vanish/>
          <w:color w:val="FF0000"/>
        </w:rPr>
      </w:pPr>
      <w:bookmarkStart w:id="66" w:name="__RefHeading___Toc487278892"/>
      <w:bookmarkEnd w:id="66"/>
      <w:r>
        <w:rPr/>
        <w:t>Cooperation</w:t>
      </w:r>
    </w:p>
    <w:p>
      <w:pPr>
        <w:pStyle w:val="BodyText"/>
        <w:rPr/>
      </w:pPr>
      <w:r>
        <w:rPr/>
        <w:t>.  Seller and Purchaser shall reasonably cooperate, and shall cause their respective Affiliates, officers, employees, agents, auditors and representatives reasonably to cooperate, in preparing and filing all Tax Returns, including maintaining and making available to each other all records necessary in connection with Taxes.</w:t>
      </w:r>
    </w:p>
    <w:p>
      <w:pPr>
        <w:pStyle w:val="Heading2"/>
        <w:ind w:hanging="0" w:start="0"/>
        <w:rPr>
          <w:i w:val="false"/>
          <w:i w:val="false"/>
          <w:vanish/>
          <w:color w:val="FF0000"/>
        </w:rPr>
      </w:pPr>
      <w:bookmarkStart w:id="67" w:name="__RefHeading___Toc487278893"/>
      <w:bookmarkEnd w:id="67"/>
      <w:r>
        <w:rPr/>
        <w:t>Contests</w:t>
      </w:r>
    </w:p>
    <w:p>
      <w:pPr>
        <w:pStyle w:val="BodyText"/>
        <w:rPr/>
      </w:pPr>
      <w:r>
        <w:rPr/>
        <w:t xml:space="preserve">.  Seller and Purchaser agree that, in the event Seller, Purchaser or Company receive notice in writing of any examination, claim, settlement, proposed adjustment, administrative or judicial proceeding, or other matter related to any Pre-Closing Taxes and Overlap Period Taxes, the recipient of such notice shall notify the other party in writing as soon as reasonably practical (but in no event not more than 10 Business Days) after receipt of such notice.  Seller shall control and have sole responsibility with respect to Pre-Closing income Tax matters.  Seller shall control all other Pre-Closing Tax matters (“Other Pre-Closing Tax Matters”), and shall obtain Purchaser’s consent with respect to the settlement or final determination of such Other Pre-Closing Tax Matters; provided, however, that if Purchaser does not consent to Seller’s proposed settlement of Other Pre-Closing Tax Matters, then Seller shall have the right to pay to Purchaser the amount provided for in the proposed settlement and Purchaser shall assume all responsibility for the handling of such Other Pre-Closing Tax Matters at its sole expense and upon receipt of such payment from Seller to release Seller from its obligation to indemnify Purchaser for such Other Pre-Closing Tax Matters as provided in this Article VII.  Purchaser shall be entitled to participate in such Other Pre-Closing Tax Matters at its own expense.  Purchaser shall have sole responsibility and control over all other Tax matters and Seller shall be entitled to participate in the Overlap Period Tax matters at its own expense.  Purchaser shall obtain Seller’s consent with respect to the settlement or final determination of any Overlap Period Tax matters only to the extent the proposed resolution of any such matters would have an adverse Tax consequence to Seller, which consent shall not be unreasonably withheld.  Purchaser shall cause Company to cooperate with Seller by giving Seller and its representatives, on prior reasonable notice, access and cooperation  during normal business hours to all information, books and records pertaining to the any Pre-Closing Taxes and Overlap Period Taxes. </w:t>
      </w:r>
    </w:p>
    <w:p>
      <w:pPr>
        <w:pStyle w:val="Heading2"/>
        <w:ind w:hanging="0" w:start="0"/>
        <w:rPr>
          <w:vanish/>
          <w:color w:val="FF0000"/>
        </w:rPr>
      </w:pPr>
      <w:bookmarkStart w:id="68" w:name="__RefHeading___Toc487278894"/>
      <w:bookmarkEnd w:id="68"/>
      <w:r>
        <w:rPr/>
        <w:t>Transfer Taxes</w:t>
      </w:r>
    </w:p>
    <w:p>
      <w:pPr>
        <w:pStyle w:val="BodyText"/>
        <w:rPr/>
      </w:pPr>
      <w:r>
        <w:rPr/>
        <w:t>.  Seller and Purchaser shall each pay one-half of all sales, use, transfer, real property transfer, recording, stock transfer and other similar taxes and fees ("Transfer Taxes"), if any, arising out of or in connection with the sale of Company and the consummation of the transactions contemplated by this Agreement, and shall indemnify, defend and hold harmless  Purchaser and each of its Affiliates with respect to such Transfer Taxes.  Seller shall file all necessary documentation and Tax Returns with respect to such Transfer Taxes, and Purchaser shall reasonably cooperate therewith upon Seller's request.</w:t>
      </w:r>
    </w:p>
    <w:p>
      <w:pPr>
        <w:pStyle w:val="Heading2"/>
        <w:ind w:hanging="0" w:start="0"/>
        <w:rPr>
          <w:i w:val="false"/>
          <w:i w:val="false"/>
          <w:vanish/>
          <w:color w:val="FF0000"/>
        </w:rPr>
      </w:pPr>
      <w:bookmarkStart w:id="69" w:name="__RefHeading___Toc487278895"/>
      <w:bookmarkEnd w:id="69"/>
      <w:r>
        <w:rPr/>
        <w:t>Tax Sharing Agreements</w:t>
      </w:r>
    </w:p>
    <w:p>
      <w:pPr>
        <w:pStyle w:val="BodyText"/>
        <w:rPr/>
      </w:pPr>
      <w:r>
        <w:rPr/>
        <w:t xml:space="preserve">.  Any tax sharing agreement between any member of Seller's Affiliated Group and Company shall be terminated as of the Closing Date no payment shall be due on account thereof, and such agreement will have no further effect for any taxable year (whether the current year, a future year, or a past year). </w:t>
      </w:r>
    </w:p>
    <w:p>
      <w:pPr>
        <w:pStyle w:val="Heading2"/>
        <w:ind w:hanging="0" w:start="0"/>
        <w:rPr>
          <w:i w:val="false"/>
          <w:i w:val="false"/>
          <w:vanish/>
          <w:color w:val="FF0000"/>
        </w:rPr>
      </w:pPr>
      <w:bookmarkStart w:id="70" w:name="__RefHeading___Toc487278896"/>
      <w:bookmarkEnd w:id="70"/>
      <w:r>
        <w:rPr/>
        <w:t>Survival of Obligations</w:t>
      </w:r>
    </w:p>
    <w:p>
      <w:pPr>
        <w:pStyle w:val="BodyText"/>
        <w:rPr/>
      </w:pPr>
      <w:r>
        <w:rPr/>
        <w:t xml:space="preserve">.  The obligations of the parties set forth in the Article VII shall be unconditional and absolute and shall remain in effect until the expiration of the applicable statutes of limitation.  </w:t>
      </w:r>
    </w:p>
    <w:p>
      <w:pPr>
        <w:pStyle w:val="Heading2"/>
        <w:ind w:hanging="0" w:start="0"/>
        <w:rPr/>
      </w:pPr>
      <w:bookmarkStart w:id="71" w:name="__RefHeading___Toc487278897"/>
      <w:r>
        <w:rPr/>
        <w:t>Purchaser’s Exclusive Remedy.</w:t>
      </w:r>
      <w:bookmarkEnd w:id="71"/>
      <w:r>
        <w:rPr>
          <w:i w:val="false"/>
        </w:rPr>
        <w:t xml:space="preserve">  </w:t>
      </w:r>
    </w:p>
    <w:p>
      <w:pPr>
        <w:pStyle w:val="BodyText"/>
        <w:rPr/>
      </w:pPr>
      <w:r>
        <w:rPr/>
        <w:t>The sole remedy of Purchaser for (A) the breach by Seller of any representation or warranty of Seller or Company in or pursuant to Section 2.11 to the extent it relates to Pre-Closing and Overlap Period Taxes rather than informational or administrative items and Section 3.5, and (B) the payment by Seller of Pre-Closing Taxes and Overlap Period Taxes shall be Purchaser’s entitlement to indemnification under this Article VII.</w:t>
      </w:r>
    </w:p>
    <w:p>
      <w:pPr>
        <w:pStyle w:val="Normal"/>
        <w:rPr/>
      </w:pPr>
      <w:r>
        <w:rPr/>
      </w:r>
    </w:p>
    <w:p>
      <w:pPr>
        <w:pStyle w:val="Heading1"/>
        <w:ind w:hanging="0" w:start="0"/>
        <w:rPr/>
      </w:pPr>
      <w:r>
        <w:rPr/>
        <w:br/>
        <w:br/>
      </w:r>
      <w:bookmarkStart w:id="72" w:name="__RefHeading___Toc487278898"/>
      <w:r>
        <w:rPr/>
        <w:t>CONDITIONS TO THE CLOSING</w:t>
      </w:r>
      <w:bookmarkEnd w:id="72"/>
    </w:p>
    <w:p>
      <w:pPr>
        <w:pStyle w:val="Heading2"/>
        <w:ind w:hanging="0" w:start="0"/>
        <w:rPr>
          <w:i w:val="false"/>
          <w:i w:val="false"/>
          <w:vanish/>
          <w:color w:val="FF0000"/>
        </w:rPr>
      </w:pPr>
      <w:bookmarkStart w:id="73" w:name="__RefHeading___Toc487278899"/>
      <w:bookmarkEnd w:id="73"/>
      <w:r>
        <w:rPr/>
        <w:t>Conditions to Obligation of Purchaser</w:t>
      </w:r>
    </w:p>
    <w:p>
      <w:pPr>
        <w:pStyle w:val="BodyText"/>
        <w:rPr/>
      </w:pPr>
      <w:r>
        <w:rPr/>
        <w:t>.  The obligation of Purchaser to effect the transactions contemplated by this Agreement is subject to the following conditions:</w:t>
      </w:r>
    </w:p>
    <w:p>
      <w:pPr>
        <w:pStyle w:val="Heading3"/>
        <w:ind w:hanging="0" w:start="0"/>
        <w:rPr/>
      </w:pPr>
      <w:r>
        <w:rPr>
          <w:i/>
        </w:rPr>
        <w:t xml:space="preserve">Representations and Warranties of Seller and Company to be True.  </w:t>
      </w:r>
      <w:r>
        <w:rPr/>
        <w:t>The representations and warranties of each of Seller and Company hereunder shall be made again at the Closing and shall both individually and in the aggregate be true as of the Closing in all respects, [except for such inaccuracies and breaches, which both individually and in the aggregate would not reasonably be expected to result in a Material Adverse Effect].  For purposes of the preceding sentence, each representation and warranty shall be measured without regard to any materiality qualifications and each representation and warranty made as of a specified date shall be true in all respects as to such date..  Each of Seller and Company shall have performed (or caused to have been performed) in all material respects all covenants required of them (and their Affiliates) by this Agreement as of the Closing.  Seller shall have furnished Purchaser at the Closing with an officers' certificate, signed on its behalf by an authorized officer and by an authorized officer of Company without personal liability, certifying the satisfaction of the conditions set forth in this Section 8.1 with respect to the representations, warranties and covenants of such party hereunder, and including an express reference that such party has no knowledge of any Material Adverse Effect since the Reference Date.</w:t>
      </w:r>
    </w:p>
    <w:p>
      <w:pPr>
        <w:pStyle w:val="Heading3"/>
        <w:ind w:hanging="0" w:start="0"/>
        <w:rPr/>
      </w:pPr>
      <w:r>
        <w:rPr>
          <w:i/>
        </w:rPr>
        <w:t>Company Consents and Seller Consents</w:t>
      </w:r>
      <w:r>
        <w:rPr/>
        <w:t xml:space="preserve">.  The Company Consents and Seller Consents designated on Schedules 2.13 and 3.4 as "Closing Consents" shall have been duly and validly obtained, and all statutory waiting periods under the HSR Act or otherwise shall have expired or been terminated.  The Closing Consents shall be in full force and effect as of the Closing Date, and they shall not have required as a condition thereto the payment of any consent fee or other financial consideration or the modification or amendment to any contracts set forth in Schedule 2.15 or any Governmental Authorization, or any agreement to materially modify the future conduct of the business of Company from the manner in which such business is currently conducted (all as determined by Purchaser in the reasonable exercise of its discretion), except for the payment of filing and other customary fees to any governmental authority and except for any such fee or consideration which Seller or Company has elected to pay and has either paid or is taken into account in the Closing Date Statement of Net Working Capital, and except for any ministerial or immaterial amendments or modifications to the underlying contract or Governmental Authorization, and except for any other such payments or such material modifications or amendments as were previously approved in writing by Purchaser.  </w:t>
      </w:r>
    </w:p>
    <w:p>
      <w:pPr>
        <w:pStyle w:val="Heading3"/>
        <w:ind w:hanging="0" w:start="0"/>
        <w:rPr/>
      </w:pPr>
      <w:r>
        <w:rPr>
          <w:i/>
        </w:rPr>
        <w:t>No Injunction</w:t>
      </w:r>
      <w:r>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 None of Company, or its officers, employees or agents shall have been indicted, or otherwise charged with, criminal liability (or civil liability in connection with any such criminal liability) under the laws of any jurisdiction, nor shall there be any investigation by any governmental authority in which, to the collective knowledge of Seller and Company, any such party is a target, suspect or otherwise involved except any such indictment, other criminal liability (and associated civil liability) or investigation of any such officer, employee or agent that is not related to or arising from the business of Company and such Person's capacity as such.</w:t>
      </w:r>
    </w:p>
    <w:p>
      <w:pPr>
        <w:pStyle w:val="Heading3"/>
        <w:ind w:hanging="0" w:start="0"/>
        <w:rPr/>
      </w:pPr>
      <w:r>
        <w:rPr>
          <w:i/>
        </w:rPr>
        <w:t>Newsprint Swap Agreement</w:t>
      </w:r>
      <w:r>
        <w:rPr/>
        <w:t>.  Seller shall have duly executed and delivered the Newsprint Swap Agreement and related documents between Seller and Purchaser in substantially the form set forth as Exhibit B.</w:t>
      </w:r>
    </w:p>
    <w:p>
      <w:pPr>
        <w:pStyle w:val="Heading3"/>
        <w:ind w:hanging="0" w:start="0"/>
        <w:rPr/>
      </w:pPr>
      <w:r>
        <w:rPr>
          <w:i/>
        </w:rPr>
        <w:t xml:space="preserve">Legal Opinions.  </w:t>
      </w:r>
      <w:r>
        <w:rPr/>
        <w:t>Purchaser shall have received legal opinions reasonably satisfactory to it from legal counsel of Seller.</w:t>
      </w:r>
    </w:p>
    <w:p>
      <w:pPr>
        <w:pStyle w:val="Heading3"/>
        <w:ind w:hanging="0" w:start="0"/>
        <w:rPr/>
      </w:pPr>
      <w:r>
        <w:rPr>
          <w:i/>
        </w:rPr>
        <w:t xml:space="preserve">Closing Date Balance Sheet.  </w:t>
      </w:r>
      <w:r>
        <w:rPr/>
        <w:t>Company shall have delivered on the Closing Date an unaudited pro forma balance sheet as of 12:01 a.m. (or 7:30 a.m. with respect to Working Capital items that relate to the Company’s mill operations) on the Closing Date (the "Closing Date Balance Sheet") based on historical data from the latest calendar month end and giving pro forma effect to the remaining days up to and including the Closing Date [demonstrating that outstanding debt and Working Capital of Company are accurately presented in such balance sheet and neither is materially different from those amounts as of the Reference Date, except to the extent consented to by Purchaser in writing.]</w:t>
      </w:r>
    </w:p>
    <w:p>
      <w:pPr>
        <w:pStyle w:val="Heading3"/>
        <w:ind w:hanging="0" w:start="0"/>
        <w:rPr/>
      </w:pPr>
      <w:r>
        <w:rPr>
          <w:i/>
        </w:rPr>
        <w:t xml:space="preserve">ISRA Act. </w:t>
      </w:r>
      <w:r>
        <w:rPr/>
        <w:t xml:space="preserve">Company and Seller shall have complied with their obligations with respect to ISRA pursuant to Section 5.2 hereof, and, if further required by Section 5.2, Seller shall have duly executed and delivered the Site Access and Remediation Side Agreement.  </w:t>
      </w:r>
    </w:p>
    <w:p>
      <w:pPr>
        <w:pStyle w:val="Heading3"/>
        <w:ind w:hanging="0" w:start="0"/>
        <w:rPr/>
      </w:pPr>
      <w:r>
        <w:rPr>
          <w:i/>
        </w:rPr>
        <w:t>LLC</w:t>
      </w:r>
      <w:r>
        <w:rPr/>
        <w:t xml:space="preserve"> </w:t>
      </w:r>
      <w:r>
        <w:rPr>
          <w:i/>
        </w:rPr>
        <w:t>Conversion</w:t>
      </w:r>
      <w:r>
        <w:rPr/>
        <w:t xml:space="preserve">.  The LLC Conversion shall have occurred and become effective. </w:t>
      </w:r>
    </w:p>
    <w:p>
      <w:pPr>
        <w:pStyle w:val="Heading3"/>
        <w:ind w:hanging="0" w:start="0"/>
        <w:rPr/>
      </w:pPr>
      <w:r>
        <w:rPr>
          <w:i/>
        </w:rPr>
        <w:t xml:space="preserve">Delivery of Purchased Interests at Closing.  </w:t>
      </w:r>
      <w:r>
        <w:rPr/>
        <w:t>Seller shall have delivered or caused to be delivered at the Closing the Purchased Interests owned at the Closing, including all outstanding certificates duly endorsed for transfer or accompanied by duly executed stock powers, if applicable free and clear of any pledges, liens, encumbrance, voting trust arrangement or other adverse claims.  Company shall have caused all outstanding options for capital stock of Company, including those set forth on Schedule 2.2, to be cancelled or otherwise to be exercised, and shall have acquired all shares issued in connection with any such exercise.</w:t>
      </w:r>
    </w:p>
    <w:p>
      <w:pPr>
        <w:pStyle w:val="Heading3"/>
        <w:ind w:hanging="0" w:start="0"/>
        <w:rPr/>
      </w:pPr>
      <w:r>
        <w:rPr>
          <w:i/>
        </w:rPr>
        <w:t>Defeasance of New Jersey Revenue Bonds and Discharge of Related Liens</w:t>
      </w:r>
      <w:r>
        <w:rPr/>
        <w:t>.  The defeasance of the lien of the New Jersey Revenue Bonds shall have occurred in accordance with the terms of the Indenture and the other Bond Documents (as defined in the Indenture); the Indenture and the other Bond Documents (as defined in the Indenture) shall have been discharged and all amounts owing thereunder shall have been paid and all other obligations of Company and Seller thereunder, as the case may be, shall have been satisfied in full; the L/C Agreement, the L/C Guaranty, the Bond Guaranty and the other Bank Security Documents (as defined in the L/C Agreement) shall have been terminated and all obligations of Seller and the Company thereunder shall have been satisfied and discharged in accordance with the terms thereof; and Purchaser shall have received original copies of the items required under Section 5.10(b) hereof.</w:t>
      </w:r>
    </w:p>
    <w:p>
      <w:pPr>
        <w:pStyle w:val="Heading3"/>
        <w:ind w:hanging="0" w:start="0"/>
        <w:rPr/>
      </w:pPr>
      <w:r>
        <w:rPr/>
        <w:t xml:space="preserve">Purchaser shall have obtained financing of such portion of the Purchase Price and related costs as Purchaser in its sole discretion may desire.  </w:t>
      </w:r>
    </w:p>
    <w:p>
      <w:pPr>
        <w:pStyle w:val="Normal"/>
        <w:rPr/>
      </w:pPr>
      <w:r>
        <w:rPr/>
      </w:r>
    </w:p>
    <w:p>
      <w:pPr>
        <w:pStyle w:val="Heading3"/>
        <w:ind w:hanging="0" w:start="0"/>
        <w:rPr/>
      </w:pPr>
      <w:r>
        <w:rPr/>
        <w:t>Purchaser shall have delivered Schedule 6.4 and Company shall have terminated the employees on Schedule 6.4.</w:t>
      </w:r>
    </w:p>
    <w:p>
      <w:pPr>
        <w:pStyle w:val="Normal"/>
        <w:rPr/>
      </w:pPr>
      <w:r>
        <w:rPr/>
      </w:r>
    </w:p>
    <w:p>
      <w:pPr>
        <w:pStyle w:val="Heading2"/>
        <w:ind w:hanging="0" w:start="0"/>
        <w:rPr>
          <w:i w:val="false"/>
          <w:i w:val="false"/>
          <w:vanish/>
          <w:color w:val="FF0000"/>
        </w:rPr>
      </w:pPr>
      <w:bookmarkStart w:id="74" w:name="__RefHeading___Toc487278900"/>
      <w:bookmarkEnd w:id="74"/>
      <w:r>
        <w:rPr/>
        <w:t>Conditions to Obligations of Seller</w:t>
      </w:r>
    </w:p>
    <w:p>
      <w:pPr>
        <w:pStyle w:val="BodyText"/>
        <w:rPr/>
      </w:pPr>
      <w:r>
        <w:rPr>
          <w:color w:val="000000"/>
        </w:rPr>
        <w:t xml:space="preserve">.  </w:t>
      </w:r>
      <w:r>
        <w:rPr/>
        <w:t>The obligation of Seller to effect the transactions contemplated by this Agreement is subject to the following conditions:</w:t>
      </w:r>
    </w:p>
    <w:p>
      <w:pPr>
        <w:pStyle w:val="Heading3"/>
        <w:ind w:hanging="0" w:start="0"/>
        <w:rPr/>
      </w:pPr>
      <w:r>
        <w:rPr>
          <w:i/>
        </w:rPr>
        <w:t>Representations and Warranties of Purchaser to Be True</w:t>
      </w:r>
      <w:r>
        <w:rPr/>
        <w:t xml:space="preserve">. The representations and warranties of Purchaser hereunder shall be made again at the Closing and shall be true as of the Closing in all material respects; </w:t>
      </w:r>
      <w:r>
        <w:rPr>
          <w:i/>
        </w:rPr>
        <w:t>provided</w:t>
      </w:r>
      <w:r>
        <w:rPr/>
        <w:t>, that any such representation and warranty made as to a specified date shall be true in all material respects as to such specified date.  Purchaser shall have performed (or caused to have been performed) in all material respects all covenants required of it by this Agreement as of the Closing.  Purchaser shall have furnished Seller at the Closing with a certificate signed by an officer of Purchaser certifying the satisfaction of the conditions set forth in this Section 8.2(a) with respect to the representations, warranties and covenants of Purchaser hereunder.</w:t>
      </w:r>
    </w:p>
    <w:p>
      <w:pPr>
        <w:pStyle w:val="Heading3"/>
        <w:ind w:hanging="0" w:start="0"/>
        <w:rPr/>
      </w:pPr>
      <w:r>
        <w:rPr>
          <w:i/>
        </w:rPr>
        <w:t>No Injunction</w:t>
      </w:r>
      <w:r>
        <w:rPr>
          <w:color w:val="000000"/>
        </w:rPr>
        <w:t>.   No temporary restraining order or preliminary or permanent injunction or other order by any  federal or state court preventing consummation of the transaction shall have been issued and be continuing in effect, and the transaction contemplated hereby shall not have been prohibited under any applicable federal or state law or regulation.</w:t>
      </w:r>
    </w:p>
    <w:p>
      <w:pPr>
        <w:pStyle w:val="Heading3"/>
        <w:ind w:hanging="0" w:start="0"/>
        <w:rPr/>
      </w:pPr>
      <w:r>
        <w:rPr>
          <w:i/>
        </w:rPr>
        <w:t>Payment of Purchase Price</w:t>
      </w:r>
      <w:r>
        <w:rPr/>
        <w:t>.  Purchaser (or a designated subsidiary thereof) shall have paid to Seller the consideration to be received by it for the Purchased Interests in accordance with Section 1.1 hereof.</w:t>
      </w:r>
    </w:p>
    <w:p>
      <w:pPr>
        <w:pStyle w:val="Heading3"/>
        <w:ind w:hanging="0" w:start="0"/>
        <w:rPr/>
      </w:pPr>
      <w:r>
        <w:rPr>
          <w:i/>
        </w:rPr>
        <w:t>HSR Act</w:t>
      </w:r>
      <w:r>
        <w:rPr/>
        <w:t>.  Any waiting period applicable to the consummation of the transactions contemplated hereby under the HSR Act shall have expired or been terminated, and any other governmental or regulatory notices or approvals required with respect to the transactions contemplated hereby shall have been either filed or received.</w:t>
      </w:r>
    </w:p>
    <w:p>
      <w:pPr>
        <w:pStyle w:val="Heading3"/>
        <w:ind w:hanging="0" w:start="0"/>
        <w:rPr/>
      </w:pPr>
      <w:r>
        <w:rPr>
          <w:i/>
        </w:rPr>
        <w:t>Newsprint Swap Agreement</w:t>
      </w:r>
      <w:r>
        <w:rPr/>
        <w:t>.  Purchaser shall have duly executed and delivered The Newsprint Swap Agreement and related documents between Seller and Purchaser in substantially the form set forth as Exhibit B.</w:t>
      </w:r>
    </w:p>
    <w:p>
      <w:pPr>
        <w:pStyle w:val="BodyText"/>
        <w:rPr/>
      </w:pPr>
      <w:r>
        <w:rPr/>
        <w:tab/>
        <w:t>(f)</w:t>
        <w:tab/>
      </w:r>
      <w:r>
        <w:rPr>
          <w:i/>
        </w:rPr>
        <w:t>ISRA Act.</w:t>
      </w:r>
      <w:r>
        <w:rPr/>
        <w:t xml:space="preserve">  Purchaser shall have complied with its obligations with respect to ISRA pursuant to Sections 5.2 and 6.1 hereof, and if required by Section 5.2, Purchaser shall have duly executed and delivered the Site Access and Remediation Side Agreement.</w:t>
      </w:r>
    </w:p>
    <w:p>
      <w:pPr>
        <w:pStyle w:val="BodyText"/>
        <w:rPr/>
      </w:pPr>
      <w:r>
        <w:rPr/>
        <w:tab/>
        <w:t>(g)</w:t>
        <w:tab/>
      </w:r>
      <w:r>
        <w:rPr>
          <w:i/>
        </w:rPr>
        <w:t>Schedule 6.4.</w:t>
      </w:r>
      <w:r>
        <w:rPr/>
        <w:t xml:space="preserve">  Purchaser shall have delivered Schedule 6.4.</w:t>
      </w:r>
    </w:p>
    <w:p>
      <w:pPr>
        <w:pStyle w:val="Heading1"/>
        <w:keepNext w:val="true"/>
        <w:keepLines/>
        <w:ind w:hanging="0" w:start="0"/>
        <w:rPr/>
      </w:pPr>
      <w:r>
        <w:rPr/>
        <w:br/>
        <w:br/>
      </w:r>
      <w:bookmarkStart w:id="75" w:name="__RefHeading___Toc487278901"/>
      <w:r>
        <w:rPr/>
        <w:t>SURVIVAL OF REPRESENTATIONS AND WARRANTIES AND INDEMNIFICATION</w:t>
      </w:r>
      <w:bookmarkEnd w:id="75"/>
    </w:p>
    <w:p>
      <w:pPr>
        <w:pStyle w:val="Heading2"/>
        <w:ind w:hanging="0" w:start="0"/>
        <w:rPr/>
      </w:pPr>
      <w:bookmarkStart w:id="76" w:name="__RefHeading___Toc487278902"/>
      <w:bookmarkEnd w:id="76"/>
      <w:r>
        <w:rPr/>
        <w:t>Survival of Representations and Warranties; Acknowledgement of Purchaser Reliance.</w:t>
      </w:r>
    </w:p>
    <w:p>
      <w:pPr>
        <w:pStyle w:val="Heading3"/>
        <w:ind w:hanging="0" w:start="0"/>
        <w:rPr/>
      </w:pPr>
      <w:r>
        <w:rPr/>
        <w:t>All representations, warranties, agreements and covenants made or undertaken by the parties in this Agreement are material and have been relied upon by the other parties hereto.  All such representations, warranties, agreements and covenants made by either Purchaser or Seller shall survive the Closing hereunder, and shall not merge in the performance of any obligation by any party hereto, provided that any claims made in respect of any such representations and warranties and agreements and covenants shall be limited as provided in this Agreement.  The representations, warranties, covenants and agreements made by Company in this Agreement shall terminate upon the Closing.</w:t>
      </w:r>
    </w:p>
    <w:p>
      <w:pPr>
        <w:pStyle w:val="Heading3"/>
        <w:ind w:hanging="0" w:start="0"/>
        <w:rPr>
          <w:color w:val="000000"/>
        </w:rPr>
      </w:pPr>
      <w:r>
        <w:rPr/>
        <w:t xml:space="preserve">For purposes of this Article IX, the representations and warranties made by Company, Seller and Purchaser are deemed by the parties hereto to have been made by Company and Seller and Purchaser, as the case may be, on and as of both the date hereof and the Closing Date with the same force and effect as if this Agreement were executed by Company, Seller and Purchaser on each of the date hereof and the Closing Date; </w:t>
      </w:r>
      <w:r>
        <w:rPr>
          <w:rFonts w:cs="CG Times" w:ascii="CG Times" w:hAnsi="CG Times"/>
        </w:rPr>
        <w:t>provided that any representation or warranty made as of a specified date shall be remade only as of the same specified date.</w:t>
      </w:r>
      <w:r>
        <w:rPr/>
        <w:t xml:space="preserve">  No investigation by any party will diminish or mitigate any of the representations, warranties, covenants, indemnities or agreements made or to be performed by the parties pursuant to this Agreement or the other party's right to fully rely upon such representations, warranties, covenants, indemnities and agreements.</w:t>
      </w:r>
    </w:p>
    <w:p>
      <w:pPr>
        <w:pStyle w:val="Heading2"/>
        <w:ind w:hanging="0" w:start="0"/>
        <w:rPr>
          <w:i w:val="false"/>
          <w:i w:val="false"/>
        </w:rPr>
      </w:pPr>
      <w:bookmarkStart w:id="77" w:name="__RefHeading___Toc487278903"/>
      <w:r>
        <w:rPr/>
        <w:t>Unlimited Indemnification by Seller.</w:t>
      </w:r>
      <w:bookmarkEnd w:id="77"/>
      <w:r>
        <w:rPr/>
        <w:t xml:space="preserve">  </w:t>
      </w:r>
    </w:p>
    <w:p>
      <w:pPr>
        <w:pStyle w:val="Heading3"/>
        <w:ind w:hanging="0" w:start="0"/>
        <w:rPr/>
      </w:pPr>
      <w:r>
        <w:rPr/>
        <w:t xml:space="preserve">After the Closing, to the fullest extent permitted by applicable law, Seller  will indemnify, defend and hold harmless Purchaser and its designated Affiliates and their respective directors, officers, stockholders, partners, employees, agents, representatives, successors, permitted transferees and permitted assigns (the “Purchaser Indemnitees”), from, against and in respect of all demands, claims, actions or causes of action, assessments, losses, damages, liabilities, costs and expenses, and judgments (including, without limitation, interest, fines, penalties and reasonable legal and consulting fees and expenses incurred in connection therewith), of every type and nature whatsoever (whether or not arising out of third-party claims) (collectively, "Claims") which arise directly or indirectly, or result from or relate to the breach of any representation or warranty of Seller or Company in or pursuant to Sections 2.1 (solely as to the first sentence thereof), 2.2, 2.7 (solely as it relates to title to the facility), 2.8 to the extent it relates to potential pre-closing liabilities of Company, rather than informational or administrative items, 2.10 to the extent it relates to potential pre-closing liabilities of Company, rather than informational or administrative items, 2.11 to the extent it relates to Pre-Closing Taxes and Overlap Period Taxes rather than informational or administrative items.  2.12 to the extent it relates to potential pre-closing liabilities of Company, rather than informational or administrative items, 2.13 (solely as it relates to due execution and delivery, authorization and enforceability), 3.2 and 3.4 (solely as it relates to due execution and delivery, authorization and enforceability) and the failure of Seller to perform any of its covenants or obligations under this Agreement.  </w:t>
      </w:r>
    </w:p>
    <w:p>
      <w:pPr>
        <w:pStyle w:val="Heading3"/>
        <w:ind w:hanging="0" w:start="0"/>
        <w:rPr/>
      </w:pPr>
      <w:r>
        <w:rPr>
          <w:rFonts w:cs="CG Times" w:ascii="CG Times" w:hAnsi="CG Times"/>
        </w:rPr>
        <w:t>After the Closing, Seller</w:t>
      </w:r>
      <w:r>
        <w:rPr/>
        <w:t xml:space="preserve"> shall further indemnify, defend and hold harmless Purchaser Indemnitees with respect to (i) any Claims arising out of or in relation to any incident, occurrence or condition existing, in whole or in part, prior to the Closing Date with respect to environmental liabilities, (ii) except as provided in Schedule 9.2(b), the suits, investigations and legal proceedings </w:t>
      </w:r>
      <w:r>
        <w:rPr>
          <w:rFonts w:cs="CG Times" w:ascii="CG Times" w:hAnsi="CG Times"/>
        </w:rPr>
        <w:t xml:space="preserve">identified on Schedule 2.8 and any filed, pending or threatened suits, investigations and legal proceedings that arise after the date hereof and prior to the Closing Date that would have been identified on Schedule 2.8 if prepared on the Closing Date, </w:t>
      </w:r>
      <w:r>
        <w:rPr/>
        <w:t>(iii) any and all Claims relating to the severance, termination, retraining, outplacement, early retirement, or other costs associated with employees terminated in accordance with Section 6.4 (except to the extent Purchaser is required to indemnify Seller in accordance with Section 6.4), together with any liabilities with respect to such terminated employees related to any Plan or Benefit Program or Agreement; and (iv) all Claims related to any Plan or Benefit Program or Agreement or any liability of any ERISA Affiliate of Seller, other than (A) under or with respect to the Company Plans arising from events occurring after the Closing Date, (B) which are reflected in the Statement of Net Working Capital and taken into account in computing any adjustment to the Purchase Price pursuant to Section 1.3(b); and [(v) Claims related to the shutdown of the facilities referred to on Schedule 2.6.] For the avoidance of doubt, Purchaser acknowledges and agrees that Seller's indemnification obligations with respect to on-site environmental matters shall not extend to environmental liabilities incurred by or on behalf of Purchaser as a result of using the Company's properties for any use (e.g., residential uses) other than its current uses.</w:t>
      </w:r>
    </w:p>
    <w:p>
      <w:pPr>
        <w:pStyle w:val="Heading3"/>
        <w:ind w:hanging="0" w:start="0"/>
        <w:rPr>
          <w:rFonts w:ascii="CG Times" w:hAnsi="CG Times" w:cs="CG Times"/>
        </w:rPr>
      </w:pPr>
      <w:r>
        <w:rPr/>
        <w:t>With respect to 9.2(a) and (b) above, Claims relating to (i) on-site environmental liabilities shall not be subject to indemnification by Seller unless the subject of such Claim is identified by Purchaser with reasonable particularity based on information reasonably available to Purchaser within one year of the Closing Date, in which case such Claim shall be subject to indemnification until resolution of the Claim, (ii) off-site environmental liabilities shall not be subject to indemnification unless the subject of such Claim is identified by Purchaser with reasonable particularity based on information reasonably available to Purchaser [within five years] of the Closing Date, in which case such Claim shall be subject to indemnification until resolution of the Claim, (iii) breaches of covenants and agreements to be performed by Seller or Company prior to the Closing shall not be subject to indemnification by Seller unless the subject of such Claim is identified by Purchaser with reasonable particularity [within five years] of the Closing Date, in which case such Claim shall be subject to indemnification until resolution of the Claim</w:t>
      </w:r>
      <w:r>
        <w:rPr>
          <w:rFonts w:cs="CG Times" w:ascii="CG Times" w:hAnsi="CG Times"/>
        </w:rPr>
        <w:t>, a</w:t>
      </w:r>
      <w:r>
        <w:rPr/>
        <w:t>nd (iv) Seller’s obligations under all other provisions of Sections 9.2(a) and (b) shall be subject to indemnification indefinitely.</w:t>
      </w:r>
    </w:p>
    <w:p>
      <w:pPr>
        <w:pStyle w:val="Heading2"/>
        <w:ind w:hanging="0" w:start="0"/>
        <w:rPr>
          <w:i w:val="false"/>
          <w:i w:val="false"/>
          <w:vanish/>
          <w:color w:val="FF0000"/>
        </w:rPr>
      </w:pPr>
      <w:bookmarkStart w:id="78" w:name="__RefHeading___Toc487278904"/>
      <w:bookmarkEnd w:id="78"/>
      <w:r>
        <w:rPr/>
        <w:t>Limited Indemnity by Seller</w:t>
      </w:r>
    </w:p>
    <w:p>
      <w:pPr>
        <w:pStyle w:val="BodyText"/>
        <w:rPr/>
      </w:pPr>
      <w:r>
        <w:rPr/>
        <w:t xml:space="preserve">.  After the Closing, to the fullest extent permitted by applicable law, Seller will indemnify, defend and hold harmless the Purchaser Indemnitees in the aggregate up to $1,440,000 from, against and in respect of all Claims in excess of $250,000 in the aggregate, which arise directly or indirectly, or result from or relate to the breach of any representation or warranty of Seller or Company in or pursuant to Sections 2.1 (other than the first sentence), 2.3, 2.4, 2.5, 2.6, 2.7 (other than as relates to title to the facility), 2.8 (other than to the extent it relates to potential pre-Closing liabilities of Company), 2.9, 2.10 (other than to the extent it relates to potential pre-Closing liabilities of Company), 2.11 (to the extent it relates to informational and administrative items rather than Pre-Closing Taxes and Overlap Period Taxes), 2.12 (other than to the extent it relates to potential pre-Closing liabilities of Company), 2.13 (other than as it relates to due execution and delivery and enforceability), 2.14, 2.15, 2.16, 2.17, 2.18, 2.19, 2.20, 2.21, 2.23, 3.1, 3.3, 3.4 (other than as it relates to due execution and delivery and enforceability) and 3.6 of this Agreement, provided that the limitation provided in this Section 9.3 shall not apply in the event of fraud by Seller or Company.  </w:t>
      </w:r>
      <w:r>
        <w:rPr>
          <w:rFonts w:cs="CG Times" w:ascii="CG Times" w:hAnsi="CG Times"/>
        </w:rPr>
        <w:t>Seller's indemnification obligations under this Section 9.3 shall expire automatically eighteen months from the Closing Date except as to any potential Claim asserted by Purchaser by written notice in accordance with Section 9.5 prior to such expiration.  For the avoidance of doubt, it is understood that Purchaser may recover on a Claim only once from Seller regardless of whether Purchaser brings the Claim under Section 9.2 or 9.3 or Article VI or Article VII or any of such provisions.</w:t>
      </w:r>
    </w:p>
    <w:p>
      <w:pPr>
        <w:pStyle w:val="Heading2"/>
        <w:ind w:hanging="0" w:start="0"/>
        <w:rPr>
          <w:vanish/>
          <w:color w:val="FF0000"/>
        </w:rPr>
      </w:pPr>
      <w:bookmarkStart w:id="79" w:name="__RefHeading___Toc487278905"/>
      <w:bookmarkEnd w:id="79"/>
      <w:r>
        <w:rPr/>
        <w:t>Indemnification by Purchaser</w:t>
      </w:r>
    </w:p>
    <w:p>
      <w:pPr>
        <w:pStyle w:val="BodyText"/>
        <w:rPr/>
      </w:pPr>
      <w:r>
        <w:rPr/>
        <w:t xml:space="preserve">.  After the Closing, to the fullest extent permitted by applicable law, Purchaser will indemnify, defend and hold harmless Seller and its designated Affiliates and their respective directors, officers, stockholders, partners, employees, agents, representatives, successors, permitted transferees and permitted assigns[, up to an aggregate of $1,440,000] from, against and in respect of all Claims which arise directly or indirectly or result from or relate to the following:  (i) the breach of any representation or warranty of Purchaser in or pursuant to this Agreement;  (ii) the failure of Purchaser to perform any of its covenants or obligations under this Agreement; (iii) any liabilities arising after the Closing Date imposed upon Seller relating to the WARN Act; </w:t>
      </w:r>
      <w:r>
        <w:rPr>
          <w:rFonts w:cs="CG Times" w:ascii="CG Times" w:hAnsi="CG Times"/>
        </w:rPr>
        <w:t>and (iv) any matter arising out of the conduct of the business of Company from and after the Closing (except with respect to matters that Seller is required to indemnify Purchaser pursuant to Section 9.2 or 9.3).  Purchaser shall have no liability for breaches of representations and warranties set forth in Section 4.2 (other than as it relates to due execution and delivery and authorization and enforceability) until the total of all Claims exceeds $250,000 in the aggregate, and then only for the amount by which such Claims exceed $250,000, and Purchaser's liability for breaches of representations and warranties set forth in Section 4.2 (other than as it relates to due execution and delivery and enforceability) shall not exceed $1,440,000 in the aggregate.</w:t>
      </w:r>
    </w:p>
    <w:p>
      <w:pPr>
        <w:pStyle w:val="Heading2"/>
        <w:ind w:hanging="0" w:start="0"/>
        <w:rPr/>
      </w:pPr>
      <w:bookmarkStart w:id="80" w:name="__RefHeading___Toc487278906"/>
      <w:r>
        <w:rPr/>
        <w:t>Indemnification; Notice and Settlement.</w:t>
      </w:r>
      <w:bookmarkEnd w:id="80"/>
      <w:r>
        <w:rPr/>
        <w:t xml:space="preserve">  </w:t>
      </w:r>
    </w:p>
    <w:p>
      <w:pPr>
        <w:pStyle w:val="Heading3"/>
        <w:ind w:hanging="0" w:start="0"/>
        <w:rPr/>
      </w:pPr>
      <w:r>
        <w:rPr>
          <w:i/>
        </w:rPr>
        <w:t xml:space="preserve">Direct Claims.  </w:t>
      </w:r>
      <w:r>
        <w:rPr/>
        <w:t xml:space="preserve">If Purchaser or Seller as the case may be (the "Claimant") should have a claim against the other party (the "Indemnifying Party") hereunder that does not involve a Claim against Claimant by a third party, Claimant will transmit to  Indemnifying Party a written notice with respect to such Claim, specifying the basis therefor; </w:t>
      </w:r>
      <w:r>
        <w:rPr>
          <w:i/>
        </w:rPr>
        <w:t xml:space="preserve">provided, however, </w:t>
      </w:r>
      <w:r>
        <w:rPr/>
        <w:t>that any failure or delay in providing such notice to Indemnifying Party will not relieve Indemnifying Party of any obligation hereunder except to the extent and only to the extent Indemnifying Party was actually prejudiced by such delay or failure.  Indemnifying Party shall within 30 days from its receipt of such notice either notify Claimant that Indemnifying Party disputes such Claim, or pay the amounts owing by Indemnifying Party under such Claim in cash.  Any disputes concerning any such indemnification shall be resolved by a court having jurisdiction in the matter.</w:t>
      </w:r>
    </w:p>
    <w:p>
      <w:pPr>
        <w:pStyle w:val="BodyText"/>
        <w:ind w:firstLine="1440" w:end="0"/>
        <w:rPr/>
      </w:pPr>
      <w:r>
        <w:rPr/>
        <w:t>If a Claim may be deemed to involve both a direct Claim (and thus subject to the terms of this Section 9.5(a)) and a Claim involving a third party (and thus subject to the terms of Section 9.5(b)), it will be treated hereunder as a Claim involving a third party.</w:t>
      </w:r>
    </w:p>
    <w:p>
      <w:pPr>
        <w:pStyle w:val="Heading3"/>
        <w:ind w:hanging="0" w:start="0"/>
        <w:rPr/>
      </w:pPr>
      <w:r>
        <w:rPr>
          <w:i/>
        </w:rPr>
        <w:t>Third Party Claims</w:t>
      </w:r>
      <w:r>
        <w:rPr/>
        <w:t>.</w:t>
      </w:r>
    </w:p>
    <w:p>
      <w:pPr>
        <w:pStyle w:val="Heading4"/>
        <w:ind w:hanging="0" w:start="0"/>
        <w:rPr/>
      </w:pPr>
      <w:r>
        <w:rPr/>
        <w:t xml:space="preserve">Promptly after receipt of written notice of a Claim involving a third party, Claimant will give Indemnifying Party written notice of any such Claim; </w:t>
      </w:r>
      <w:r>
        <w:rPr>
          <w:i/>
        </w:rPr>
        <w:t xml:space="preserve">provided, however, </w:t>
      </w:r>
      <w:r>
        <w:rPr/>
        <w:t xml:space="preserve">that any failure or delay in providing such notice to Indemnifying Party will not relieve Indemnifying Party of any obligations hereunder except to the extent and only to the extent Indemnifying Party was actually prejudiced by such delay or failure. Indemnifying Party will have the right to undertake the defense, compromise or settlement of such Claim and Indemnifying Party will not be liable for the fees or expenses of separate counsel for Claimant, unless the counsel designated by Indemnifying Party is unable, due to a conflict (as determined under applicable law, bar rules and regulations and canons of ethics) arising in connection with  representation of Indemnifying Party and Claimant, to fully represent  Claimant with respect to such Claim, in which case Indemnifying Party will be liable for the fees and expenses of one separate counsel for Claimant.  Claimant will use its reasonable efforts to cooperate fully with respect to the defense of any Claim.  Unless Indemnifying Party has delivered to Claimant a written statement in form and substance acceptable to Claimant acknowledging and confirming that a subject Claim is fully within the scope of indemnification obligations of Indemnifying Party under this Agreement, if after the passage of a reasonable period of time after notice of any Claim, Indemnifying Party has not initiated a defense against such Claim, Claimant will have the right to undertake the defense, compromise or settlement of such Claim at any time prior to settlement, compromise or final determination thereof and any action so taken by Claimant with regard to such defense, compromise or settlement will be deemed to be within the protection afforded by this Agreement; </w:t>
      </w:r>
      <w:r>
        <w:rPr>
          <w:i/>
        </w:rPr>
        <w:t xml:space="preserve">provided, however, </w:t>
      </w:r>
      <w:r>
        <w:rPr/>
        <w:t>that any settlement of any such Claim shall require the prior written consent of Indemnifying Party, which consent shall not be unreasonably withheld or delayed.</w:t>
      </w:r>
    </w:p>
    <w:p>
      <w:pPr>
        <w:pStyle w:val="Heading4"/>
        <w:ind w:hanging="0" w:start="0"/>
        <w:rPr/>
      </w:pPr>
      <w:r>
        <w:rPr/>
        <w:t xml:space="preserve">Anything in this Section 9.5 to the contrary notwithstanding, (A) if there is a reasonable possibility that a Claim may materially adversely affect Claimant other than as a result of money damages or other money payments that are within the protection afforded by this Agreement, Claimant will have the right, at Indemnifying Party’s cost and expense, to defend, and, with the consent of Indemnifying Party (which consent will not be unreasonably withheld or delayed), to compromise or settle such Claim, and (B) Indemnifying Party will not settle or compromise any Claim or consent to the entry of any judgment that does not include as an unconditional term thereof the giving by the third party claimant or plaintiff to Claimant a full, irrevocable and unconditional release from all liability in respect of such Claim. </w:t>
      </w:r>
    </w:p>
    <w:p>
      <w:pPr>
        <w:pStyle w:val="Heading2"/>
        <w:ind w:hanging="0" w:start="0"/>
        <w:rPr>
          <w:vanish/>
          <w:color w:val="FF0000"/>
        </w:rPr>
      </w:pPr>
      <w:bookmarkStart w:id="81" w:name="__RefHeading___Toc487278907"/>
      <w:r>
        <w:rPr/>
        <w:t>Adjustments to Indemnity Payments.</w:t>
      </w:r>
      <w:bookmarkEnd w:id="81"/>
      <w:r>
        <w:rPr/>
        <w:t xml:space="preserve">   </w:t>
      </w:r>
    </w:p>
    <w:p>
      <w:pPr>
        <w:pStyle w:val="Heading3"/>
        <w:ind w:hanging="0" w:start="0"/>
        <w:rPr/>
      </w:pPr>
      <w:r>
        <w:rPr/>
        <w:t>The amount payable by the Indemnifying Party to the Claimant pursuant to this Article IX shall be reduced by the amount of any Tax benefit realized or to be realized (including by refund or by reduction of or offset against Taxes otherwise payable had the Claim not been sustained) by the Claimant by reason of the payment or incurrence by the Claimant of the Claim for which indemnification pursuant to this Article IX is sought or the occurrence of the event giving rise to such Claim.  To the extent that a Tax benefit is realized after payment has been made by the Indemnifying Party to the Claimant with respect to a Claim, the Claimant shall promptly pay an amount equal to such proceeds or benefit to the Indemnifying Party.</w:t>
      </w:r>
    </w:p>
    <w:p>
      <w:pPr>
        <w:pStyle w:val="Heading3"/>
        <w:ind w:hanging="0" w:start="0"/>
        <w:rPr>
          <w:rFonts w:ascii="CG Times" w:hAnsi="CG Times" w:cs="CG Times"/>
          <w:color w:val="000000"/>
        </w:rPr>
      </w:pPr>
      <w:r>
        <w:rPr>
          <w:rFonts w:cs="CG Times" w:ascii="CG Times" w:hAnsi="CG Times"/>
        </w:rPr>
        <w:t>Any amount payable by Seller to Purchaser pursuant to this Article IX shall be reduced by the amount of any insurance proceeds assigned or to be assigned to Purchaser by Seller pursuant to Section 5.8.</w:t>
      </w:r>
    </w:p>
    <w:p>
      <w:pPr>
        <w:pStyle w:val="Heading2"/>
        <w:keepNext w:val="true"/>
        <w:ind w:hanging="0" w:start="0"/>
        <w:rPr>
          <w:vanish/>
          <w:color w:val="FF0000"/>
        </w:rPr>
      </w:pPr>
      <w:bookmarkStart w:id="82" w:name="__RefHeading___Toc487278908"/>
      <w:bookmarkEnd w:id="82"/>
      <w:r>
        <w:rPr/>
        <w:t>Exclusive Remedy</w:t>
      </w:r>
    </w:p>
    <w:p>
      <w:pPr>
        <w:pStyle w:val="BodyText"/>
        <w:rPr/>
      </w:pPr>
      <w:r>
        <w:rPr/>
        <w:t>.  Except with respect to Claims arising out of fraud, after the Closing the sole remedy of Purchaser for the breach by Seller or Company of a representation or warranty or the breach of a covenant or agreement to be performed prior to the Closing shall be the Purchaser's entitlement to indemnification under Articles VI, VII and IX of this Agreement.  Except with respect to Claims arising out of fraud, after the Closing the sole remedy of Seller for the breach by Purchaser of a representation or warranty or the breach of a covenant or agreement to be performed prior to the Closing shall be the Seller's entitlement to indemnification under Articles VI, VII and IX.</w:t>
      </w:r>
    </w:p>
    <w:p>
      <w:pPr>
        <w:pStyle w:val="Heading2"/>
        <w:ind w:hanging="0" w:start="0"/>
        <w:rPr>
          <w:i w:val="false"/>
          <w:i w:val="false"/>
          <w:vanish/>
          <w:color w:val="FF0000"/>
        </w:rPr>
      </w:pPr>
      <w:bookmarkStart w:id="83" w:name="__RefHeading___Toc487278909"/>
      <w:bookmarkEnd w:id="83"/>
      <w:r>
        <w:rPr/>
        <w:t>Tax Claims Pursuant to Article VII and IX</w:t>
      </w:r>
    </w:p>
    <w:p>
      <w:pPr>
        <w:pStyle w:val="Normal"/>
        <w:ind w:firstLine="720" w:end="0"/>
        <w:jc w:val="both"/>
        <w:rPr/>
      </w:pPr>
      <w:r>
        <w:rPr/>
        <w:t>.  To the extent a Claim for Taxes could be made under Article VII and Article IX and relating to (A) the breach by Seller of any representation or warranty of Seller or Company in Section 2.11 to the extent it relates to Pre-Closing Taxes and Overlap Period Taxes rather than informational or administrative items, (B) the breach by Seller of a representation or warranty of Seller in Section 3.5 or (C) the payment by Seller of Pre-Closing Taxes and Overlap Period Taxes shall be provided for exclusively in Article VII.</w:t>
      </w:r>
    </w:p>
    <w:p>
      <w:pPr>
        <w:pStyle w:val="Normal"/>
        <w:rPr/>
      </w:pPr>
      <w:r>
        <w:rPr/>
      </w:r>
    </w:p>
    <w:p>
      <w:pPr>
        <w:pStyle w:val="Heading1"/>
        <w:keepNext w:val="true"/>
        <w:keepLines/>
        <w:ind w:hanging="0" w:start="0"/>
        <w:rPr/>
      </w:pPr>
      <w:r>
        <w:rPr/>
        <w:br/>
        <w:br/>
      </w:r>
      <w:bookmarkStart w:id="84" w:name="__RefHeading___Toc487278910"/>
      <w:r>
        <w:rPr/>
        <w:t>TERMINATION</w:t>
      </w:r>
      <w:bookmarkEnd w:id="84"/>
    </w:p>
    <w:p>
      <w:pPr>
        <w:pStyle w:val="Heading2"/>
        <w:ind w:hanging="0" w:start="0"/>
        <w:rPr>
          <w:i w:val="false"/>
          <w:i w:val="false"/>
          <w:vanish/>
          <w:color w:val="FF0000"/>
        </w:rPr>
      </w:pPr>
      <w:bookmarkStart w:id="85" w:name="__RefHeading___Toc487278911"/>
      <w:bookmarkEnd w:id="85"/>
      <w:r>
        <w:rPr/>
        <w:t>Termination of Agreement</w:t>
      </w:r>
    </w:p>
    <w:p>
      <w:pPr>
        <w:pStyle w:val="BodyText"/>
        <w:rPr/>
      </w:pPr>
      <w:r>
        <w:rPr/>
        <w:t>.  Anything herein to the contrary notwithstanding, this Agreement and the transactions contemplated herein may be terminated at any time before the Closing as follows:</w:t>
      </w:r>
    </w:p>
    <w:p>
      <w:pPr>
        <w:pStyle w:val="Heading3"/>
        <w:ind w:hanging="0" w:start="0"/>
        <w:rPr/>
      </w:pPr>
      <w:r>
        <w:rPr/>
        <w:t>by the mutual consent of Seller and Purchaser;</w:t>
      </w:r>
    </w:p>
    <w:p>
      <w:pPr>
        <w:pStyle w:val="Heading3"/>
        <w:ind w:hanging="0" w:start="0"/>
        <w:rPr/>
      </w:pPr>
      <w:r>
        <w:rPr/>
        <w:t>by either Seller or Purchaser if the Closing shall not have occurred on or before December 31, 2000 (the "Upset Date");</w:t>
      </w:r>
    </w:p>
    <w:p>
      <w:pPr>
        <w:pStyle w:val="Heading3"/>
        <w:ind w:hanging="0" w:start="0"/>
        <w:rPr/>
      </w:pPr>
      <w:r>
        <w:rPr/>
        <w:t>by Purchaser if there has been (i) a breach of any representation or warranty set forth in this Agreement containing a reference to "material," "materially," "Material Adverse Effect" or a similar phrase, (ii) a material breach of any other representation or warranty set forth in this Agreement, or (iii) a material breach of any covenant set forth in this Agreement, in each case by Seller or Company, such that the conditions set forth in Section 8.1 would not be satisfied, which breach has not been cured within 30 days following receipt by Seller or Company of notice of such breach;</w:t>
      </w:r>
    </w:p>
    <w:p>
      <w:pPr>
        <w:pStyle w:val="Heading3"/>
        <w:ind w:hanging="0" w:start="0"/>
        <w:rPr/>
      </w:pPr>
      <w:r>
        <w:rPr/>
        <w:t>by Purchaser, upon the imposition of a stay with respect to Seller by any bankruptcy court or trustee preventing the consummation of the transactions contemplated herein or any other action with respect to Seller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3"/>
        <w:ind w:hanging="0" w:start="0"/>
        <w:rPr/>
      </w:pPr>
      <w:r>
        <w:rPr/>
        <w:t>by Seller if there has been (i) a material breach of any representation or warranty of Purchaser set forth in this Agreement or (ii) a material breach of any covenant of Purchaser set forth in this Agreement such that the conditions set forth in Section 8.2 would not be satisfied, which breach has not been cured within 30 days following receipt by Purchaser of notice of such breach;</w:t>
      </w:r>
    </w:p>
    <w:p>
      <w:pPr>
        <w:pStyle w:val="Heading3"/>
        <w:ind w:hanging="0" w:start="0"/>
        <w:rPr/>
      </w:pPr>
      <w:r>
        <w:rPr/>
        <w:t>by Seller, upon the imposition of a stay with respect to Purchaser by any bankruptcy court or trustee preventing the consummation of the transactions contemplated herein or any other action with respect to Purchaser by any bankruptcy court or trustee having the effect of restraining, invalidating or otherwise preventing the consummation of all or any part of the transactions contemplated herein, in each case which stay or action has not been cured within 60 days from the date such stay was imposed or action taken, as the case may be.</w:t>
      </w:r>
    </w:p>
    <w:p>
      <w:pPr>
        <w:pStyle w:val="Heading2"/>
        <w:ind w:hanging="0" w:start="0"/>
        <w:rPr>
          <w:i w:val="false"/>
          <w:i w:val="false"/>
          <w:vanish/>
          <w:color w:val="FF0000"/>
        </w:rPr>
      </w:pPr>
      <w:bookmarkStart w:id="86" w:name="__RefHeading___Toc487278912"/>
      <w:bookmarkEnd w:id="86"/>
      <w:r>
        <w:rPr/>
        <w:t>Effect of Termination</w:t>
      </w:r>
    </w:p>
    <w:p>
      <w:pPr>
        <w:pStyle w:val="BodyText"/>
        <w:rPr/>
      </w:pPr>
      <w:r>
        <w:rPr/>
        <w:t>.  Except as provided in Sections 10.3 and 11.1 of this Agreement, in the event of the termination of this Agreement pursuant to Section 10.1, this Agreement shall forthwith become void, there shall be no liability on the part of Purchaser, Company, or Seller or any of their respective officers or directors to the other and all rights and obligations of any party hereto shall cease, provided, however, that nothing contained in this Section 10.2 shall relieve any party from liability for fraud or any willful breach of any representation or warranty or willful failure to comply with any covenant or agreement contained herein.</w:t>
      </w:r>
    </w:p>
    <w:p>
      <w:pPr>
        <w:pStyle w:val="Heading2"/>
        <w:ind w:hanging="0" w:start="0"/>
        <w:rPr>
          <w:i w:val="false"/>
          <w:i w:val="false"/>
          <w:vanish/>
          <w:color w:val="FF0000"/>
        </w:rPr>
      </w:pPr>
      <w:bookmarkStart w:id="87" w:name="__RefHeading___Toc487278913"/>
      <w:bookmarkEnd w:id="87"/>
      <w:r>
        <w:rPr/>
        <w:t>Fees, Expenses and Other Payments</w:t>
      </w:r>
    </w:p>
    <w:p>
      <w:pPr>
        <w:pStyle w:val="BodyText"/>
        <w:rPr/>
      </w:pPr>
      <w:r>
        <w:rPr/>
        <w:t>.  Except as provided in Section 5.2, Section 6.1, Section 7.6, Section 10.2 or this Section 10.3, all costs and expenses incurred in connection with this Agreement and the transactions contemplated hereby shall be paid by the parties incurring such expense.  In the event of termination of this Agreement pursuant to Section 10.1(c) or (d), all reasonable out-of-pocket costs and expenses (including reasonable fees of legal and other advisors but excluding any fees and expenses incurred by Purchaser to arrange its financing, including but not limited to any commitment fees) incurred by Purchaser with respect to this Agreement and the transactions contemplated hereby shall be paid by Seller.  In the event of termination of this Agreement pursuant to Section 10.1(e) or (f), all reasonable out-of-pocket costs and expenses (including reasonable fees of legal and other advisors) and all costs and Taxes attributable to the LLC Conversion and, if Seller reasonably determines such reconversion is appropriate, all costs and Taxes attributable to converting the limited liability company into which Company has been merged pursuant to such LLC Conversion back to a corporation incurred by Seller with respect to this Agreement and the transactions contemplated hereby shall be paid by Purchaser.</w:t>
      </w:r>
    </w:p>
    <w:p>
      <w:pPr>
        <w:pStyle w:val="Heading1"/>
        <w:keepNext w:val="true"/>
        <w:keepLines/>
        <w:ind w:hanging="0" w:start="0"/>
        <w:rPr/>
      </w:pPr>
      <w:r>
        <w:rPr/>
        <w:br/>
        <w:br/>
      </w:r>
      <w:bookmarkStart w:id="88" w:name="__RefHeading___Toc487278914"/>
      <w:r>
        <w:rPr/>
        <w:t>OTHER COVENANTS AND OBLIGATIONS</w:t>
      </w:r>
      <w:bookmarkEnd w:id="88"/>
    </w:p>
    <w:p>
      <w:pPr>
        <w:pStyle w:val="Heading2"/>
        <w:ind w:hanging="0" w:start="0"/>
        <w:rPr>
          <w:i w:val="false"/>
          <w:i w:val="false"/>
          <w:vanish/>
          <w:color w:val="FF0000"/>
        </w:rPr>
      </w:pPr>
      <w:bookmarkStart w:id="89" w:name="__RefHeading___Toc487278915"/>
      <w:bookmarkEnd w:id="89"/>
      <w:r>
        <w:rPr/>
        <w:t>Confidentiality</w:t>
      </w:r>
    </w:p>
    <w:p>
      <w:pPr>
        <w:pStyle w:val="BodyText"/>
        <w:keepNext w:val="true"/>
        <w:keepLines/>
        <w:rPr/>
      </w:pPr>
      <w:r>
        <w:rPr/>
        <w:t>.  The parties hereto will keep confidential (a) any and all non-public information furnished to any of them or their respective Affiliates by or on behalf of one of the other parties hereto, independent public accountants, investment bankers, counsel or other advisors in the course of negotiations relating to this Agreement or any transaction contemplated by this Agreement and (b) the existence and subject matter of this Agreement, except to the extent that any such information may be generally available to the public; provided, however, that any disclosure of any such information may be made to the extent required by applicable law, regulation, judicial or regulatory process or stock exchange rule and that such information may be used as evidence in or in connection with any pending or threatened litigation or arbitration proceeding by or against any party hereto relating to this Agreement or any transaction contemplated hereby.  The parties agree to instruct their respective officers, representatives, employees and advisers having access to such information of the obligations set forth herein.  If the Closing does not occur, the obligations arising under this Section 11.1 shall otherwise survive any termination or abandonment of this Agreement for a period of 12 months.</w:t>
      </w:r>
    </w:p>
    <w:p>
      <w:pPr>
        <w:pStyle w:val="Heading2"/>
        <w:ind w:hanging="0" w:start="0"/>
        <w:rPr>
          <w:i w:val="false"/>
          <w:i w:val="false"/>
          <w:vanish/>
          <w:color w:val="FF0000"/>
        </w:rPr>
      </w:pPr>
      <w:bookmarkStart w:id="90" w:name="__RefHeading___Toc487278916"/>
      <w:bookmarkEnd w:id="90"/>
      <w:r>
        <w:rPr/>
        <w:t>Public Announcements</w:t>
      </w:r>
    </w:p>
    <w:p>
      <w:pPr>
        <w:pStyle w:val="BodyText"/>
        <w:rPr/>
      </w:pPr>
      <w:r>
        <w:rPr/>
        <w:t>.  Prior to the Closing Date, no party to this Agreement shall make or permit any Affiliate to make any public announcement relating to this Agreement or the transactions contemplated hereby without the prior written consent of all of the other parties, other than as required by applicable law, regulation or stock exchange rule; provided, that a party shall use commercially reasonable efforts to provide all other parties with the opportunity to review any such required announcement prior to its public release.</w:t>
      </w:r>
    </w:p>
    <w:p>
      <w:pPr>
        <w:pStyle w:val="Heading2"/>
        <w:ind w:hanging="0" w:start="0"/>
        <w:rPr>
          <w:i w:val="false"/>
          <w:i w:val="false"/>
          <w:vanish/>
          <w:color w:val="FF0000"/>
        </w:rPr>
      </w:pPr>
      <w:bookmarkStart w:id="91" w:name="__RefHeading___Toc487278917"/>
      <w:bookmarkEnd w:id="91"/>
      <w:r>
        <w:rPr/>
        <w:t>Further Assurances</w:t>
      </w:r>
    </w:p>
    <w:p>
      <w:pPr>
        <w:pStyle w:val="BodyText"/>
        <w:rPr/>
      </w:pPr>
      <w:r>
        <w:rPr/>
        <w:t>.  Each party to this Agreement agrees to execute and deliver such instruments and take such actions as any other party may reasonably request in order to carry out the intent of this Agreement and effectuate the consummation of the transactions contemplated herein.</w:t>
      </w:r>
    </w:p>
    <w:p>
      <w:pPr>
        <w:pStyle w:val="Heading2"/>
        <w:ind w:hanging="0" w:start="0"/>
        <w:rPr>
          <w:vanish/>
          <w:color w:val="FF0000"/>
        </w:rPr>
      </w:pPr>
      <w:bookmarkStart w:id="92" w:name="__RefHeading___Toc487278918"/>
      <w:bookmarkEnd w:id="92"/>
      <w:r>
        <w:rPr/>
        <w:t>Brokers</w:t>
      </w:r>
    </w:p>
    <w:p>
      <w:pPr>
        <w:pStyle w:val="BodyText"/>
        <w:rPr/>
      </w:pPr>
      <w:r>
        <w:rPr/>
        <w:t>.  Purchaser and Seller each represent to the other that neither Seller nor Purchaser, a relative or Affiliate of the holder(s) of the majority of the voting stock of Seller as of the date hereof, or any of their respective Affiliates has engaged, consented to or authorized any broker, investment banker or other third party to act on its behalf, directly or indirectly, as a broker or finder in connection with the sale of the Purchased Interests pursuant to this Agreement, nor is any broker, investment banker or other third party entitled to any fee or compensation in connection with the sale of the Purchased Interests pursuant to this Agreement by reason of any action of Purchaser or Seller or any of their respective Affiliates.</w:t>
      </w:r>
    </w:p>
    <w:p>
      <w:pPr>
        <w:pStyle w:val="Heading2"/>
        <w:ind w:hanging="0" w:start="0"/>
        <w:rPr>
          <w:vanish/>
          <w:color w:val="FF0000"/>
        </w:rPr>
      </w:pPr>
      <w:bookmarkStart w:id="93" w:name="__RefHeading___Toc487278919"/>
      <w:bookmarkEnd w:id="93"/>
      <w:r>
        <w:rPr/>
        <w:t>Use of Certain Names</w:t>
      </w:r>
    </w:p>
    <w:p>
      <w:pPr>
        <w:pStyle w:val="BodyText"/>
        <w:rPr/>
      </w:pPr>
      <w:r>
        <w:rPr/>
        <w:t>.  From and after the Closing Date, neither Seller nor any of its Affiliates will use as part of a corporate name, identification, trademark, service mark or trade name, any of the names and trademarks of Company, and neither Seller nor any of its Affiliates will challenge or otherwise restrict the use of any such names and trademarks by Company or any of its Affiliates.  The provisions of this Section 11.5 will survive the Closing.</w:t>
      </w:r>
    </w:p>
    <w:p>
      <w:pPr>
        <w:pStyle w:val="Heading1"/>
        <w:ind w:hanging="0" w:start="0"/>
        <w:rPr/>
      </w:pPr>
      <w:r>
        <w:rPr/>
        <w:br/>
        <w:br/>
      </w:r>
      <w:bookmarkStart w:id="94" w:name="__RefHeading___Toc487278920"/>
      <w:r>
        <w:rPr/>
        <w:t>MISCELLANEOUS</w:t>
      </w:r>
      <w:bookmarkEnd w:id="94"/>
    </w:p>
    <w:p>
      <w:pPr>
        <w:pStyle w:val="Heading2"/>
        <w:ind w:hanging="0" w:start="0"/>
        <w:rPr/>
      </w:pPr>
      <w:bookmarkStart w:id="95" w:name="__RefHeading___Toc487278921"/>
      <w:bookmarkEnd w:id="95"/>
      <w:r>
        <w:rPr/>
        <w:t>Definitions.  For purposes of this Agreement:</w:t>
      </w:r>
    </w:p>
    <w:p>
      <w:pPr>
        <w:pStyle w:val="Heading3"/>
        <w:ind w:hanging="0" w:start="0"/>
        <w:rPr/>
      </w:pPr>
      <w:r>
        <w:rPr/>
        <w:t xml:space="preserve">"Additional Taxes" has the meaning set forth in Section 1.4(b). </w:t>
      </w:r>
    </w:p>
    <w:p>
      <w:pPr>
        <w:pStyle w:val="Heading3"/>
        <w:ind w:hanging="0" w:start="0"/>
        <w:rPr/>
      </w:pPr>
      <w:r>
        <w:rPr/>
        <w:t>"Affiliate" means with respect to a specified entity, an entity that directly, or indirectly through one or more intermediaries, controls, or is controlled by, or is under common control with the entity specified;</w:t>
      </w:r>
    </w:p>
    <w:p>
      <w:pPr>
        <w:pStyle w:val="Heading3"/>
        <w:ind w:hanging="0" w:start="0"/>
        <w:rPr/>
      </w:pPr>
      <w:r>
        <w:rPr/>
        <w:t>"Agreement" has the meaning set forth in the first paragraph hereof;</w:t>
      </w:r>
    </w:p>
    <w:p>
      <w:pPr>
        <w:pStyle w:val="Heading3"/>
        <w:ind w:hanging="0" w:start="0"/>
        <w:rPr/>
      </w:pPr>
      <w:r>
        <w:rPr/>
        <w:t>"Allocation Schedule" has the meaning set forth in Section 7.1;</w:t>
      </w:r>
    </w:p>
    <w:p>
      <w:pPr>
        <w:pStyle w:val="Heading3"/>
        <w:ind w:hanging="0" w:start="0"/>
        <w:rPr/>
      </w:pPr>
      <w:r>
        <w:rPr/>
        <w:t>"Alternative Transaction" means (i) any merger, combination, tender offer, share exchange, sale of shares of capital stock or similar business combination transaction involving Company, or the acquisition, directly or indirectly, of a material interest in any voting securities of Company or (ii) any sale or other disposition, directly or indirectly, of 25% or more of the assets of Company, taken as a whole;</w:t>
      </w:r>
    </w:p>
    <w:p>
      <w:pPr>
        <w:pStyle w:val="Heading3"/>
        <w:ind w:hanging="0" w:start="0"/>
        <w:rPr/>
      </w:pPr>
      <w:r>
        <w:rPr/>
        <w:t>"Arrangement" shall mean (i) any written lease, agreement, contract, commitment or license or (ii) any enforceable understanding or enforceable oral lease, agreement, contract, commitment or license;</w:t>
      </w:r>
    </w:p>
    <w:p>
      <w:pPr>
        <w:pStyle w:val="Heading3"/>
        <w:ind w:hanging="0" w:start="0"/>
        <w:rPr/>
      </w:pPr>
      <w:r>
        <w:rPr/>
        <w:t>"Benefit Program or Agreement" has the meaning set forth in Section 2.12(a);</w:t>
      </w:r>
    </w:p>
    <w:p>
      <w:pPr>
        <w:pStyle w:val="Heading3"/>
        <w:ind w:hanging="0" w:start="0"/>
        <w:rPr/>
      </w:pPr>
      <w:r>
        <w:rPr/>
        <w:t>"Bond Guaranty" has the meaning set forth in Section 5.10(a);</w:t>
      </w:r>
    </w:p>
    <w:p>
      <w:pPr>
        <w:pStyle w:val="Heading3"/>
        <w:ind w:hanging="0" w:start="0"/>
        <w:rPr/>
      </w:pPr>
      <w:r>
        <w:rPr/>
        <w:t>"Bonds" has the meaning set forth in Section 5.10(a);</w:t>
      </w:r>
    </w:p>
    <w:p>
      <w:pPr>
        <w:pStyle w:val="Heading3"/>
        <w:ind w:hanging="0" w:start="0"/>
        <w:rPr/>
      </w:pPr>
      <w:r>
        <w:rPr/>
        <w:t>"Business Day"  means a day of the year on which banks are not required or authorized to close in New York City;</w:t>
      </w:r>
    </w:p>
    <w:p>
      <w:pPr>
        <w:pStyle w:val="Heading3"/>
        <w:ind w:hanging="0" w:start="0"/>
        <w:rPr/>
      </w:pPr>
      <w:r>
        <w:rPr/>
        <w:t>"CERCLA" has the meaning set forth in Section 2.10(a);</w:t>
      </w:r>
    </w:p>
    <w:p>
      <w:pPr>
        <w:pStyle w:val="Heading3"/>
        <w:ind w:hanging="0" w:start="0"/>
        <w:rPr/>
      </w:pPr>
      <w:r>
        <w:rPr/>
        <w:t>"CERCLIS" has the meaning set forth in Section 2.10(a);</w:t>
      </w:r>
    </w:p>
    <w:p>
      <w:pPr>
        <w:pStyle w:val="Heading3"/>
        <w:ind w:hanging="0" w:start="0"/>
        <w:rPr/>
      </w:pPr>
      <w:r>
        <w:rPr/>
        <w:t>"Claimant" has the meaning set forth in Section 9.5(a);</w:t>
      </w:r>
    </w:p>
    <w:p>
      <w:pPr>
        <w:pStyle w:val="Heading3"/>
        <w:ind w:hanging="0" w:start="0"/>
        <w:rPr/>
      </w:pPr>
      <w:r>
        <w:rPr/>
        <w:t>"Claims" has the meaning set forth in Section 9.2;</w:t>
      </w:r>
    </w:p>
    <w:p>
      <w:pPr>
        <w:pStyle w:val="Heading3"/>
        <w:ind w:hanging="0" w:start="0"/>
        <w:rPr/>
      </w:pPr>
      <w:r>
        <w:rPr/>
        <w:t>"Closing" has the meaning set forth in Section 1.2;</w:t>
      </w:r>
    </w:p>
    <w:p>
      <w:pPr>
        <w:pStyle w:val="Heading3"/>
        <w:ind w:hanging="0" w:start="0"/>
        <w:rPr/>
      </w:pPr>
      <w:r>
        <w:rPr/>
        <w:t>"Closing Consents" has the meaning set forth in Section 8.1(b);</w:t>
      </w:r>
    </w:p>
    <w:p>
      <w:pPr>
        <w:pStyle w:val="Heading3"/>
        <w:ind w:hanging="0" w:start="0"/>
        <w:rPr/>
      </w:pPr>
      <w:r>
        <w:rPr/>
        <w:t>"Closing Date" has the meaning set forth in Section 1.2;</w:t>
      </w:r>
    </w:p>
    <w:p>
      <w:pPr>
        <w:pStyle w:val="Heading3"/>
        <w:ind w:hanging="0" w:start="0"/>
        <w:rPr/>
      </w:pPr>
      <w:r>
        <w:rPr/>
        <w:t>"Closing Date Balance Sheet" has the meaning set forth in Section 8.1(f);</w:t>
      </w:r>
    </w:p>
    <w:p>
      <w:pPr>
        <w:pStyle w:val="Heading3"/>
        <w:ind w:hanging="0" w:start="0"/>
        <w:rPr/>
      </w:pPr>
      <w:r>
        <w:rPr/>
        <w:t>"Closing Date Statement of Net Working Capital" has the meaning set forth in Section 1.3(c);</w:t>
      </w:r>
    </w:p>
    <w:p>
      <w:pPr>
        <w:pStyle w:val="Heading3"/>
        <w:ind w:hanging="0" w:start="0"/>
        <w:rPr/>
      </w:pPr>
      <w:r>
        <w:rPr/>
        <w:t>"Code" means the Internal Revenue Code of 1986, as amended, and the rules and regulations promulgated thereunder;</w:t>
      </w:r>
    </w:p>
    <w:p>
      <w:pPr>
        <w:pStyle w:val="Heading3"/>
        <w:ind w:hanging="0" w:start="0"/>
        <w:rPr/>
      </w:pPr>
      <w:r>
        <w:rPr/>
        <w:t>"Company" has the meaning set forth in the first paragraph hereof;</w:t>
      </w:r>
    </w:p>
    <w:p>
      <w:pPr>
        <w:pStyle w:val="Heading3"/>
        <w:ind w:hanging="0" w:start="0"/>
        <w:rPr/>
      </w:pPr>
      <w:r>
        <w:rPr/>
        <w:t xml:space="preserve">"Company Consents" has the meaning set forth in Section 2.13; </w:t>
      </w:r>
    </w:p>
    <w:p>
      <w:pPr>
        <w:pStyle w:val="Heading3"/>
        <w:ind w:hanging="0" w:start="0"/>
        <w:rPr/>
      </w:pPr>
      <w:r>
        <w:rPr/>
        <w:t>"Company Employee" has the meaning set forth in Section 5.9;</w:t>
      </w:r>
    </w:p>
    <w:p>
      <w:pPr>
        <w:pStyle w:val="Heading3"/>
        <w:ind w:hanging="0" w:start="0"/>
        <w:rPr/>
      </w:pPr>
      <w:r>
        <w:rPr/>
        <w:t>"Company Intellectual Property Rights" has the meaning set forth in Section 2.9(a);</w:t>
      </w:r>
    </w:p>
    <w:p>
      <w:pPr>
        <w:pStyle w:val="Heading3"/>
        <w:ind w:hanging="0" w:start="0"/>
        <w:rPr/>
      </w:pPr>
      <w:r>
        <w:rPr/>
        <w:t>"Company Plans" has the meaning set forth in Section 2.12(a);</w:t>
      </w:r>
    </w:p>
    <w:p>
      <w:pPr>
        <w:pStyle w:val="Heading3"/>
        <w:ind w:hanging="0" w:start="0"/>
        <w:rPr/>
      </w:pPr>
      <w:r>
        <w:rPr/>
        <w:t>"Designated Closing Date" has the meaning set forth in Section 1.2(a);</w:t>
      </w:r>
    </w:p>
    <w:p>
      <w:pPr>
        <w:pStyle w:val="Heading3"/>
        <w:ind w:hanging="0" w:start="0"/>
        <w:rPr/>
      </w:pPr>
      <w:r>
        <w:rPr/>
        <w:t>"Environmental Approvals" has the meaning set forth in Section 2.10(c);</w:t>
      </w:r>
    </w:p>
    <w:p>
      <w:pPr>
        <w:pStyle w:val="Heading3"/>
        <w:ind w:hanging="0" w:start="0"/>
        <w:rPr/>
      </w:pPr>
      <w:r>
        <w:rPr/>
        <w:t>"Environmental Condition" has the meaning set forth in Section 2.10(c);</w:t>
      </w:r>
    </w:p>
    <w:p>
      <w:pPr>
        <w:pStyle w:val="Heading3"/>
        <w:ind w:hanging="0" w:start="0"/>
        <w:rPr/>
      </w:pPr>
      <w:r>
        <w:rPr/>
        <w:t>"Environmental Law" has the meaning set forth in Section 2.10(c);</w:t>
      </w:r>
    </w:p>
    <w:p>
      <w:pPr>
        <w:pStyle w:val="Heading3"/>
        <w:ind w:hanging="0" w:start="0"/>
        <w:rPr/>
      </w:pPr>
      <w:r>
        <w:rPr/>
        <w:t>"ERISA" has the meaning set forth in 2.12(a);</w:t>
      </w:r>
    </w:p>
    <w:p>
      <w:pPr>
        <w:pStyle w:val="Heading3"/>
        <w:ind w:hanging="0" w:start="0"/>
        <w:rPr/>
      </w:pPr>
      <w:r>
        <w:rPr/>
        <w:t>"ERISA Affiliate" has the meaning set forth in 2.12(c);</w:t>
      </w:r>
    </w:p>
    <w:p>
      <w:pPr>
        <w:pStyle w:val="Heading3"/>
        <w:ind w:hanging="0" w:start="0"/>
        <w:rPr/>
      </w:pPr>
      <w:r>
        <w:rPr/>
        <w:t>"Escrow Agreement" has the meaning set forth in Section 5.10(b);</w:t>
      </w:r>
    </w:p>
    <w:p>
      <w:pPr>
        <w:pStyle w:val="Normal"/>
        <w:rPr/>
      </w:pPr>
      <w:r>
        <w:rPr/>
      </w:r>
    </w:p>
    <w:p>
      <w:pPr>
        <w:pStyle w:val="Heading3"/>
        <w:ind w:hanging="0" w:start="0"/>
        <w:rPr/>
      </w:pPr>
      <w:r>
        <w:rPr/>
        <w:t>"Financial Statements" has the meaning set forth in 2.5(a);</w:t>
      </w:r>
    </w:p>
    <w:p>
      <w:pPr>
        <w:pStyle w:val="Heading3"/>
        <w:ind w:hanging="0" w:start="0"/>
        <w:rPr/>
      </w:pPr>
      <w:r>
        <w:rPr/>
        <w:t>"Foreign Benefit Program Agreement" has the meaning set forth in Section 2.12(a);</w:t>
      </w:r>
    </w:p>
    <w:p>
      <w:pPr>
        <w:pStyle w:val="Heading3"/>
        <w:ind w:hanging="0" w:start="0"/>
        <w:rPr/>
      </w:pPr>
      <w:r>
        <w:rPr/>
        <w:t>"Foreign Plans" has the meaning set forth in Section 2.12(b);</w:t>
      </w:r>
    </w:p>
    <w:p>
      <w:pPr>
        <w:pStyle w:val="Heading3"/>
        <w:ind w:hanging="0" w:start="0"/>
        <w:rPr/>
      </w:pPr>
      <w:r>
        <w:rPr/>
        <w:t>"GAAP" has the meaning set forth in Section 2.5;</w:t>
      </w:r>
    </w:p>
    <w:p>
      <w:pPr>
        <w:pStyle w:val="Heading3"/>
        <w:ind w:hanging="0" w:start="0"/>
        <w:rPr/>
      </w:pPr>
      <w:r>
        <w:rPr/>
        <w:t>"Governmental Authorizations" has the meaning set forth in Section 2.4;</w:t>
      </w:r>
    </w:p>
    <w:p>
      <w:pPr>
        <w:pStyle w:val="Heading3"/>
        <w:ind w:hanging="0" w:start="0"/>
        <w:rPr/>
      </w:pPr>
      <w:r>
        <w:rPr/>
        <w:t>"Hazardous Materials" has the meaning set forth in Section 2.10(c);</w:t>
      </w:r>
    </w:p>
    <w:p>
      <w:pPr>
        <w:pStyle w:val="Heading3"/>
        <w:ind w:hanging="0" w:start="0"/>
        <w:rPr/>
      </w:pPr>
      <w:r>
        <w:rPr/>
        <w:t>"HSR Act" has the meaning given to it in Section 5.2;</w:t>
      </w:r>
    </w:p>
    <w:p>
      <w:pPr>
        <w:pStyle w:val="Heading3"/>
        <w:ind w:hanging="0" w:start="0"/>
        <w:rPr/>
      </w:pPr>
      <w:r>
        <w:rPr/>
        <w:t>"Indemnifying Party" has the meaning set forth in Section 9.5(a);</w:t>
      </w:r>
    </w:p>
    <w:p>
      <w:pPr>
        <w:pStyle w:val="Heading3"/>
        <w:ind w:hanging="0" w:start="0"/>
        <w:rPr/>
      </w:pPr>
      <w:r>
        <w:rPr/>
        <w:t>"Indenture" has the meaning set forth in Section 5.10(a);</w:t>
      </w:r>
    </w:p>
    <w:p>
      <w:pPr>
        <w:pStyle w:val="Heading3"/>
        <w:ind w:hanging="0" w:start="0"/>
        <w:rPr/>
      </w:pPr>
      <w:r>
        <w:rPr/>
        <w:t>"ISRA" has the meaning set forth in Section 5.2;</w:t>
      </w:r>
    </w:p>
    <w:p>
      <w:pPr>
        <w:pStyle w:val="Heading3"/>
        <w:ind w:hanging="0" w:start="0"/>
        <w:rPr/>
      </w:pPr>
      <w:r>
        <w:rPr/>
        <w:t>"Large Customers" has the meaning set forth in Section 2.20;</w:t>
      </w:r>
    </w:p>
    <w:p>
      <w:pPr>
        <w:pStyle w:val="Heading3"/>
        <w:ind w:hanging="0" w:start="0"/>
        <w:rPr/>
      </w:pPr>
      <w:r>
        <w:rPr/>
        <w:t>"Large Suppliers" has the meaning set forth in Section 2.20;</w:t>
      </w:r>
    </w:p>
    <w:p>
      <w:pPr>
        <w:pStyle w:val="Heading3"/>
        <w:ind w:hanging="0" w:start="0"/>
        <w:rPr/>
      </w:pPr>
      <w:r>
        <w:rPr/>
        <w:t>"L/C Agreement" has the meaning set forth in Section 5.10(a);</w:t>
      </w:r>
    </w:p>
    <w:p>
      <w:pPr>
        <w:pStyle w:val="Heading3"/>
        <w:ind w:hanging="0" w:start="0"/>
        <w:rPr/>
      </w:pPr>
      <w:r>
        <w:rPr/>
        <w:t>"L/C Guaranty" has the meaning set forth in Section 5.10(a);</w:t>
      </w:r>
    </w:p>
    <w:p>
      <w:pPr>
        <w:pStyle w:val="Heading3"/>
        <w:ind w:hanging="0" w:start="0"/>
        <w:rPr/>
      </w:pPr>
      <w:r>
        <w:rPr/>
        <w:t>"Letter of Intent" means the letter of intent executed by Seller and Purchaser and dated as of May 22, 2000;</w:t>
      </w:r>
    </w:p>
    <w:p>
      <w:pPr>
        <w:pStyle w:val="Heading3"/>
        <w:ind w:hanging="0" w:start="0"/>
        <w:rPr/>
      </w:pPr>
      <w:r>
        <w:rPr/>
        <w:t>"LLC Conversion" has the meaning set forth in the third recital hereof;</w:t>
      </w:r>
    </w:p>
    <w:p>
      <w:pPr>
        <w:pStyle w:val="Heading3"/>
        <w:ind w:hanging="0" w:start="0"/>
        <w:rPr/>
      </w:pPr>
      <w:r>
        <w:rPr/>
        <w:t>"Loan Agreement" has the meaning set forth in Section 5.10(a);</w:t>
      </w:r>
    </w:p>
    <w:p>
      <w:pPr>
        <w:pStyle w:val="Heading3"/>
        <w:ind w:hanging="0" w:start="0"/>
        <w:rPr/>
      </w:pPr>
      <w:r>
        <w:rPr/>
        <w:t xml:space="preserve">"Material Adverse Effect" means any changes or effects that, individually or in the aggregate, would be materially adverse to the properties taken as a whole, financial condition, operations, business  or prospects of Company; </w:t>
      </w:r>
    </w:p>
    <w:p>
      <w:pPr>
        <w:pStyle w:val="Heading3"/>
        <w:ind w:hanging="0" w:start="0"/>
        <w:rPr/>
      </w:pPr>
      <w:r>
        <w:rPr/>
        <w:t>"Membership Interests" has the meaning set forth in the third recital hereof;</w:t>
      </w:r>
    </w:p>
    <w:p>
      <w:pPr>
        <w:pStyle w:val="Heading3"/>
        <w:ind w:hanging="0" w:start="0"/>
        <w:rPr/>
      </w:pPr>
      <w:r>
        <w:rPr/>
        <w:t>"New Jersey Revenue Bonds" has the meaning set forth in Section 5.10(a);</w:t>
      </w:r>
    </w:p>
    <w:p>
      <w:pPr>
        <w:pStyle w:val="Heading3"/>
        <w:ind w:hanging="0" w:start="0"/>
        <w:rPr/>
      </w:pPr>
      <w:r>
        <w:rPr/>
        <w:t>"NJEDA" has the meaning set forth in Section 5.10(a);</w:t>
      </w:r>
    </w:p>
    <w:p>
      <w:pPr>
        <w:pStyle w:val="Heading3"/>
        <w:ind w:hanging="0" w:start="0"/>
        <w:rPr/>
      </w:pPr>
      <w:r>
        <w:rPr/>
        <w:t>"NJDEP" has the meaning set forth in Section 5.2;</w:t>
      </w:r>
    </w:p>
    <w:p>
      <w:pPr>
        <w:pStyle w:val="Heading3"/>
        <w:ind w:hanging="0" w:start="0"/>
        <w:rPr/>
      </w:pPr>
      <w:r>
        <w:rPr/>
        <w:t>"Other Pre-Closing Tax Matters" has the meaning set forth in Section 7.5;</w:t>
      </w:r>
    </w:p>
    <w:p>
      <w:pPr>
        <w:pStyle w:val="Heading3"/>
        <w:ind w:hanging="0" w:start="0"/>
        <w:rPr/>
      </w:pPr>
      <w:r>
        <w:rPr/>
        <w:t>"Overlap Period" has the meaning set forth in Section 7.3;</w:t>
      </w:r>
    </w:p>
    <w:p>
      <w:pPr>
        <w:pStyle w:val="Heading3"/>
        <w:ind w:hanging="0" w:start="0"/>
        <w:rPr/>
      </w:pPr>
      <w:r>
        <w:rPr/>
        <w:t>"Overlap Period Taxes" has the meaning set forth in Section 7.3;</w:t>
      </w:r>
    </w:p>
    <w:p>
      <w:pPr>
        <w:pStyle w:val="Heading3"/>
        <w:ind w:hanging="0" w:start="0"/>
        <w:rPr/>
      </w:pPr>
      <w:r>
        <w:rPr/>
        <w:t>"Permitted Liens" has the meaning set forth in Section 2.7;</w:t>
      </w:r>
    </w:p>
    <w:p>
      <w:pPr>
        <w:pStyle w:val="Heading3"/>
        <w:ind w:hanging="0" w:start="0"/>
        <w:rPr/>
      </w:pPr>
      <w:r>
        <w:rPr/>
        <w:t>"Person" means any natural person, corporation, general partnership, limited partnership, proprietorship, limited liability company, other business organization, trust, union, association or governmental or regulatory authority;</w:t>
      </w:r>
    </w:p>
    <w:p>
      <w:pPr>
        <w:pStyle w:val="Heading3"/>
        <w:ind w:hanging="0" w:start="0"/>
        <w:rPr/>
      </w:pPr>
      <w:r>
        <w:rPr/>
        <w:t>"Plan" has the meaning set forth in Section 2.12(a);</w:t>
      </w:r>
    </w:p>
    <w:p>
      <w:pPr>
        <w:pStyle w:val="Heading3"/>
        <w:ind w:hanging="0" w:start="0"/>
        <w:rPr/>
      </w:pPr>
      <w:r>
        <w:rPr/>
        <w:t>"Pre-Closing Taxes" has the meaning set forth in Section 7.3;</w:t>
      </w:r>
    </w:p>
    <w:p>
      <w:pPr>
        <w:pStyle w:val="Heading3"/>
        <w:ind w:hanging="0" w:start="0"/>
        <w:rPr/>
      </w:pPr>
      <w:r>
        <w:rPr/>
        <w:t>"Purchase Price" has the meaning set forth in Section 1.1;</w:t>
      </w:r>
    </w:p>
    <w:p>
      <w:pPr>
        <w:pStyle w:val="Heading3"/>
        <w:ind w:hanging="0" w:start="0"/>
        <w:rPr/>
      </w:pPr>
      <w:r>
        <w:rPr/>
        <w:t>"Purchased Interests" has the meaning set forth in the third recital hereof;</w:t>
      </w:r>
    </w:p>
    <w:p>
      <w:pPr>
        <w:pStyle w:val="Heading3"/>
        <w:ind w:hanging="0" w:start="0"/>
        <w:rPr/>
      </w:pPr>
      <w:r>
        <w:rPr/>
        <w:t>"Purchaser" has the meaning set forth in the first paragraph hereof;</w:t>
      </w:r>
    </w:p>
    <w:p>
      <w:pPr>
        <w:pStyle w:val="Heading3"/>
        <w:ind w:hanging="0" w:start="0"/>
        <w:rPr/>
      </w:pPr>
      <w:r>
        <w:rPr/>
        <w:t>"Purchaser Consents" has the meaning set forth in Section 4.2;</w:t>
      </w:r>
    </w:p>
    <w:p>
      <w:pPr>
        <w:pStyle w:val="Heading3"/>
        <w:ind w:hanging="0" w:start="0"/>
        <w:rPr/>
      </w:pPr>
      <w:r>
        <w:rPr/>
        <w:t>"Purchaser Indemnitees" has the meaning set forth in Section 9.2(a);</w:t>
      </w:r>
    </w:p>
    <w:p>
      <w:pPr>
        <w:pStyle w:val="Heading3"/>
        <w:ind w:hanging="0" w:start="0"/>
        <w:rPr/>
      </w:pPr>
      <w:r>
        <w:rPr/>
        <w:t>"Reference Balance Sheet"  has the meaning set forth in Section 2.5(a);</w:t>
      </w:r>
    </w:p>
    <w:p>
      <w:pPr>
        <w:pStyle w:val="Heading3"/>
        <w:ind w:hanging="0" w:start="0"/>
        <w:rPr/>
      </w:pPr>
      <w:r>
        <w:rPr/>
        <w:t>"Reference Date" has the meaning set forth in Section 2.5;</w:t>
      </w:r>
    </w:p>
    <w:p>
      <w:pPr>
        <w:pStyle w:val="Heading3"/>
        <w:ind w:hanging="0" w:start="0"/>
        <w:rPr/>
      </w:pPr>
      <w:r>
        <w:rPr/>
        <w:t>"Reference Statement of Net Working Capital" has the meaning set forth in Section 1.3(c);</w:t>
      </w:r>
    </w:p>
    <w:p>
      <w:pPr>
        <w:pStyle w:val="Heading3"/>
        <w:ind w:hanging="0" w:start="0"/>
        <w:rPr/>
      </w:pPr>
      <w:r>
        <w:rPr/>
        <w:t>Remediation Agreement has the meaning set forth in ISRA;</w:t>
      </w:r>
    </w:p>
    <w:p>
      <w:pPr>
        <w:pStyle w:val="Heading3"/>
        <w:ind w:hanging="0" w:start="0"/>
        <w:rPr/>
      </w:pPr>
      <w:r>
        <w:rPr/>
        <w:t>"Securities Act" has the meaning set forth in Section 4.3;</w:t>
      </w:r>
    </w:p>
    <w:p>
      <w:pPr>
        <w:pStyle w:val="Heading3"/>
        <w:ind w:hanging="0" w:start="0"/>
        <w:rPr/>
      </w:pPr>
      <w:r>
        <w:rPr/>
        <w:t>"Seller" has the meaning set forth in the first paragraph hereof;</w:t>
      </w:r>
    </w:p>
    <w:p>
      <w:pPr>
        <w:pStyle w:val="Heading3"/>
        <w:ind w:hanging="0" w:start="0"/>
        <w:rPr/>
      </w:pPr>
      <w:r>
        <w:rPr/>
        <w:t>"Seller Consents" has the meaning set forth in Section 3.4;</w:t>
      </w:r>
    </w:p>
    <w:p>
      <w:pPr>
        <w:pStyle w:val="Heading3"/>
        <w:ind w:hanging="0" w:start="0"/>
        <w:rPr/>
      </w:pPr>
      <w:r>
        <w:rPr/>
        <w:t>"Seller Plans" has the meaning set forth in Section 5.9;</w:t>
      </w:r>
    </w:p>
    <w:p>
      <w:pPr>
        <w:pStyle w:val="Heading3"/>
        <w:ind w:hanging="0" w:start="0"/>
        <w:rPr/>
      </w:pPr>
      <w:r>
        <w:rPr/>
        <w:t>"Seller's Affiliated Group" shall mean Seller and its Subsidiaries that meet the definition of Affiliated group as provided in Section 1504(a) of the Code;</w:t>
      </w:r>
    </w:p>
    <w:p>
      <w:pPr>
        <w:pStyle w:val="Heading3"/>
        <w:ind w:hanging="0" w:start="0"/>
        <w:rPr/>
      </w:pPr>
      <w:r>
        <w:rPr/>
        <w:t>"Shares" has the meaning set forth in the second recital hereof;</w:t>
      </w:r>
    </w:p>
    <w:p>
      <w:pPr>
        <w:pStyle w:val="Heading3"/>
        <w:ind w:hanging="0" w:start="0"/>
        <w:rPr/>
      </w:pPr>
      <w:r>
        <w:rPr/>
        <w:t>"Site Access and Remediation Side Agreement" has the meaning set forth in Section 5.2(b);</w:t>
      </w:r>
    </w:p>
    <w:p>
      <w:pPr>
        <w:pStyle w:val="Heading3"/>
        <w:ind w:hanging="0" w:start="0"/>
        <w:rPr/>
      </w:pPr>
      <w:r>
        <w:rPr/>
        <w:t>"Statement of  Net Working Capital" has the meaning set forth in Section 1.3(c);</w:t>
      </w:r>
    </w:p>
    <w:p>
      <w:pPr>
        <w:pStyle w:val="Heading3"/>
        <w:ind w:hanging="0" w:start="0"/>
        <w:rPr/>
      </w:pPr>
      <w:r>
        <w:rPr/>
        <w:t>"Statement of  Net Working Capital" has the meaning set forth in Section 1.3(c);</w:t>
      </w:r>
    </w:p>
    <w:p>
      <w:pPr>
        <w:pStyle w:val="Heading3"/>
        <w:ind w:hanging="0" w:start="0"/>
        <w:rPr/>
      </w:pPr>
      <w:r>
        <w:rPr/>
        <w:t>"Subsidiary" means any Person of which at least a majority of the securities or interests having by the terms thereof ordinary voting power to elect a majority of the board of directors or others performing similar functions with respect to such Person, is at the time directly or indirectly owned or controlled by another Person, or by any one or more Subsidiaries of such other Person, or by such other Person and one or more of its Subsidiaries or Affiliates;</w:t>
      </w:r>
    </w:p>
    <w:p>
      <w:pPr>
        <w:pStyle w:val="Heading3"/>
        <w:ind w:hanging="0" w:start="0"/>
        <w:rPr/>
      </w:pPr>
      <w:r>
        <w:rPr/>
        <w:t>"Successor Company" has the meaning set forth in the third recital hereof;</w:t>
      </w:r>
    </w:p>
    <w:p>
      <w:pPr>
        <w:pStyle w:val="Heading3"/>
        <w:ind w:hanging="0" w:start="0"/>
        <w:rPr/>
      </w:pPr>
      <w:r>
        <w:rPr/>
        <w:t>"Tax" has the meaning set forth in Section 2.11(a);</w:t>
      </w:r>
    </w:p>
    <w:p>
      <w:pPr>
        <w:pStyle w:val="Heading3"/>
        <w:ind w:hanging="0" w:start="0"/>
        <w:rPr/>
      </w:pPr>
      <w:r>
        <w:rPr/>
        <w:t>"Tax Claims" has the meaning set forth in Section 7.3;</w:t>
      </w:r>
    </w:p>
    <w:p>
      <w:pPr>
        <w:pStyle w:val="Heading3"/>
        <w:ind w:hanging="0" w:start="0"/>
        <w:rPr/>
      </w:pPr>
      <w:r>
        <w:rPr/>
        <w:t>"Tax Regulatory Agreement" has the meaning set forth in Section 5.10(a);</w:t>
      </w:r>
    </w:p>
    <w:p>
      <w:pPr>
        <w:pStyle w:val="Normal"/>
        <w:ind w:firstLine="1440" w:end="0"/>
        <w:rPr/>
      </w:pPr>
      <w:r>
        <w:rPr/>
      </w:r>
    </w:p>
    <w:p>
      <w:pPr>
        <w:pStyle w:val="Heading3"/>
        <w:ind w:hanging="0" w:start="0"/>
        <w:rPr/>
      </w:pPr>
      <w:r>
        <w:rPr/>
        <w:t>"Tax Returns" has the meaning set forth in Section 2.11(a);</w:t>
      </w:r>
    </w:p>
    <w:p>
      <w:pPr>
        <w:pStyle w:val="Heading3"/>
        <w:tabs>
          <w:tab w:val="clear" w:pos="720"/>
          <w:tab w:val="left" w:pos="2250" w:leader="none"/>
        </w:tabs>
        <w:ind w:hanging="0" w:start="0"/>
        <w:rPr/>
      </w:pPr>
      <w:r>
        <w:rPr/>
        <w:t xml:space="preserve">"Transfer Taxes" has the meaning set forth in Section 7.8; </w:t>
      </w:r>
    </w:p>
    <w:p>
      <w:pPr>
        <w:pStyle w:val="Heading3"/>
        <w:ind w:hanging="0" w:start="0"/>
        <w:rPr/>
      </w:pPr>
      <w:r>
        <w:rPr/>
        <w:t>"Upset Date" has the meaning set forth in Section 10.1(b);</w:t>
      </w:r>
    </w:p>
    <w:p>
      <w:pPr>
        <w:pStyle w:val="Heading3"/>
        <w:tabs>
          <w:tab w:val="clear" w:pos="720"/>
          <w:tab w:val="left" w:pos="2340" w:leader="none"/>
        </w:tabs>
        <w:ind w:hanging="0" w:start="0"/>
        <w:rPr/>
      </w:pPr>
      <w:r>
        <w:rPr/>
        <w:t>"WARN" has the meaning set forth in Section 6.4; and</w:t>
      </w:r>
    </w:p>
    <w:p>
      <w:pPr>
        <w:pStyle w:val="Heading3"/>
        <w:ind w:hanging="0" w:start="0"/>
        <w:rPr/>
      </w:pPr>
      <w:r>
        <w:rPr/>
        <w:t>"Working Capital" has the meaning set forth in Section 1.3(b).</w:t>
      </w:r>
    </w:p>
    <w:p>
      <w:pPr>
        <w:pStyle w:val="Heading2"/>
        <w:ind w:hanging="0" w:start="0"/>
        <w:rPr>
          <w:i w:val="false"/>
          <w:i w:val="false"/>
          <w:vanish/>
          <w:color w:val="FF0000"/>
        </w:rPr>
      </w:pPr>
      <w:bookmarkStart w:id="96" w:name="__RefHeading___Toc487278922"/>
      <w:bookmarkEnd w:id="96"/>
      <w:r>
        <w:rPr/>
        <w:t>No Third Party Beneficiaries</w:t>
      </w:r>
    </w:p>
    <w:p>
      <w:pPr>
        <w:pStyle w:val="BodyText"/>
        <w:rPr/>
      </w:pPr>
      <w:r>
        <w:rPr/>
        <w:t>.  Nothing in this Agreement shall provide any benefit to any third party or entitle any third party to any claim, cause of action, remedy or right of any kind, it being the intent of the parties that this Agreement shall not be construed as a third party beneficiary contract; provided, however, that the indemnification provisions in Articles VI, VII and IX shall inure to the benefit of the Indemnified Party as provided therein.</w:t>
      </w:r>
    </w:p>
    <w:p>
      <w:pPr>
        <w:pStyle w:val="Heading2"/>
        <w:ind w:hanging="0" w:start="0"/>
        <w:rPr>
          <w:i w:val="false"/>
          <w:i w:val="false"/>
          <w:vanish/>
          <w:color w:val="FF0000"/>
        </w:rPr>
      </w:pPr>
      <w:bookmarkStart w:id="97" w:name="__RefHeading___Toc487278923"/>
      <w:bookmarkEnd w:id="97"/>
      <w:r>
        <w:rPr/>
        <w:t>Notices</w:t>
      </w:r>
    </w:p>
    <w:p>
      <w:pPr>
        <w:pStyle w:val="BodyText"/>
        <w:rPr/>
      </w:pPr>
      <w:r>
        <w:rPr/>
        <w:t>.  Any notice, communication, request, instruction or other document required or permitted hereunder or under any document delivered pursuant hereto shall be given in writing and delivered in person or sent by hand, by overnight courier or by facsimile or telecopy to the addresses or facsimile numbers, as appropriate, as set forth below.</w:t>
      </w:r>
    </w:p>
    <w:p>
      <w:pPr>
        <w:pStyle w:val="Normal"/>
        <w:keepNext w:val="true"/>
        <w:keepLines/>
        <w:spacing w:lineRule="atLeast" w:line="240"/>
        <w:ind w:start="1440" w:end="0"/>
        <w:jc w:val="both"/>
        <w:rPr>
          <w:color w:val="000000"/>
        </w:rPr>
      </w:pPr>
      <w:r>
        <w:rPr>
          <w:color w:val="000000"/>
        </w:rPr>
        <w:t>To Seller:</w:t>
      </w:r>
    </w:p>
    <w:p>
      <w:pPr>
        <w:pStyle w:val="Normal"/>
        <w:keepNext w:val="true"/>
        <w:keepLines/>
        <w:ind w:start="1440" w:end="0"/>
        <w:rPr>
          <w:color w:val="000000"/>
        </w:rPr>
      </w:pPr>
      <w:r>
        <w:rPr>
          <w:color w:val="000000"/>
        </w:rPr>
      </w:r>
    </w:p>
    <w:p>
      <w:pPr>
        <w:pStyle w:val="Normal"/>
        <w:keepNext w:val="true"/>
        <w:keepLines/>
        <w:ind w:start="1440" w:end="0"/>
        <w:rPr/>
      </w:pPr>
      <w:r>
        <w:rPr/>
        <w:tab/>
        <w:t>Media General, Inc.</w:t>
      </w:r>
    </w:p>
    <w:p>
      <w:pPr>
        <w:pStyle w:val="Normal"/>
        <w:keepNext w:val="true"/>
        <w:keepLines/>
        <w:ind w:start="1440" w:end="0"/>
        <w:rPr/>
      </w:pPr>
      <w:r>
        <w:rPr/>
        <w:tab/>
        <w:t>333 East Franklin Street</w:t>
      </w:r>
    </w:p>
    <w:p>
      <w:pPr>
        <w:pStyle w:val="Normal"/>
        <w:keepNext w:val="true"/>
        <w:keepLines/>
        <w:ind w:start="1440" w:end="0"/>
        <w:rPr/>
      </w:pPr>
      <w:r>
        <w:rPr/>
        <w:tab/>
        <w:t>Richmond, Virginia 23219</w:t>
      </w:r>
    </w:p>
    <w:p>
      <w:pPr>
        <w:pStyle w:val="BodyTextIndent"/>
        <w:rPr/>
      </w:pPr>
      <w:r>
        <w:rPr/>
        <w:t xml:space="preserve">Attn:  J. Stewart Bryan III, Chairman, Marshall N. Morton, Senior Vice President, and George L. Mahoney, General Counsel </w:t>
      </w:r>
    </w:p>
    <w:p>
      <w:pPr>
        <w:pStyle w:val="Normal"/>
        <w:ind w:start="1440" w:end="0"/>
        <w:rPr/>
      </w:pPr>
      <w:r>
        <w:rPr/>
      </w:r>
    </w:p>
    <w:p>
      <w:pPr>
        <w:pStyle w:val="Normal"/>
        <w:ind w:start="1440" w:end="0"/>
        <w:rPr/>
      </w:pPr>
      <w:r>
        <w:rPr/>
      </w:r>
    </w:p>
    <w:p>
      <w:pPr>
        <w:pStyle w:val="Normal"/>
        <w:ind w:start="1440" w:end="0"/>
        <w:rPr/>
      </w:pPr>
      <w:r>
        <w:rPr/>
      </w:r>
    </w:p>
    <w:p>
      <w:pPr>
        <w:pStyle w:val="Normal"/>
        <w:spacing w:lineRule="atLeast" w:line="240"/>
        <w:ind w:start="1440" w:end="0"/>
        <w:jc w:val="both"/>
        <w:rPr>
          <w:color w:val="000000"/>
        </w:rPr>
      </w:pPr>
      <w:r>
        <w:rPr>
          <w:color w:val="000000"/>
        </w:rPr>
        <w:t>To Purchaser:</w:t>
      </w:r>
    </w:p>
    <w:p>
      <w:pPr>
        <w:pStyle w:val="Normal"/>
        <w:spacing w:lineRule="atLeast" w:line="240"/>
        <w:ind w:start="1440" w:end="0"/>
        <w:jc w:val="both"/>
        <w:rPr>
          <w:color w:val="000000"/>
        </w:rPr>
      </w:pPr>
      <w:r>
        <w:rPr>
          <w:color w:val="000000"/>
        </w:rPr>
      </w:r>
    </w:p>
    <w:p>
      <w:pPr>
        <w:pStyle w:val="Normal"/>
        <w:ind w:start="2160" w:end="0"/>
        <w:rPr/>
      </w:pPr>
      <w:r>
        <w:rPr/>
        <w:t>Peter del Vecchio</w:t>
      </w:r>
    </w:p>
    <w:p>
      <w:pPr>
        <w:pStyle w:val="Normal"/>
        <w:ind w:start="2160" w:end="0"/>
        <w:rPr/>
      </w:pPr>
      <w:r>
        <w:rPr/>
        <w:t>Senior Counsel</w:t>
      </w:r>
    </w:p>
    <w:p>
      <w:pPr>
        <w:pStyle w:val="Normal"/>
        <w:ind w:start="2160" w:end="0"/>
        <w:rPr/>
      </w:pPr>
      <w:r>
        <w:rPr/>
        <w:t>Enron North America Corp.</w:t>
      </w:r>
    </w:p>
    <w:p>
      <w:pPr>
        <w:pStyle w:val="Normal"/>
        <w:ind w:start="2160" w:end="0"/>
        <w:rPr/>
      </w:pPr>
      <w:r>
        <w:rPr/>
        <w:t>1400 Smith Street</w:t>
      </w:r>
    </w:p>
    <w:p>
      <w:pPr>
        <w:pStyle w:val="Normal"/>
        <w:ind w:start="2160" w:end="0"/>
        <w:rPr/>
      </w:pPr>
      <w:r>
        <w:rPr/>
        <w:t>BB 3877</w:t>
      </w:r>
    </w:p>
    <w:p>
      <w:pPr>
        <w:pStyle w:val="Normal"/>
        <w:ind w:start="2160" w:end="0"/>
        <w:rPr/>
      </w:pPr>
      <w:r>
        <w:rPr/>
        <w:t>Houston, TX  77002-7361</w:t>
      </w:r>
    </w:p>
    <w:p>
      <w:pPr>
        <w:pStyle w:val="Normal"/>
        <w:ind w:start="1440" w:end="0"/>
        <w:rPr/>
      </w:pPr>
      <w:r>
        <w:rPr/>
      </w:r>
    </w:p>
    <w:p>
      <w:pPr>
        <w:pStyle w:val="Normal"/>
        <w:ind w:start="1440" w:end="0"/>
        <w:rPr/>
      </w:pPr>
      <w:r>
        <w:rPr/>
      </w:r>
    </w:p>
    <w:p>
      <w:pPr>
        <w:pStyle w:val="Normal"/>
        <w:keepLines/>
        <w:spacing w:lineRule="atLeast" w:line="240"/>
        <w:ind w:hanging="2" w:start="1440" w:end="0"/>
        <w:jc w:val="both"/>
        <w:rPr>
          <w:color w:val="000000"/>
        </w:rPr>
      </w:pPr>
      <w:r>
        <w:rPr>
          <w:color w:val="000000"/>
        </w:rPr>
        <w:t>with a copy to:</w:t>
        <w:tab/>
      </w:r>
    </w:p>
    <w:p>
      <w:pPr>
        <w:pStyle w:val="Normal"/>
        <w:keepLines/>
        <w:ind w:start="1440" w:end="0"/>
        <w:rPr>
          <w:color w:val="000000"/>
        </w:rPr>
      </w:pPr>
      <w:r>
        <w:rPr>
          <w:color w:val="000000"/>
        </w:rPr>
      </w:r>
    </w:p>
    <w:p>
      <w:pPr>
        <w:pStyle w:val="Normal"/>
        <w:keepLines/>
        <w:ind w:start="2160" w:end="0"/>
        <w:rPr/>
      </w:pPr>
      <w:r>
        <w:rPr/>
        <w:t>John G. Klauberg</w:t>
      </w:r>
    </w:p>
    <w:p>
      <w:pPr>
        <w:pStyle w:val="Normal"/>
        <w:keepLines/>
        <w:ind w:start="2160" w:end="0"/>
        <w:rPr/>
      </w:pPr>
      <w:r>
        <w:rPr/>
        <w:t>LeBoeuf, Lamb, Greene &amp; MacRae, LLP</w:t>
      </w:r>
    </w:p>
    <w:p>
      <w:pPr>
        <w:pStyle w:val="Normal"/>
        <w:keepLines/>
        <w:ind w:start="2160" w:end="0"/>
        <w:rPr/>
      </w:pPr>
      <w:r>
        <w:rPr/>
        <w:t>125 West 55th Street</w:t>
      </w:r>
    </w:p>
    <w:p>
      <w:pPr>
        <w:pStyle w:val="Normal"/>
        <w:keepLines/>
        <w:ind w:start="2160" w:end="0"/>
        <w:rPr/>
      </w:pPr>
      <w:r>
        <w:rPr/>
        <w:t>New York, NY  10019</w:t>
      </w:r>
    </w:p>
    <w:p>
      <w:pPr>
        <w:pStyle w:val="Normal"/>
        <w:ind w:start="1440" w:end="0"/>
        <w:rPr/>
      </w:pPr>
      <w:r>
        <w:rPr/>
      </w:r>
    </w:p>
    <w:p>
      <w:pPr>
        <w:pStyle w:val="Normal"/>
        <w:spacing w:lineRule="atLeast" w:line="240" w:before="0" w:after="240"/>
        <w:ind w:start="1440" w:end="0"/>
        <w:jc w:val="both"/>
        <w:rPr>
          <w:color w:val="000000"/>
        </w:rPr>
      </w:pPr>
      <w:r>
        <w:rPr>
          <w:color w:val="000000"/>
        </w:rPr>
        <w:t xml:space="preserve">or at such other address or facsimile number as may have been specified by like notice.  All notices shall be effective upon receipt.  </w:t>
      </w:r>
    </w:p>
    <w:p>
      <w:pPr>
        <w:pStyle w:val="Heading2"/>
        <w:keepNext w:val="true"/>
        <w:ind w:hanging="0" w:start="0"/>
        <w:rPr>
          <w:i w:val="false"/>
          <w:i w:val="false"/>
          <w:vanish/>
          <w:color w:val="FF0000"/>
        </w:rPr>
      </w:pPr>
      <w:bookmarkStart w:id="98" w:name="__RefHeading___Toc487278924"/>
      <w:bookmarkEnd w:id="98"/>
      <w:r>
        <w:rPr/>
        <w:t>Headings</w:t>
      </w:r>
    </w:p>
    <w:p>
      <w:pPr>
        <w:pStyle w:val="BodyText"/>
        <w:rPr/>
      </w:pPr>
      <w:r>
        <w:rPr/>
        <w:t>.  The descriptive headings of the several Articles and Sections of this Agreement are inserted for convenience only and do not constitute a part of this Agreement.</w:t>
      </w:r>
    </w:p>
    <w:p>
      <w:pPr>
        <w:pStyle w:val="Heading2"/>
        <w:ind w:hanging="0" w:start="0"/>
        <w:rPr>
          <w:vanish/>
          <w:color w:val="FF0000"/>
        </w:rPr>
      </w:pPr>
      <w:bookmarkStart w:id="99" w:name="__RefHeading___Toc487278925"/>
      <w:bookmarkEnd w:id="99"/>
      <w:r>
        <w:rPr/>
        <w:t>Entire Agreement</w:t>
      </w:r>
    </w:p>
    <w:p>
      <w:pPr>
        <w:pStyle w:val="BodyText"/>
        <w:rPr/>
      </w:pPr>
      <w:r>
        <w:rPr/>
        <w:t>.  This Agreement, the Schedules attached hereto, the documents to be executed hereunder, and the exhibits attached hereto constitute the entire agreement between the parties hereto pertaining to the subject matter hereof and supersede all prior agreements, understandings, negotiations and discussions, whether oral or written, of the parties pertaining to the subject matter hereof, including without limitation the Letter of Intent and except as contained herein or the Schedules, all other representations and warranties of any kind or nature express or implied are specifically disclaimed by the parties to this Agreement.</w:t>
      </w:r>
    </w:p>
    <w:p>
      <w:pPr>
        <w:pStyle w:val="Heading2"/>
        <w:ind w:hanging="0" w:start="0"/>
        <w:rPr>
          <w:i w:val="false"/>
          <w:i w:val="false"/>
          <w:vanish/>
          <w:color w:val="FF0000"/>
        </w:rPr>
      </w:pPr>
      <w:bookmarkStart w:id="100" w:name="__RefHeading___Toc487278926"/>
      <w:bookmarkEnd w:id="100"/>
      <w:r>
        <w:rPr/>
        <w:t>Waiver</w:t>
      </w:r>
    </w:p>
    <w:p>
      <w:pPr>
        <w:pStyle w:val="BodyText"/>
        <w:rPr/>
      </w:pPr>
      <w:r>
        <w:rPr/>
        <w:t>.  At any time prior to the Closing, any party hereto may (a) extend the time for the performance of any of the obligations or other acts of any other party hereto or (b) waive compliance with any of the agreements of any other party or with any conditions to its own obligations.  Any agreement on the part of a party hereto to any such extension or waiver shall be valid if set forth in an instrument in writing signed on behalf of such party.  No failure or delay on the part of any party hereto in the exercise of any right hereunder shall impair such right or be construed to be a waiver of, or acquiescence in, any breach of any representation, warranty or agreement herein, nor shall any single or partial exercise of any such right preclude other or further exercise thereof or of any other right.  The consummation of the transactions contemplated hereby shall not be deemed a waiver of the right any party may have hereunder with respect to any other party's representations, warranties, covenants or agreements contained in or related to this Agreement being incorrect, untrue or breached.</w:t>
      </w:r>
    </w:p>
    <w:p>
      <w:pPr>
        <w:pStyle w:val="Heading2"/>
        <w:ind w:hanging="0" w:start="0"/>
        <w:rPr>
          <w:i w:val="false"/>
          <w:i w:val="false"/>
          <w:vanish/>
          <w:color w:val="FF0000"/>
        </w:rPr>
      </w:pPr>
      <w:bookmarkStart w:id="101" w:name="__RefHeading___Toc487278927"/>
      <w:bookmarkEnd w:id="101"/>
      <w:r>
        <w:rPr/>
        <w:t>Amendment</w:t>
      </w:r>
    </w:p>
    <w:p>
      <w:pPr>
        <w:pStyle w:val="BodyText"/>
        <w:rPr/>
      </w:pPr>
      <w:r>
        <w:rPr/>
        <w:t>.  This Agreement may not be amended prior to the Closing except by an instrument in writing signed by each of the parties hereto or after the Closing except by  an instrument in writing signed by Seller and Purchaser.  No supplement, alteration or modification of this Agreement shall be binding prior to the Closing unless executed in writing by the parties hereto or after the Closing unless executed in writing by Seller and Purchaser.</w:t>
      </w:r>
    </w:p>
    <w:p>
      <w:pPr>
        <w:pStyle w:val="Heading2"/>
        <w:ind w:hanging="0" w:start="0"/>
        <w:rPr>
          <w:i w:val="false"/>
          <w:i w:val="false"/>
          <w:vanish/>
          <w:color w:val="FF0000"/>
        </w:rPr>
      </w:pPr>
      <w:bookmarkStart w:id="102" w:name="__RefHeading___Toc487278928"/>
      <w:bookmarkEnd w:id="102"/>
      <w:r>
        <w:rPr/>
        <w:t>Assignment</w:t>
      </w:r>
    </w:p>
    <w:p>
      <w:pPr>
        <w:pStyle w:val="BodyText"/>
        <w:rPr/>
      </w:pPr>
      <w:r>
        <w:rPr/>
        <w:t>.  Neither party may assign or delegate any of its rights or obligations under this Agreement or any part hereof without the prior written consent of the other party, except that Purchaser may assign or delegate its rights or obligations under this Agreement or any part hereof to any designee without the consent of Seller; provided that the designee can make all of the representations and warranties applicable to Purchaser hereunder (other than those relating to jurisdiction of incorporation) and such assignment would not reasonably be expected to delay or hinder the consummation of the transactions contemplated by this Agreement, but no such assignment shall in any way operate to enlarge, alter or change any obligation of or duty to Seller or relieve Purchaser of its obligations hereunder. Any assignment or delegation made without such consent shall be void.  Except as otherwise provided herein, this Agreement shall be binding upon and inure to the benefit of the parties hereto and their respective permitted successors, assigns and legal representatives.</w:t>
      </w:r>
    </w:p>
    <w:p>
      <w:pPr>
        <w:pStyle w:val="Heading2"/>
        <w:ind w:hanging="0" w:start="0"/>
        <w:rPr>
          <w:i w:val="false"/>
          <w:i w:val="false"/>
          <w:vanish/>
          <w:color w:val="FF0000"/>
        </w:rPr>
      </w:pPr>
      <w:bookmarkStart w:id="103" w:name="__RefHeading___Toc487278929"/>
      <w:bookmarkEnd w:id="103"/>
      <w:r>
        <w:rPr/>
        <w:t>NO CONSEQUENTIAL OR PUNITIVE DAMAGES</w:t>
      </w:r>
    </w:p>
    <w:p>
      <w:pPr>
        <w:pStyle w:val="BodyText"/>
        <w:rPr/>
      </w:pPr>
      <w:r>
        <w:rPr/>
        <w:t>.  NEITHER PURCHASER NOR SELLER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EXCEPT AS PROVIDED IN SECTIONS 10.2 OR 9.7 (SOLELY AS TO FRAUD).</w:t>
      </w:r>
    </w:p>
    <w:p>
      <w:pPr>
        <w:pStyle w:val="Heading2"/>
        <w:ind w:hanging="0" w:start="0"/>
        <w:rPr>
          <w:i w:val="false"/>
          <w:i w:val="false"/>
          <w:vanish/>
          <w:color w:val="FF0000"/>
        </w:rPr>
      </w:pPr>
      <w:bookmarkStart w:id="104" w:name="__RefHeading___Toc487278930"/>
      <w:bookmarkEnd w:id="104"/>
      <w:r>
        <w:rPr/>
        <w:t>Severability</w:t>
      </w:r>
    </w:p>
    <w:p>
      <w:pPr>
        <w:pStyle w:val="BodyText"/>
        <w:rPr/>
      </w:pPr>
      <w:r>
        <w:rPr/>
        <w:t>.  If any term, provision, covenant or restriction of this Agreement is held by a court of competent jurisdiction to be invalid, void or unenforceable, the remainder of the terms, provision, covenants and restrictions of this Agreement shall continue in full force and effect and shall in no way be affected, impaired or invalidated so long as the economic or legal substance of the transactions contemplated hereby is not affected in any manner materially adverse to any party.  Upon such determination that any term, provision, covenant or restriction is invalid, void or unenforceable, the parties hereto shall negotiate in good faith to modify this Agreement so as to effect the original intent of the parties as closely as possible in an acceptable manner to the end that the transactions contemplated hereby are fulfilled to the extent possible.</w:t>
      </w:r>
    </w:p>
    <w:p>
      <w:pPr>
        <w:pStyle w:val="Heading2"/>
        <w:ind w:hanging="0" w:start="0"/>
        <w:rPr>
          <w:i w:val="false"/>
          <w:i w:val="false"/>
          <w:vanish/>
          <w:color w:val="FF0000"/>
        </w:rPr>
      </w:pPr>
      <w:bookmarkStart w:id="105" w:name="__RefHeading___Toc487278931"/>
      <w:bookmarkEnd w:id="105"/>
      <w:r>
        <w:rPr/>
        <w:t>Governing Law</w:t>
      </w:r>
    </w:p>
    <w:p>
      <w:pPr>
        <w:pStyle w:val="BodyText"/>
        <w:rPr/>
      </w:pPr>
      <w:r>
        <w:rPr/>
        <w:t>.  This Agreement and the other documents delivered pursuant hereto and the legal relations between the parties shall be governed and construed in accordance with the laws of the State of New York, without giving effect to principles of conflict of laws.</w:t>
      </w:r>
    </w:p>
    <w:p>
      <w:pPr>
        <w:pStyle w:val="Heading2"/>
        <w:ind w:hanging="0" w:start="0"/>
        <w:rPr>
          <w:i w:val="false"/>
          <w:i w:val="false"/>
          <w:vanish/>
          <w:color w:val="FF0000"/>
        </w:rPr>
      </w:pPr>
      <w:bookmarkStart w:id="106" w:name="__RefHeading___Toc487278932"/>
      <w:bookmarkEnd w:id="106"/>
      <w:r>
        <w:rPr/>
        <w:t>Counterparts</w:t>
      </w:r>
    </w:p>
    <w:p>
      <w:pPr>
        <w:pStyle w:val="BodyText"/>
        <w:rPr/>
      </w:pPr>
      <w:r>
        <w:rPr/>
        <w:t>.  This Agreement maybe executed in any number of counterparts, each of which when so executed shall be deemed an original but all of which together shall constitute one and the same instrument.</w:t>
      </w:r>
    </w:p>
    <w:p>
      <w:pPr>
        <w:pStyle w:val="Heading2"/>
        <w:ind w:hanging="0" w:start="0"/>
        <w:rPr>
          <w:i w:val="false"/>
          <w:i w:val="false"/>
          <w:vanish/>
          <w:color w:val="FF0000"/>
        </w:rPr>
      </w:pPr>
      <w:bookmarkStart w:id="107" w:name="__RefHeading___Toc487278933"/>
      <w:bookmarkEnd w:id="107"/>
      <w:r>
        <w:rPr/>
        <w:t>Withholding or Granting of Consent</w:t>
      </w:r>
    </w:p>
    <w:p>
      <w:pPr>
        <w:pStyle w:val="BodyText"/>
        <w:rPr/>
      </w:pPr>
      <w:r>
        <w:rPr/>
        <w:t>.  Except as otherwise provided in this Agreement, each party hereto may, with respect to any consent or approval that it is entitled to grant pursuant to this Agreement or any other document or instrument or agreement delivered or entered into pursuant hereto, grant or withhold such consent or approval in its sole and uncontrolled discretion, with or without cause, and subject to such conditions as it shall deem appropriate.</w:t>
      </w:r>
    </w:p>
    <w:p>
      <w:pPr>
        <w:pStyle w:val="Heading2"/>
        <w:ind w:hanging="0" w:start="0"/>
        <w:rPr>
          <w:i w:val="false"/>
          <w:i w:val="false"/>
          <w:vanish/>
          <w:color w:val="FF0000"/>
        </w:rPr>
      </w:pPr>
      <w:bookmarkStart w:id="108" w:name="__RefHeading___Toc487278934"/>
      <w:bookmarkEnd w:id="108"/>
      <w:r>
        <w:rPr/>
        <w:t>Remedies Cumulative</w:t>
      </w:r>
    </w:p>
    <w:p>
      <w:pPr>
        <w:pStyle w:val="BodyText"/>
        <w:rPr/>
      </w:pPr>
      <w:r>
        <w:rPr/>
        <w:t>.  Except as provided in Section 9.7, all rights and remedies existing under this Agreement are cumulative to, and not exclusive to, and not exclusive of, any rights or remedies otherwise available.</w:t>
      </w:r>
    </w:p>
    <w:p>
      <w:pPr>
        <w:pStyle w:val="Heading2"/>
        <w:keepNext w:val="true"/>
        <w:ind w:hanging="0" w:start="0"/>
        <w:rPr>
          <w:i w:val="false"/>
          <w:i w:val="false"/>
          <w:vanish/>
          <w:color w:val="FF0000"/>
        </w:rPr>
      </w:pPr>
      <w:bookmarkStart w:id="109" w:name="__RefHeading___Toc487278935"/>
      <w:bookmarkEnd w:id="109"/>
      <w:r>
        <w:rPr/>
        <w:t>Construction</w:t>
      </w:r>
    </w:p>
    <w:p>
      <w:pPr>
        <w:pStyle w:val="BodyText"/>
        <w:rPr/>
      </w:pPr>
      <w:r>
        <w:rPr/>
        <w:t>.  As used in this Agreement, (a) each term defined in this Agreement has the meaning assigned to it, (b) as the context may require, words in the singular include the plural and words in the plural include the singular, (c) as the context may require, words in the masculine or neuter gender include the masculine, feminine and neuter genders, (d) all references to schedules or exhibits refer to schedules or exhibits delivered herewith or attached hereto (each of which is deemed to be a part of this Agreement), (e) all references to Sections or Articles refer to Sections or Articles of this Agreement, (f) all references to "$" or "dollars" refer to United States dollars and (g) the terms "herein", "hereunder", "hereby", "hereto" and terms of similar import refer to this Agreement in its entirety, and not to any particular Article, Section, paragraph or subparagraph.  For purposes of this Agreement, a Person will be deemed to have "knowledge" of any matter if such Person or any of its officers or directors or individuals occupying corresponding positions, or supervisory personnel having oversight responsibility for such matter, has actual knowledge of such matter or would have obtained actual knowledge of such matter after due inquiry if such Person (or such officer, director, individual or supervisor) possesses such information, or is charged with such responsibilities, as would cause a reasonably prudent person to make due inquiry in respect of such matter and such reasonably prudent person would, after such due inquiry, gain such actual knowledge about such matter.</w:t>
      </w:r>
      <w:r>
        <w:br w:type="page"/>
      </w:r>
    </w:p>
    <w:p>
      <w:pPr>
        <w:pStyle w:val="BodyText"/>
        <w:rPr/>
      </w:pPr>
      <w:r>
        <w:rPr/>
        <w:t>IN WITNESS WHEREOF, each of the parties hereto has executed this Agreement as of the date first above written.</w:t>
      </w:r>
    </w:p>
    <w:p>
      <w:pPr>
        <w:pStyle w:val="Normal"/>
        <w:spacing w:lineRule="atLeast" w:line="240" w:before="0" w:after="480"/>
        <w:ind w:start="4312" w:end="0"/>
        <w:jc w:val="both"/>
        <w:rPr>
          <w:color w:val="000000"/>
        </w:rPr>
      </w:pPr>
      <w:r>
        <w:rPr>
          <w:color w:val="000000"/>
        </w:rPr>
        <w:t>MEDIA GENERAL, INC.</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before="0" w:after="480"/>
        <w:ind w:start="4312" w:end="0"/>
        <w:jc w:val="both"/>
        <w:rPr>
          <w:color w:val="000000"/>
        </w:rPr>
      </w:pPr>
      <w:r>
        <w:rPr>
          <w:color w:val="000000"/>
        </w:rPr>
        <w:t>Title:</w:t>
      </w:r>
    </w:p>
    <w:p>
      <w:pPr>
        <w:pStyle w:val="Normal"/>
        <w:spacing w:lineRule="atLeast" w:line="240" w:before="0" w:after="480"/>
        <w:ind w:start="4312" w:end="0"/>
        <w:jc w:val="both"/>
        <w:rPr>
          <w:color w:val="000000"/>
        </w:rPr>
      </w:pPr>
      <w:r>
        <w:rPr>
          <w:color w:val="000000"/>
        </w:rPr>
        <w:t>GARDEN STATE PAPER COMPANY, INC.</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before="0" w:after="480"/>
        <w:ind w:start="4312" w:end="0"/>
        <w:jc w:val="both"/>
        <w:rPr>
          <w:color w:val="000000"/>
        </w:rPr>
      </w:pPr>
      <w:r>
        <w:rPr>
          <w:color w:val="000000"/>
        </w:rPr>
        <w:t>Title:</w:t>
      </w:r>
    </w:p>
    <w:p>
      <w:pPr>
        <w:pStyle w:val="Normal"/>
        <w:spacing w:lineRule="atLeast" w:line="240" w:before="0" w:after="480"/>
        <w:ind w:start="4312" w:end="0"/>
        <w:jc w:val="both"/>
        <w:rPr>
          <w:color w:val="000000"/>
        </w:rPr>
      </w:pPr>
      <w:r>
        <w:rPr>
          <w:color w:val="000000"/>
        </w:rPr>
        <w:t>ENRON NORTH AMERICA CORP.</w:t>
      </w:r>
    </w:p>
    <w:p>
      <w:pPr>
        <w:pStyle w:val="Normal"/>
        <w:spacing w:lineRule="atLeast" w:line="240"/>
        <w:ind w:start="4312" w:end="0"/>
        <w:jc w:val="both"/>
        <w:rPr>
          <w:color w:val="000000"/>
        </w:rPr>
      </w:pPr>
      <w:r>
        <w:rPr>
          <w:color w:val="000000"/>
        </w:rPr>
        <w:t xml:space="preserve">By: </w:t>
      </w:r>
    </w:p>
    <w:p>
      <w:pPr>
        <w:pStyle w:val="Normal"/>
        <w:spacing w:lineRule="atLeast" w:line="240"/>
        <w:ind w:start="4312" w:end="0"/>
        <w:jc w:val="both"/>
        <w:rPr>
          <w:color w:val="000000"/>
        </w:rPr>
      </w:pPr>
      <w:r>
        <w:rPr>
          <w:color w:val="000000"/>
        </w:rPr>
        <w:t>Name:</w:t>
      </w:r>
    </w:p>
    <w:p>
      <w:pPr>
        <w:pStyle w:val="Normal"/>
        <w:spacing w:lineRule="atLeast" w:line="240"/>
        <w:ind w:start="4312" w:end="0"/>
        <w:jc w:val="both"/>
        <w:rPr>
          <w:color w:val="000000"/>
        </w:rPr>
      </w:pPr>
      <w:r>
        <w:rPr>
          <w:color w:val="000000"/>
        </w:rPr>
        <w:t>Title:</w:t>
      </w:r>
    </w:p>
    <w:p>
      <w:pPr>
        <w:pStyle w:val="Normal"/>
        <w:rPr>
          <w:color w:val="000000"/>
        </w:rPr>
      </w:pPr>
      <w:r>
        <w:rPr>
          <w:color w:val="000000"/>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Georgia"/>
    <w:charset w:val="00" w:characterSet="windows-1252"/>
    <w:family w:val="roman"/>
    <w:pitch w:val="default"/>
  </w:font>
  <w:font w:name="Wingdings">
    <w:charset w:val="02"/>
    <w:family w:val="auto"/>
    <w:pitch w:val="variable"/>
  </w:font>
  <w:font w:name="CG Times">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20773.10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8:41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20773.11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8:41 AM</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20773.11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8:41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20773.11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8:41 AM</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HN 20773.11  24571  00091</w:t>
    </w:r>
  </w:p>
  <w:p>
    <w:pPr>
      <w:pStyle w:val="Footer"/>
      <w:rPr/>
    </w:pP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r>
      <w:rPr>
        <w:sz w:val="16"/>
      </w:rPr>
      <w:t xml:space="preserve">  </w:t>
    </w:r>
    <w:r>
      <w:rPr>
        <w:sz w:val="16"/>
      </w:rPr>
      <w:fldChar w:fldCharType="begin"/>
    </w:r>
    <w:r>
      <w:rPr>
        <w:sz w:val="16"/>
      </w:rPr>
      <w:instrText xml:space="preserve"> TIME \@"H:mm\ AM/PM" </w:instrText>
    </w:r>
    <w:r>
      <w:rPr>
        <w:sz w:val="16"/>
      </w:rPr>
      <w:fldChar w:fldCharType="separate"/>
    </w:r>
    <w:r>
      <w:rPr>
        <w:sz w:val="16"/>
      </w:rPr>
      <w:t>8:41 AM</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HN 20773.11  24571 00091</w:t>
    </w:r>
  </w:p>
  <w:p>
    <w:pPr>
      <w:pStyle w:val="Footer"/>
      <w:rPr/>
    </w:pPr>
    <w:r>
      <w:rPr>
        <w:sz w:val="14"/>
      </w:rPr>
      <w:fldChar w:fldCharType="begin"/>
    </w:r>
    <w:r>
      <w:rPr>
        <w:sz w:val="14"/>
      </w:rPr>
      <w:instrText xml:space="preserve"> DATE \@"MM\/dd\/yy" </w:instrText>
    </w:r>
    <w:r>
      <w:rPr>
        <w:sz w:val="14"/>
      </w:rPr>
      <w:fldChar w:fldCharType="separate"/>
    </w:r>
    <w:r>
      <w:rPr>
        <w:sz w:val="14"/>
      </w:rPr>
      <w:t>09/28/25</w:t>
    </w:r>
    <w:r>
      <w:rPr>
        <w:sz w:val="14"/>
      </w:rPr>
      <w:fldChar w:fldCharType="end"/>
    </w:r>
    <w:r>
      <w:rPr>
        <w:sz w:val="14"/>
      </w:rPr>
      <w:t xml:space="preserve">  </w:t>
    </w:r>
    <w:r>
      <w:rPr>
        <w:sz w:val="14"/>
      </w:rPr>
      <w:fldChar w:fldCharType="begin"/>
    </w:r>
    <w:r>
      <w:rPr>
        <w:sz w:val="14"/>
      </w:rPr>
      <w:instrText xml:space="preserve"> TIME \@"H:mm\ AM/PM" </w:instrText>
    </w:r>
    <w:r>
      <w:rPr>
        <w:sz w:val="14"/>
      </w:rPr>
      <w:fldChar w:fldCharType="separate"/>
    </w:r>
    <w:r>
      <w:rPr>
        <w:sz w:val="14"/>
      </w:rPr>
      <w:t>8:41 AM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val="false"/>
        <w:rFonts w:ascii="Times New Roman Bold;Georgia" w:hAnsi="Times New Roman Bold;Georgia" w:cs="Wingdings"/>
        <w:color w:val="auto"/>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1"/>
      <w:pStyle w:val="Heading3"/>
      <w:numFmt w:val="lowerLetter"/>
      <w:lvlText w:val="(%3)  "/>
      <w:lvlJc w:val="start"/>
      <w:pPr>
        <w:tabs>
          <w:tab w:val="num" w:pos="2160"/>
        </w:tabs>
        <w:ind w:start="0" w:firstLine="144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880"/>
        </w:tabs>
        <w:ind w:start="720" w:firstLine="1440"/>
      </w:pPr>
      <w:rPr>
        <w:sz w:val="24"/>
        <w:i w:val="false"/>
        <w:u w:val="none"/>
        <w:b w:val="false"/>
        <w:rFonts w:ascii="Times New Roman" w:hAnsi="Times New Roman" w:cs="Times New Roman"/>
        <w:color w:val="auto"/>
      </w:rPr>
    </w:lvl>
    <w:lvl w:ilvl="4">
      <w:start w:val="1"/>
      <w:pStyle w:val="Heading5"/>
      <w:numFmt w:val="decimal"/>
      <w:lvlText w:val="%5)"/>
      <w:lvlJc w:val="start"/>
      <w:pPr>
        <w:tabs>
          <w:tab w:val="num" w:pos="1008"/>
        </w:tabs>
        <w:ind w:start="1008" w:hanging="432"/>
      </w:p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spacing w:before="0" w:after="240"/>
      <w:jc w:val="center"/>
      <w:outlineLvl w:val="0"/>
    </w:pPr>
    <w:rPr>
      <w:rFonts w:ascii="Times New Roman Bold;Georgia" w:hAnsi="Times New Roman Bold;Georgia" w:cs="Times New Roman Bold;Georgia"/>
    </w:rPr>
  </w:style>
  <w:style w:type="paragraph" w:styleId="Heading2">
    <w:name w:val="heading 2"/>
    <w:basedOn w:val="Normal"/>
    <w:next w:val="Normal"/>
    <w:qFormat/>
    <w:pPr>
      <w:numPr>
        <w:ilvl w:val="1"/>
        <w:numId w:val="1"/>
      </w:numPr>
      <w:spacing w:before="0" w:after="240"/>
      <w:jc w:val="both"/>
      <w:outlineLvl w:val="1"/>
    </w:pPr>
    <w:rPr>
      <w:i/>
    </w:rPr>
  </w:style>
  <w:style w:type="paragraph" w:styleId="Heading3">
    <w:name w:val="heading 3"/>
    <w:basedOn w:val="Normal"/>
    <w:next w:val="Normal"/>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sz w:val="16"/>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Times New Roman Bold;Georgia" w:hAnsi="Times New Roman Bold;Georgia" w:cs="Wingdings"/>
      <w:b w:val="false"/>
      <w:i w:val="false"/>
      <w:color w:val="auto"/>
      <w:sz w:val="24"/>
      <w:u w:val="none"/>
    </w:rPr>
  </w:style>
  <w:style w:type="character" w:styleId="WW8Num34z1">
    <w:name w:val="WW8Num34z1"/>
    <w:qFormat/>
    <w:rPr>
      <w:rFonts w:ascii="Times New Roman" w:hAnsi="Times New Roman" w:cs="Times New Roman"/>
      <w:b w:val="false"/>
      <w:i w:val="false"/>
      <w:color w:val="auto"/>
      <w:sz w:val="24"/>
      <w:u w:val="none"/>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4"/>
    </w:rPr>
  </w:style>
  <w:style w:type="character" w:styleId="WW8Num39z0">
    <w:name w:val="WW8Num39z0"/>
    <w:qFormat/>
    <w:rPr>
      <w:b w:val="false"/>
      <w:i/>
    </w:rPr>
  </w:style>
  <w:style w:type="character" w:styleId="WW8Num40z0">
    <w:name w:val="WW8Num40z0"/>
    <w:qFormat/>
    <w:rPr>
      <w:b w:val="false"/>
      <w:i w:val="false"/>
    </w:rPr>
  </w:style>
  <w:style w:type="character" w:styleId="WW8Num40z1">
    <w:name w:val="WW8Num40z1"/>
    <w:qFormat/>
    <w:rPr>
      <w:rFonts w:ascii="Times New Roman" w:hAnsi="Times New Roman" w:cs="Times New Roman"/>
      <w:b w:val="false"/>
      <w:i w:val="false"/>
      <w:sz w:val="24"/>
    </w:rPr>
  </w:style>
  <w:style w:type="character" w:styleId="WW8Num41z0">
    <w:name w:val="WW8Num41z0"/>
    <w:qFormat/>
    <w:rPr>
      <w:color w:val="000000"/>
    </w:rPr>
  </w:style>
  <w:style w:type="character" w:styleId="WW8Num49z0">
    <w:name w:val="WW8Num49z0"/>
    <w:qFormat/>
    <w:rPr>
      <w:b w:val="false"/>
    </w:rPr>
  </w:style>
  <w:style w:type="character" w:styleId="WW8NumSt39z0">
    <w:name w:val="WW8NumSt39z0"/>
    <w:qFormat/>
    <w:rPr>
      <w:b w:val="false"/>
      <w:i w:val="false"/>
    </w:rPr>
  </w:style>
  <w:style w:type="character" w:styleId="WW8NumSt39z1">
    <w:name w:val="WW8NumSt39z1"/>
    <w:qFormat/>
    <w:rPr>
      <w:rFonts w:ascii="Times New Roman" w:hAnsi="Times New Roman" w:cs="Times New Roman"/>
      <w:b w:val="false"/>
      <w:i w:val="false"/>
      <w:sz w:val="24"/>
    </w:rPr>
  </w:style>
  <w:style w:type="character" w:styleId="WW8NumSt40z0">
    <w:name w:val="WW8NumSt40z0"/>
    <w:qFormat/>
    <w:rPr>
      <w:b w:val="false"/>
      <w:i w:val="false"/>
    </w:rPr>
  </w:style>
  <w:style w:type="character" w:styleId="WW8NumSt40z1">
    <w:name w:val="WW8NumSt40z1"/>
    <w:qFormat/>
    <w:rPr>
      <w:rFonts w:ascii="Times New Roman" w:hAnsi="Times New Roman" w:cs="Times New Roman"/>
      <w:b w:val="false"/>
      <w:i w:val="false"/>
      <w:sz w:val="24"/>
    </w:rPr>
  </w:style>
  <w:style w:type="character" w:styleId="WW8NumSt41z0">
    <w:name w:val="WW8NumSt41z0"/>
    <w:qFormat/>
    <w:rPr>
      <w:b w:val="false"/>
      <w:i w:val="false"/>
    </w:rPr>
  </w:style>
  <w:style w:type="character" w:styleId="WW8NumSt41z1">
    <w:name w:val="WW8NumSt41z1"/>
    <w:qFormat/>
    <w:rPr>
      <w:rFonts w:ascii="Times New Roman" w:hAnsi="Times New Roman" w:cs="Times New Roman"/>
      <w:b w:val="false"/>
      <w:i w:val="false"/>
      <w:sz w:val="24"/>
    </w:rPr>
  </w:style>
  <w:style w:type="character" w:styleId="WW8NumSt87z0">
    <w:name w:val="WW8NumSt87z0"/>
    <w:qFormat/>
    <w:rPr>
      <w:rFonts w:ascii="Times New Roman Bold;Georgia" w:hAnsi="Times New Roman Bold;Georgia" w:cs="Times New Roman Bold;Georgia"/>
      <w:b w:val="false"/>
      <w:i w:val="false"/>
      <w:color w:val="auto"/>
      <w:sz w:val="24"/>
      <w:u w:val="none"/>
    </w:rPr>
  </w:style>
  <w:style w:type="character" w:styleId="WW8NumSt87z1">
    <w:name w:val="WW8NumSt87z1"/>
    <w:qFormat/>
    <w:rPr>
      <w:rFonts w:ascii="Times New Roman" w:hAnsi="Times New Roman" w:cs="Times New Roman"/>
      <w:b w:val="false"/>
      <w:i w:val="false"/>
      <w:color w:val="auto"/>
      <w:sz w:val="24"/>
      <w:u w:val="none"/>
    </w:rPr>
  </w:style>
  <w:style w:type="character" w:styleId="WW8NumSt88z0">
    <w:name w:val="WW8NumSt88z0"/>
    <w:qFormat/>
    <w:rPr>
      <w:rFonts w:ascii="Times New Roman Bold;Georgia" w:hAnsi="Times New Roman Bold;Georgia" w:cs="Times New Roman Bold;Georgia"/>
      <w:b w:val="false"/>
      <w:i w:val="false"/>
      <w:color w:val="auto"/>
      <w:sz w:val="24"/>
      <w:u w:val="none"/>
    </w:rPr>
  </w:style>
  <w:style w:type="character" w:styleId="WW8NumSt88z1">
    <w:name w:val="WW8NumSt88z1"/>
    <w:qFormat/>
    <w:rPr>
      <w:rFonts w:ascii="Times New Roman" w:hAnsi="Times New Roman" w:cs="Times New Roman"/>
      <w:b w:val="false"/>
      <w:i w:val="false"/>
      <w:color w:val="auto"/>
      <w:sz w:val="24"/>
      <w:u w:val="none"/>
    </w:rPr>
  </w:style>
  <w:style w:type="character" w:styleId="WW8NumSt89z0">
    <w:name w:val="WW8NumSt89z0"/>
    <w:qFormat/>
    <w:rPr>
      <w:rFonts w:ascii="Times New Roman Bold;Georgia" w:hAnsi="Times New Roman Bold;Georgia" w:cs="Times New Roman Bold;Georgia"/>
      <w:b w:val="false"/>
      <w:i w:val="false"/>
      <w:color w:val="auto"/>
      <w:sz w:val="24"/>
      <w:u w:val="none"/>
    </w:rPr>
  </w:style>
  <w:style w:type="character" w:styleId="WW8NumSt89z1">
    <w:name w:val="WW8NumSt89z1"/>
    <w:qFormat/>
    <w:rPr>
      <w:rFonts w:ascii="Times New Roman" w:hAnsi="Times New Roman" w:cs="Times New Roman"/>
      <w:b w:val="false"/>
      <w:i w:val="false"/>
      <w:color w:val="auto"/>
      <w:sz w:val="24"/>
      <w:u w:val="none"/>
    </w:rPr>
  </w:style>
  <w:style w:type="character" w:styleId="WW8NumSt92z0">
    <w:name w:val="WW8NumSt92z0"/>
    <w:qFormat/>
    <w:rPr>
      <w:rFonts w:ascii="Times New Roman Bold;Georgia" w:hAnsi="Times New Roman Bold;Georgia" w:cs="Times New Roman Bold;Georgia"/>
      <w:b w:val="false"/>
      <w:i w:val="false"/>
      <w:color w:val="auto"/>
      <w:sz w:val="24"/>
      <w:u w:val="none"/>
    </w:rPr>
  </w:style>
  <w:style w:type="character" w:styleId="WW8NumSt92z1">
    <w:name w:val="WW8NumSt92z1"/>
    <w:qFormat/>
    <w:rPr>
      <w:rFonts w:ascii="Times New Roman" w:hAnsi="Times New Roman" w:cs="Times New Roman"/>
      <w:b w:val="false"/>
      <w:i w:val="false"/>
      <w:color w:val="auto"/>
      <w:sz w:val="24"/>
      <w:u w:val="none"/>
    </w:rPr>
  </w:style>
  <w:style w:type="character" w:styleId="WW8NumSt93z0">
    <w:name w:val="WW8NumSt93z0"/>
    <w:qFormat/>
    <w:rPr>
      <w:rFonts w:ascii="Times New Roman Bold;Georgia" w:hAnsi="Times New Roman Bold;Georgia" w:cs="Times New Roman Bold;Georgia"/>
      <w:b w:val="false"/>
      <w:i w:val="false"/>
      <w:color w:val="auto"/>
      <w:sz w:val="24"/>
      <w:u w:val="none"/>
    </w:rPr>
  </w:style>
  <w:style w:type="character" w:styleId="WW8NumSt93z1">
    <w:name w:val="WW8NumSt93z1"/>
    <w:qFormat/>
    <w:rPr>
      <w:rFonts w:ascii="Times New Roman" w:hAnsi="Times New Roman" w:cs="Times New Roman"/>
      <w:b w:val="false"/>
      <w:i w:val="false"/>
      <w:color w:val="auto"/>
      <w:sz w:val="24"/>
      <w:u w:val="none"/>
    </w:rPr>
  </w:style>
  <w:style w:type="character" w:styleId="WW8NumSt95z0">
    <w:name w:val="WW8NumSt95z0"/>
    <w:qFormat/>
    <w:rPr>
      <w:rFonts w:ascii="Times New Roman Bold;Georgia" w:hAnsi="Times New Roman Bold;Georgia" w:cs="Wingdings"/>
      <w:b w:val="false"/>
      <w:i w:val="false"/>
      <w:color w:val="auto"/>
      <w:sz w:val="24"/>
      <w:u w:val="none"/>
    </w:rPr>
  </w:style>
  <w:style w:type="character" w:styleId="WW8NumSt95z1">
    <w:name w:val="WW8NumSt95z1"/>
    <w:qFormat/>
    <w:rPr>
      <w:rFonts w:ascii="Times New Roman" w:hAnsi="Times New Roman" w:cs="Times New Roman"/>
      <w:b w:val="false"/>
      <w:i w:val="false"/>
      <w:color w:val="auto"/>
      <w:sz w:val="24"/>
      <w:u w:val="none"/>
    </w:rPr>
  </w:style>
  <w:style w:type="character" w:styleId="WW8NumSt97z0">
    <w:name w:val="WW8NumSt97z0"/>
    <w:qFormat/>
    <w:rPr>
      <w:rFonts w:ascii="Times New Roman Bold;Georgia" w:hAnsi="Times New Roman Bold;Georgia" w:cs="Times New Roman Bold;Georgia"/>
      <w:b w:val="false"/>
      <w:i w:val="false"/>
      <w:color w:val="auto"/>
      <w:sz w:val="24"/>
      <w:u w:val="none"/>
    </w:rPr>
  </w:style>
  <w:style w:type="character" w:styleId="WW8NumSt97z1">
    <w:name w:val="WW8NumSt97z1"/>
    <w:qFormat/>
    <w:rPr>
      <w:rFonts w:ascii="Times New Roman" w:hAnsi="Times New Roman" w:cs="Times New Roman"/>
      <w:b w:val="false"/>
      <w:i w:val="false"/>
      <w:color w:val="auto"/>
      <w:sz w:val="24"/>
      <w:u w:val="none"/>
    </w:rPr>
  </w:style>
  <w:style w:type="character" w:styleId="WW8NumSt98z0">
    <w:name w:val="WW8NumSt98z0"/>
    <w:qFormat/>
    <w:rPr>
      <w:rFonts w:ascii="Times New Roman Bold;Georgia" w:hAnsi="Times New Roman Bold;Georgia" w:cs="Times New Roman Bold;Georgia"/>
      <w:b w:val="false"/>
      <w:i w:val="false"/>
      <w:color w:val="auto"/>
      <w:sz w:val="24"/>
      <w:u w:val="none"/>
    </w:rPr>
  </w:style>
  <w:style w:type="character" w:styleId="WW8NumSt98z1">
    <w:name w:val="WW8NumSt98z1"/>
    <w:qFormat/>
    <w:rPr>
      <w:rFonts w:ascii="Times New Roman" w:hAnsi="Times New Roman" w:cs="Times New Roman"/>
      <w:b w:val="false"/>
      <w:i w:val="false"/>
      <w:color w:val="auto"/>
      <w:sz w:val="24"/>
      <w:u w:val="none"/>
    </w:rPr>
  </w:style>
  <w:style w:type="character" w:styleId="WW8NumSt113z0">
    <w:name w:val="WW8NumSt113z0"/>
    <w:qFormat/>
    <w:rPr>
      <w:rFonts w:ascii="Times New Roman Bold;Georgia" w:hAnsi="Times New Roman Bold;Georgia" w:cs="Times New Roman Bold;Georgia"/>
      <w:b w:val="false"/>
      <w:i w:val="false"/>
      <w:color w:val="auto"/>
      <w:sz w:val="24"/>
      <w:u w:val="none"/>
    </w:rPr>
  </w:style>
  <w:style w:type="character" w:styleId="WW8NumSt113z1">
    <w:name w:val="WW8NumSt113z1"/>
    <w:qFormat/>
    <w:rPr>
      <w:rFonts w:ascii="Times New Roman" w:hAnsi="Times New Roman" w:cs="Times New Roman"/>
      <w:b w:val="false"/>
      <w:i w:val="false"/>
      <w:color w:val="auto"/>
      <w:sz w:val="24"/>
      <w:u w:val="none"/>
    </w:rPr>
  </w:style>
  <w:style w:type="character" w:styleId="WW8NumSt119z0">
    <w:name w:val="WW8NumSt119z0"/>
    <w:qFormat/>
    <w:rPr>
      <w:rFonts w:ascii="Times New Roman Bold;Georgia" w:hAnsi="Times New Roman Bold;Georgia" w:cs="Times New Roman Bold;Georgia"/>
      <w:b w:val="false"/>
      <w:i w:val="false"/>
      <w:color w:val="auto"/>
      <w:sz w:val="24"/>
      <w:u w:val="none"/>
    </w:rPr>
  </w:style>
  <w:style w:type="character" w:styleId="WW8NumSt119z1">
    <w:name w:val="WW8NumSt119z1"/>
    <w:qFormat/>
    <w:rPr>
      <w:rFonts w:ascii="Times New Roman" w:hAnsi="Times New Roman" w:cs="Times New Roman"/>
      <w:b w:val="false"/>
      <w:i w:val="false"/>
      <w:color w:val="auto"/>
      <w:sz w:val="24"/>
      <w:u w:val="none"/>
    </w:rPr>
  </w:style>
  <w:style w:type="character" w:styleId="WW8NumSt120z0">
    <w:name w:val="WW8NumSt120z0"/>
    <w:qFormat/>
    <w:rPr>
      <w:rFonts w:ascii="Times New Roman Bold;Georgia" w:hAnsi="Times New Roman Bold;Georgia" w:cs="Times New Roman Bold;Georgia"/>
      <w:b w:val="false"/>
      <w:i w:val="false"/>
      <w:color w:val="auto"/>
      <w:sz w:val="24"/>
      <w:u w:val="none"/>
    </w:rPr>
  </w:style>
  <w:style w:type="character" w:styleId="WW8NumSt120z1">
    <w:name w:val="WW8NumSt120z1"/>
    <w:qFormat/>
    <w:rPr>
      <w:rFonts w:ascii="Times New Roman" w:hAnsi="Times New Roman" w:cs="Times New Roman"/>
      <w:b w:val="false"/>
      <w:i w:val="false"/>
      <w:color w:val="auto"/>
      <w:sz w:val="24"/>
      <w:u w:val="none"/>
    </w:rPr>
  </w:style>
  <w:style w:type="character" w:styleId="WW8NumSt121z0">
    <w:name w:val="WW8NumSt121z0"/>
    <w:qFormat/>
    <w:rPr>
      <w:rFonts w:ascii="Times New Roman Bold;Georgia" w:hAnsi="Times New Roman Bold;Georgia" w:cs="Times New Roman Bold;Georgia"/>
      <w:b w:val="false"/>
      <w:i w:val="false"/>
      <w:color w:val="auto"/>
      <w:sz w:val="24"/>
      <w:u w:val="none"/>
    </w:rPr>
  </w:style>
  <w:style w:type="character" w:styleId="WW8NumSt121z1">
    <w:name w:val="WW8NumSt121z1"/>
    <w:qFormat/>
    <w:rPr>
      <w:rFonts w:ascii="Times New Roman" w:hAnsi="Times New Roman" w:cs="Times New Roman"/>
      <w:b w:val="false"/>
      <w:i w:val="false"/>
      <w:color w:val="auto"/>
      <w:sz w:val="24"/>
      <w:u w:val="none"/>
    </w:rPr>
  </w:style>
  <w:style w:type="character" w:styleId="WW8NumSt122z0">
    <w:name w:val="WW8NumSt122z0"/>
    <w:qFormat/>
    <w:rPr>
      <w:rFonts w:ascii="Times New Roman Bold;Georgia" w:hAnsi="Times New Roman Bold;Georgia" w:cs="Times New Roman Bold;Georgia"/>
      <w:b w:val="false"/>
      <w:i w:val="false"/>
      <w:color w:val="auto"/>
      <w:sz w:val="24"/>
      <w:u w:val="none"/>
    </w:rPr>
  </w:style>
  <w:style w:type="character" w:styleId="WW8NumSt122z1">
    <w:name w:val="WW8NumSt122z1"/>
    <w:qFormat/>
    <w:rPr>
      <w:rFonts w:ascii="Times New Roman" w:hAnsi="Times New Roman" w:cs="Times New Roman"/>
      <w:b w:val="false"/>
      <w:i w:val="false"/>
      <w:color w:val="auto"/>
      <w:sz w:val="24"/>
      <w:u w:val="none"/>
    </w:rPr>
  </w:style>
  <w:style w:type="character" w:styleId="WW8NumSt124z0">
    <w:name w:val="WW8NumSt124z0"/>
    <w:qFormat/>
    <w:rPr>
      <w:rFonts w:ascii="Times New Roman Bold;Georgia" w:hAnsi="Times New Roman Bold;Georgia" w:cs="Times New Roman Bold;Georgia"/>
      <w:b w:val="false"/>
      <w:i w:val="false"/>
      <w:color w:val="auto"/>
      <w:sz w:val="24"/>
      <w:u w:val="none"/>
    </w:rPr>
  </w:style>
  <w:style w:type="character" w:styleId="WW8NumSt124z1">
    <w:name w:val="WW8NumSt124z1"/>
    <w:qFormat/>
    <w:rPr>
      <w:rFonts w:ascii="Times New Roman" w:hAnsi="Times New Roman" w:cs="Times New Roman"/>
      <w:b w:val="false"/>
      <w:i w:val="false"/>
      <w:color w:val="auto"/>
      <w:sz w:val="24"/>
      <w:u w:val="none"/>
    </w:rPr>
  </w:style>
  <w:style w:type="character" w:styleId="WW8NumSt135z0">
    <w:name w:val="WW8NumSt135z0"/>
    <w:qFormat/>
    <w:rPr>
      <w:rFonts w:ascii="Times New Roman Bold;Georgia" w:hAnsi="Times New Roman Bold;Georgia" w:cs="Times New Roman Bold;Georgia"/>
      <w:b w:val="false"/>
      <w:i w:val="false"/>
      <w:color w:val="auto"/>
      <w:sz w:val="24"/>
      <w:u w:val="none"/>
    </w:rPr>
  </w:style>
  <w:style w:type="character" w:styleId="WW8NumSt135z1">
    <w:name w:val="WW8NumSt135z1"/>
    <w:qFormat/>
    <w:rPr>
      <w:rFonts w:ascii="Times New Roman" w:hAnsi="Times New Roman" w:cs="Times New Roman"/>
      <w:b w:val="false"/>
      <w:i w:val="false"/>
      <w:color w:val="auto"/>
      <w:sz w:val="24"/>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color w:val="auto"/>
      <w:sz w:val="24"/>
      <w:u w:val="non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480"/>
      <w:jc w:val="center"/>
      <w:outlineLvl w:val="0"/>
    </w:pPr>
    <w:rPr>
      <w:rFonts w:ascii="Times New Roman Bold;Georgia" w:hAnsi="Times New Roman Bold;Georgia" w:cs="Times New Roman Bold;Georgia"/>
      <w:b/>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spacing w:before="0" w:after="960"/>
      <w:jc w:val="end"/>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TOC1">
    <w:name w:val="toc 1"/>
    <w:basedOn w:val="Normal"/>
    <w:next w:val="Normal"/>
    <w:pPr>
      <w:keepNext w:val="true"/>
      <w:keepLines/>
      <w:tabs>
        <w:tab w:val="clear" w:pos="720"/>
        <w:tab w:val="right" w:pos="9360" w:leader="dot"/>
      </w:tabs>
      <w:spacing w:before="120" w:after="120"/>
      <w:ind w:hanging="1800" w:start="1800" w:end="720"/>
    </w:pPr>
    <w:rPr>
      <w:caps/>
      <w:lang w:val="en-CA"/>
    </w:rPr>
  </w:style>
  <w:style w:type="paragraph" w:styleId="TOC2">
    <w:name w:val="toc 2"/>
    <w:basedOn w:val="Normal"/>
    <w:next w:val="Normal"/>
    <w:pPr>
      <w:tabs>
        <w:tab w:val="clear" w:pos="720"/>
        <w:tab w:val="left" w:pos="1800" w:leader="none"/>
        <w:tab w:val="right" w:pos="9360" w:leader="dot"/>
      </w:tabs>
      <w:spacing w:before="0" w:after="120"/>
      <w:ind w:hanging="810" w:start="990" w:end="720"/>
    </w:pPr>
    <w:rPr>
      <w:smallCaps/>
      <w:lang w:val="en-CA"/>
    </w:rPr>
  </w:style>
  <w:style w:type="paragraph" w:styleId="BodyTextIndent">
    <w:name w:val="Body Text Indent"/>
    <w:basedOn w:val="Normal"/>
    <w:pPr>
      <w:keepNext w:val="true"/>
      <w:keepLines/>
      <w:ind w:hanging="0" w:start="2160" w:end="0"/>
    </w:pPr>
    <w:rPr/>
  </w:style>
  <w:style w:type="paragraph" w:styleId="BodyText2">
    <w:name w:val="Body Text 2"/>
    <w:basedOn w:val="Normal"/>
    <w:qFormat/>
    <w:pPr>
      <w:jc w:val="both"/>
    </w:pPr>
    <w:rPr>
      <w:rFonts w:ascii="CG Times" w:hAnsi="CG Times" w:cs="CG Time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2000-07-05T16:56:00Z</dcterms:created>
  <dc:creator>LeBoeuf, Lamb, Greene &amp; MacRae, L.L.P.</dc:creator>
  <dc:description/>
  <cp:keywords>HN 20773.12 24571 00091 7/5/00 4:54:03 PM</cp:keywords>
  <dc:language>en-CA</dc:language>
  <cp:lastModifiedBy>LeBoeuf, Lamb, Greene &amp; MacRae, L.L.P.</cp:lastModifiedBy>
  <cp:lastPrinted>2000-07-05T16:54:00Z</cp:lastPrinted>
  <dcterms:modified xsi:type="dcterms:W3CDTF">2000-07-05T19:31:00Z</dcterms:modified>
  <cp:revision>13</cp:revision>
  <dc:subject/>
  <dc:title>Heading 1</dc:title>
</cp:coreProperties>
</file>