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r>
        <mc:AlternateContent>
          <mc:Choice Requires="wps">
            <w:drawing>
              <wp:anchor behindDoc="0" distT="0" distB="0" distL="114300" distR="114300" simplePos="0" locked="0" layoutInCell="0" allowOverlap="1" relativeHeight="2">
                <wp:simplePos x="0" y="0"/>
                <wp:positionH relativeFrom="page">
                  <wp:posOffset>657225</wp:posOffset>
                </wp:positionH>
                <wp:positionV relativeFrom="paragraph">
                  <wp:posOffset>24765</wp:posOffset>
                </wp:positionV>
                <wp:extent cx="1241425" cy="1224915"/>
                <wp:effectExtent l="0" t="0" r="0" b="0"/>
                <wp:wrapSquare wrapText="bothSides"/>
                <wp:docPr id="1" name="Frame1"/>
                <a:graphic xmlns:a="http://schemas.openxmlformats.org/drawingml/2006/main">
                  <a:graphicData uri="http://schemas.microsoft.com/office/word/2010/wordprocessingShape">
                    <wps:wsp>
                      <wps:cNvSpPr txBox="1"/>
                      <wps:spPr>
                        <a:xfrm>
                          <a:off x="0" y="0"/>
                          <a:ext cx="1241425" cy="1224915"/>
                        </a:xfrm>
                        <a:prstGeom prst="rect"/>
                        <a:solidFill>
                          <a:srgbClr val="FFFFFF">
                            <a:alpha val="0"/>
                          </a:srgbClr>
                        </a:solidFill>
                      </wps:spPr>
                      <wps:txbx>
                        <w:txbxContent>
                          <w:p>
                            <w:pPr>
                              <w:pStyle w:val="Normal"/>
                              <w:rPr/>
                            </w:pPr>
                            <w:r>
                              <w:rPr/>
                              <w:drawing>
                                <wp:inline distT="0" distB="0" distL="0" distR="0">
                                  <wp:extent cx="1240790" cy="122491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9" t="-39" r="-39" b="-39"/>
                                          <a:stretch>
                                            <a:fillRect/>
                                          </a:stretch>
                                        </pic:blipFill>
                                        <pic:spPr bwMode="auto">
                                          <a:xfrm>
                                            <a:off x="0" y="0"/>
                                            <a:ext cx="1240790" cy="122491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97.75pt;height:96.45pt;mso-wrap-distance-left:9pt;mso-wrap-distance-right:9pt;mso-wrap-distance-top:0pt;mso-wrap-distance-bottom:0pt;margin-top:1.95pt;mso-position-vertical-relative:text;margin-left:51.75pt;mso-position-horizontal-relative:page">
                <v:fill opacity="0f"/>
                <v:textbox inset="0in,0in,0in,0in">
                  <w:txbxContent>
                    <w:p>
                      <w:pPr>
                        <w:pStyle w:val="Normal"/>
                        <w:rPr/>
                      </w:pPr>
                      <w:r>
                        <w:rPr/>
                        <w:drawing>
                          <wp:inline distT="0" distB="0" distL="0" distR="0">
                            <wp:extent cx="1240790" cy="122491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9" t="-39" r="-39" b="-39"/>
                                    <a:stretch>
                                      <a:fillRect/>
                                    </a:stretch>
                                  </pic:blipFill>
                                  <pic:spPr bwMode="auto">
                                    <a:xfrm>
                                      <a:off x="0" y="0"/>
                                      <a:ext cx="1240790" cy="1224915"/>
                                    </a:xfrm>
                                    <a:prstGeom prst="rect">
                                      <a:avLst/>
                                    </a:prstGeom>
                                    <a:noFill/>
                                  </pic:spPr>
                                </pic:pic>
                              </a:graphicData>
                            </a:graphic>
                          </wp:inline>
                        </w:drawing>
                      </w:r>
                    </w:p>
                  </w:txbxContent>
                </v:textbox>
                <w10:wrap type="square"/>
              </v:rect>
            </w:pict>
          </mc:Fallback>
        </mc:AlternateContent>
      </w:r>
    </w:p>
    <w:p>
      <w:pPr>
        <w:pStyle w:val="Normal"/>
        <w:rPr/>
      </w:pPr>
      <w:r>
        <w:rPr/>
      </w:r>
    </w:p>
    <w:p>
      <w:pPr>
        <w:pStyle w:val="Normal"/>
        <w:jc w:val="end"/>
        <w:rPr/>
      </w:pPr>
      <w:r>
        <w:rPr/>
      </w:r>
    </w:p>
    <w:p>
      <w:pPr>
        <w:pStyle w:val="Normal"/>
        <w:jc w:val="end"/>
        <w:rPr>
          <w:rFonts w:ascii="Times New Roman" w:hAnsi="Times New Roman" w:cs="Times New Roman"/>
          <w:sz w:val="24"/>
        </w:rPr>
      </w:pPr>
      <w:r>
        <w:rPr>
          <w:rFonts w:cs="Times New Roman" w:ascii="Times New Roman" w:hAnsi="Times New Roman"/>
          <w:sz w:val="24"/>
        </w:rPr>
        <w:t>40 GROSVENOR PLACE</w:t>
      </w:r>
    </w:p>
    <w:p>
      <w:pPr>
        <w:pStyle w:val="Normal"/>
        <w:jc w:val="end"/>
        <w:rPr>
          <w:rFonts w:ascii="Times New Roman" w:hAnsi="Times New Roman" w:cs="Times New Roman"/>
          <w:sz w:val="24"/>
        </w:rPr>
      </w:pPr>
      <w:r>
        <w:rPr>
          <w:rFonts w:cs="Times New Roman" w:ascii="Times New Roman" w:hAnsi="Times New Roman"/>
          <w:sz w:val="24"/>
        </w:rPr>
        <w:t xml:space="preserve">LONDON </w:t>
      </w:r>
    </w:p>
    <w:p>
      <w:pPr>
        <w:pStyle w:val="Normal"/>
        <w:jc w:val="end"/>
        <w:rPr>
          <w:sz w:val="24"/>
        </w:rPr>
      </w:pPr>
      <w:r>
        <w:rPr>
          <w:rFonts w:cs="Times New Roman" w:ascii="Times New Roman" w:hAnsi="Times New Roman"/>
          <w:sz w:val="24"/>
        </w:rPr>
        <w:t>SW1X 7EN</w:t>
      </w:r>
    </w:p>
    <w:p>
      <w:pPr>
        <w:pStyle w:val="Normal"/>
        <w:rPr>
          <w:sz w:val="24"/>
        </w:rPr>
      </w:pPr>
      <w:r>
        <w:rPr>
          <w:sz w:val="24"/>
        </w:rPr>
      </w:r>
    </w:p>
    <w:p>
      <w:pPr>
        <w:pStyle w:val="Normal"/>
        <w:rPr/>
      </w:pPr>
      <w:r>
        <w:rPr/>
      </w:r>
    </w:p>
    <w:p>
      <w:pPr>
        <w:pStyle w:val="Normal"/>
        <w:rPr/>
      </w:pPr>
      <w:r>
        <w:rPr/>
      </w:r>
    </w:p>
    <w:p>
      <w:pPr>
        <w:pStyle w:val="Normal"/>
        <w:jc w:val="center"/>
        <w:rPr/>
      </w:pPr>
      <w:r>
        <w:rPr/>
      </w:r>
    </w:p>
    <w:tbl>
      <w:tblPr>
        <w:tblW w:w="10065" w:type="dxa"/>
        <w:jc w:val="start"/>
        <w:tblInd w:w="-743" w:type="dxa"/>
        <w:tblLayout w:type="fixed"/>
        <w:tblCellMar>
          <w:top w:w="0" w:type="dxa"/>
          <w:start w:w="108" w:type="dxa"/>
          <w:bottom w:w="0" w:type="dxa"/>
          <w:end w:w="108" w:type="dxa"/>
        </w:tblCellMar>
      </w:tblPr>
      <w:tblGrid>
        <w:gridCol w:w="3465"/>
        <w:gridCol w:w="6600"/>
      </w:tblGrid>
      <w:tr>
        <w:trPr/>
        <w:tc>
          <w:tcPr>
            <w:tcW w:w="3465" w:type="dxa"/>
            <w:tcBorders>
              <w:top w:val="single" w:sz="12" w:space="0" w:color="000000"/>
            </w:tcBorders>
          </w:tcPr>
          <w:p>
            <w:pPr>
              <w:pStyle w:val="To"/>
              <w:snapToGrid w:val="false"/>
              <w:rPr>
                <w:b/>
                <w:sz w:val="28"/>
              </w:rPr>
            </w:pPr>
            <w:r>
              <w:rPr>
                <w:b/>
                <w:sz w:val="28"/>
              </w:rPr>
            </w:r>
          </w:p>
        </w:tc>
        <w:tc>
          <w:tcPr>
            <w:tcW w:w="6600" w:type="dxa"/>
            <w:tcBorders>
              <w:top w:val="single" w:sz="12" w:space="0" w:color="000000"/>
            </w:tcBorders>
          </w:tcPr>
          <w:p>
            <w:pPr>
              <w:pStyle w:val="To"/>
              <w:snapToGrid w:val="false"/>
              <w:rPr>
                <w:b/>
                <w:sz w:val="28"/>
              </w:rPr>
            </w:pPr>
            <w:r>
              <w:rPr>
                <w:b/>
                <w:sz w:val="28"/>
              </w:rPr>
            </w:r>
          </w:p>
        </w:tc>
      </w:tr>
      <w:tr>
        <w:trPr/>
        <w:tc>
          <w:tcPr>
            <w:tcW w:w="3465" w:type="dxa"/>
            <w:tcBorders/>
          </w:tcPr>
          <w:p>
            <w:pPr>
              <w:pStyle w:val="To"/>
              <w:rPr>
                <w:b/>
                <w:sz w:val="28"/>
              </w:rPr>
            </w:pPr>
            <w:r>
              <w:rPr>
                <w:b/>
                <w:sz w:val="28"/>
              </w:rPr>
              <w:t>To:</w:t>
            </w:r>
          </w:p>
        </w:tc>
        <w:tc>
          <w:tcPr>
            <w:tcW w:w="6600" w:type="dxa"/>
            <w:tcBorders/>
          </w:tcPr>
          <w:p>
            <w:pPr>
              <w:pStyle w:val="To"/>
              <w:rPr>
                <w:sz w:val="28"/>
              </w:rPr>
            </w:pPr>
            <w:bookmarkStart w:id="0" w:name="To"/>
            <w:bookmarkEnd w:id="0"/>
            <w:r>
              <w:rPr>
                <w:sz w:val="28"/>
              </w:rPr>
              <w:t xml:space="preserve">Carmen </w:t>
            </w:r>
            <w:bookmarkStart w:id="1" w:name="ToLastName"/>
            <w:bookmarkEnd w:id="1"/>
            <w:r>
              <w:rPr>
                <w:sz w:val="28"/>
              </w:rPr>
              <w:t>Martinez</w:t>
            </w:r>
          </w:p>
        </w:tc>
      </w:tr>
      <w:tr>
        <w:trPr/>
        <w:tc>
          <w:tcPr>
            <w:tcW w:w="3465" w:type="dxa"/>
            <w:tcBorders/>
          </w:tcPr>
          <w:p>
            <w:pPr>
              <w:pStyle w:val="Normal"/>
              <w:rPr>
                <w:b/>
              </w:rPr>
            </w:pPr>
            <w:r>
              <w:rPr>
                <w:b/>
              </w:rPr>
              <w:t>Company:</w:t>
            </w:r>
          </w:p>
        </w:tc>
        <w:tc>
          <w:tcPr>
            <w:tcW w:w="6600" w:type="dxa"/>
            <w:tcBorders/>
          </w:tcPr>
          <w:p>
            <w:pPr>
              <w:pStyle w:val="ToCompany"/>
              <w:rPr>
                <w:sz w:val="20"/>
              </w:rPr>
            </w:pPr>
            <w:bookmarkStart w:id="2" w:name="ToCompany"/>
            <w:bookmarkEnd w:id="2"/>
            <w:r>
              <w:rPr>
                <w:sz w:val="20"/>
              </w:rPr>
              <w:t>BNP Paribas</w:t>
            </w:r>
          </w:p>
        </w:tc>
      </w:tr>
      <w:tr>
        <w:trPr/>
        <w:tc>
          <w:tcPr>
            <w:tcW w:w="3465" w:type="dxa"/>
            <w:tcBorders/>
          </w:tcPr>
          <w:p>
            <w:pPr>
              <w:pStyle w:val="Normal"/>
              <w:rPr>
                <w:b/>
              </w:rPr>
            </w:pPr>
            <w:r>
              <w:rPr>
                <w:b/>
              </w:rPr>
              <w:t>CC:</w:t>
            </w:r>
          </w:p>
        </w:tc>
        <w:tc>
          <w:tcPr>
            <w:tcW w:w="6600" w:type="dxa"/>
            <w:tcBorders/>
          </w:tcPr>
          <w:p>
            <w:pPr>
              <w:pStyle w:val="ToCC"/>
              <w:rPr/>
            </w:pPr>
            <w:bookmarkStart w:id="3" w:name="ToCC"/>
            <w:bookmarkEnd w:id="3"/>
            <w:r>
              <w:rPr/>
              <w:t xml:space="preserve">Carmen </w:t>
            </w:r>
            <w:bookmarkStart w:id="4" w:name="ToCC2"/>
            <w:bookmarkEnd w:id="4"/>
            <w:r>
              <w:rPr/>
              <w:t xml:space="preserve">Martinez      </w:t>
            </w:r>
            <w:bookmarkStart w:id="5" w:name="CCF"/>
            <w:bookmarkEnd w:id="5"/>
            <w:r>
              <w:rPr/>
              <w:t xml:space="preserve">Fax:   </w:t>
            </w:r>
            <w:r>
              <w:fldChar w:fldCharType="begin">
                <w:ffData>
                  <w:name w:val="CCFax"/>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
              <w:rPr>
                <w:lang w:val="en-CA" w:eastAsia="en-CA"/>
              </w:rPr>
              <w:fldChar w:fldCharType="end"/>
            </w:r>
            <w:r>
              <w:rPr>
                <w:lang w:val="en-CA" w:eastAsia="en-CA"/>
              </w:rPr>
            </w:r>
          </w:p>
        </w:tc>
      </w:tr>
      <w:tr>
        <w:trPr/>
        <w:tc>
          <w:tcPr>
            <w:tcW w:w="3465" w:type="dxa"/>
            <w:tcBorders/>
          </w:tcPr>
          <w:p>
            <w:pPr>
              <w:pStyle w:val="Normal"/>
              <w:rPr>
                <w:b/>
              </w:rPr>
            </w:pPr>
            <w:r>
              <w:rPr>
                <w:b/>
              </w:rPr>
              <w:t>Phone:</w:t>
            </w:r>
          </w:p>
        </w:tc>
        <w:tc>
          <w:tcPr>
            <w:tcW w:w="6600" w:type="dxa"/>
            <w:tcBorders/>
          </w:tcPr>
          <w:p>
            <w:pPr>
              <w:pStyle w:val="ToPhone"/>
              <w:rPr>
                <w:sz w:val="20"/>
              </w:rPr>
            </w:pPr>
            <w:bookmarkStart w:id="6" w:name="ToPhone"/>
            <w:bookmarkEnd w:id="6"/>
            <w:r>
              <w:rPr>
                <w:sz w:val="20"/>
              </w:rPr>
              <w:t>+12128412506</w:t>
            </w:r>
          </w:p>
        </w:tc>
      </w:tr>
      <w:tr>
        <w:trPr/>
        <w:tc>
          <w:tcPr>
            <w:tcW w:w="3465" w:type="dxa"/>
            <w:tcBorders/>
          </w:tcPr>
          <w:p>
            <w:pPr>
              <w:pStyle w:val="Normal"/>
              <w:rPr>
                <w:b/>
              </w:rPr>
            </w:pPr>
            <w:r>
              <w:rPr>
                <w:b/>
              </w:rPr>
              <w:t>Fax:</w:t>
            </w:r>
          </w:p>
        </w:tc>
        <w:tc>
          <w:tcPr>
            <w:tcW w:w="6600" w:type="dxa"/>
            <w:tcBorders/>
          </w:tcPr>
          <w:p>
            <w:pPr>
              <w:pStyle w:val="ToFax"/>
              <w:rPr>
                <w:sz w:val="20"/>
              </w:rPr>
            </w:pPr>
            <w:bookmarkStart w:id="7" w:name="ToFax"/>
            <w:bookmarkEnd w:id="7"/>
            <w:r>
              <w:rPr>
                <w:sz w:val="20"/>
              </w:rPr>
              <w:t>+12128413934</w:t>
            </w:r>
          </w:p>
        </w:tc>
      </w:tr>
      <w:tr>
        <w:trPr/>
        <w:tc>
          <w:tcPr>
            <w:tcW w:w="3465" w:type="dxa"/>
            <w:tcBorders/>
          </w:tcPr>
          <w:p>
            <w:pPr>
              <w:pStyle w:val="Normal"/>
              <w:spacing w:before="360" w:after="0"/>
              <w:rPr>
                <w:b/>
                <w:sz w:val="28"/>
              </w:rPr>
            </w:pPr>
            <w:r>
              <w:rPr>
                <w:b/>
                <w:sz w:val="28"/>
              </w:rPr>
              <w:t>From:</w:t>
            </w:r>
          </w:p>
        </w:tc>
        <w:tc>
          <w:tcPr>
            <w:tcW w:w="6600" w:type="dxa"/>
            <w:tcBorders/>
          </w:tcPr>
          <w:p>
            <w:pPr>
              <w:pStyle w:val="From"/>
              <w:spacing w:before="360" w:after="0"/>
              <w:rPr>
                <w:sz w:val="28"/>
              </w:rPr>
            </w:pPr>
            <w:bookmarkStart w:id="8" w:name="From"/>
            <w:bookmarkEnd w:id="8"/>
            <w:r>
              <w:rPr>
                <w:sz w:val="28"/>
              </w:rPr>
              <w:t xml:space="preserve">Kathryn  </w:t>
            </w:r>
            <w:bookmarkStart w:id="9" w:name="LastName"/>
            <w:bookmarkEnd w:id="9"/>
            <w:r>
              <w:rPr>
                <w:sz w:val="28"/>
              </w:rPr>
              <w:t>Thomas</w:t>
            </w:r>
          </w:p>
        </w:tc>
      </w:tr>
      <w:tr>
        <w:trPr/>
        <w:tc>
          <w:tcPr>
            <w:tcW w:w="3465" w:type="dxa"/>
            <w:tcBorders/>
          </w:tcPr>
          <w:p>
            <w:pPr>
              <w:pStyle w:val="Normal"/>
              <w:rPr>
                <w:b/>
              </w:rPr>
            </w:pPr>
            <w:r>
              <w:rPr>
                <w:b/>
              </w:rPr>
              <w:t>Phone:</w:t>
            </w:r>
          </w:p>
        </w:tc>
        <w:tc>
          <w:tcPr>
            <w:tcW w:w="6600" w:type="dxa"/>
            <w:tcBorders/>
          </w:tcPr>
          <w:p>
            <w:pPr>
              <w:pStyle w:val="FromPhone"/>
              <w:snapToGrid w:val="false"/>
              <w:rPr>
                <w:b/>
                <w:sz w:val="20"/>
              </w:rPr>
            </w:pPr>
            <w:r>
              <w:rPr>
                <w:b/>
                <w:sz w:val="20"/>
              </w:rPr>
            </w:r>
            <w:bookmarkStart w:id="10" w:name="FromPhone"/>
            <w:bookmarkStart w:id="11" w:name="FromPhone"/>
            <w:bookmarkEnd w:id="11"/>
          </w:p>
        </w:tc>
      </w:tr>
      <w:tr>
        <w:trPr/>
        <w:tc>
          <w:tcPr>
            <w:tcW w:w="3465" w:type="dxa"/>
            <w:tcBorders/>
          </w:tcPr>
          <w:p>
            <w:pPr>
              <w:pStyle w:val="Normal"/>
              <w:rPr>
                <w:b/>
              </w:rPr>
            </w:pPr>
            <w:r>
              <w:rPr>
                <w:b/>
              </w:rPr>
              <w:t>Fax:</w:t>
            </w:r>
          </w:p>
        </w:tc>
        <w:tc>
          <w:tcPr>
            <w:tcW w:w="6600" w:type="dxa"/>
            <w:tcBorders/>
          </w:tcPr>
          <w:p>
            <w:pPr>
              <w:pStyle w:val="FromFax"/>
              <w:snapToGrid w:val="false"/>
              <w:rPr>
                <w:b/>
                <w:sz w:val="20"/>
              </w:rPr>
            </w:pPr>
            <w:r>
              <w:rPr>
                <w:b/>
                <w:sz w:val="20"/>
              </w:rPr>
            </w:r>
            <w:bookmarkStart w:id="12" w:name="FromFax"/>
            <w:bookmarkStart w:id="13" w:name="FromFax"/>
            <w:bookmarkEnd w:id="13"/>
          </w:p>
        </w:tc>
      </w:tr>
      <w:tr>
        <w:trPr/>
        <w:tc>
          <w:tcPr>
            <w:tcW w:w="3465" w:type="dxa"/>
            <w:tcBorders/>
          </w:tcPr>
          <w:p>
            <w:pPr>
              <w:pStyle w:val="Normal"/>
              <w:spacing w:before="360" w:after="0"/>
              <w:rPr>
                <w:b/>
              </w:rPr>
            </w:pPr>
            <w:r>
              <w:rPr>
                <w:b/>
              </w:rPr>
              <w:t>Date:</w:t>
            </w:r>
          </w:p>
        </w:tc>
        <w:tc>
          <w:tcPr>
            <w:tcW w:w="6600" w:type="dxa"/>
            <w:tcBorders/>
          </w:tcPr>
          <w:p>
            <w:pPr>
              <w:pStyle w:val="Date"/>
              <w:spacing w:before="360" w:after="0"/>
              <w:rPr>
                <w:sz w:val="20"/>
              </w:rPr>
            </w:pPr>
            <w:bookmarkStart w:id="14" w:name="Date"/>
            <w:bookmarkEnd w:id="14"/>
            <w:r>
              <w:rPr>
                <w:sz w:val="20"/>
              </w:rPr>
              <w:fldChar w:fldCharType="begin"/>
            </w:r>
            <w:r>
              <w:rPr>
                <w:sz w:val="20"/>
              </w:rPr>
              <w:instrText xml:space="preserve"> DATE \@"dd\ MMMM\ yyyy" </w:instrText>
            </w:r>
            <w:r>
              <w:rPr>
                <w:sz w:val="20"/>
              </w:rPr>
              <w:fldChar w:fldCharType="separate"/>
            </w:r>
            <w:r>
              <w:rPr>
                <w:sz w:val="20"/>
              </w:rPr>
              <w:t>28 September 2025</w:t>
            </w:r>
            <w:r>
              <w:rPr>
                <w:sz w:val="20"/>
              </w:rPr>
              <w:fldChar w:fldCharType="end"/>
            </w:r>
          </w:p>
        </w:tc>
      </w:tr>
      <w:tr>
        <w:trPr/>
        <w:tc>
          <w:tcPr>
            <w:tcW w:w="3465" w:type="dxa"/>
            <w:tcBorders/>
          </w:tcPr>
          <w:p>
            <w:pPr>
              <w:pStyle w:val="Normal"/>
              <w:rPr>
                <w:b/>
              </w:rPr>
            </w:pPr>
            <w:r>
              <w:rPr>
                <w:b/>
              </w:rPr>
              <w:t>Pages including this cover:</w:t>
            </w:r>
          </w:p>
        </w:tc>
        <w:tc>
          <w:tcPr>
            <w:tcW w:w="6600" w:type="dxa"/>
            <w:tcBorders/>
          </w:tcPr>
          <w:p>
            <w:pPr>
              <w:pStyle w:val="Pages"/>
              <w:rPr>
                <w:sz w:val="20"/>
              </w:rPr>
            </w:pPr>
            <w:bookmarkStart w:id="15" w:name="Pages"/>
            <w:bookmarkEnd w:id="15"/>
            <w:r>
              <w:rPr>
                <w:sz w:val="20"/>
              </w:rPr>
              <w:fldChar w:fldCharType="begin"/>
            </w:r>
            <w:r>
              <w:rPr>
                <w:sz w:val="20"/>
              </w:rPr>
              <w:instrText xml:space="preserve"> NUMPAGES \* ARABIC </w:instrText>
            </w:r>
            <w:r>
              <w:rPr>
                <w:sz w:val="20"/>
              </w:rPr>
              <w:fldChar w:fldCharType="separate"/>
            </w:r>
            <w:r>
              <w:rPr>
                <w:sz w:val="20"/>
              </w:rPr>
              <w:t>9</w:t>
            </w:r>
            <w:r>
              <w:rPr>
                <w:sz w:val="20"/>
              </w:rPr>
              <w:fldChar w:fldCharType="end"/>
            </w:r>
          </w:p>
        </w:tc>
      </w:tr>
      <w:tr>
        <w:trPr/>
        <w:tc>
          <w:tcPr>
            <w:tcW w:w="3465" w:type="dxa"/>
            <w:tcBorders>
              <w:bottom w:val="single" w:sz="12" w:space="0" w:color="000000"/>
            </w:tcBorders>
          </w:tcPr>
          <w:p>
            <w:pPr>
              <w:pStyle w:val="Normal"/>
              <w:snapToGrid w:val="false"/>
              <w:rPr>
                <w:b/>
                <w:sz w:val="20"/>
              </w:rPr>
            </w:pPr>
            <w:r>
              <w:rPr>
                <w:b/>
                <w:sz w:val="20"/>
              </w:rPr>
            </w:r>
          </w:p>
        </w:tc>
        <w:tc>
          <w:tcPr>
            <w:tcW w:w="6600" w:type="dxa"/>
            <w:tcBorders>
              <w:bottom w:val="single" w:sz="12" w:space="0" w:color="000000"/>
            </w:tcBorders>
          </w:tcPr>
          <w:p>
            <w:pPr>
              <w:pStyle w:val="Pages"/>
              <w:snapToGrid w:val="false"/>
              <w:rPr>
                <w:b/>
                <w:sz w:val="20"/>
              </w:rPr>
            </w:pPr>
            <w:r>
              <w:rPr>
                <w:b/>
                <w:sz w:val="20"/>
              </w:rPr>
            </w:r>
          </w:p>
        </w:tc>
      </w:tr>
    </w:tbl>
    <w:p>
      <w:pPr>
        <w:pStyle w:val="Normal"/>
        <w:rPr/>
      </w:pPr>
      <w:r>
        <w:rPr/>
      </w:r>
    </w:p>
    <w:p>
      <w:pPr>
        <w:pStyle w:val="Normal"/>
        <w:rPr/>
      </w:pPr>
      <w:r>
        <w:rPr/>
      </w:r>
    </w:p>
    <w:p>
      <w:pPr>
        <w:pStyle w:val="Normal"/>
        <w:rPr/>
      </w:pPr>
      <w:r>
        <w:rPr/>
      </w:r>
    </w:p>
    <w:p>
      <w:pPr>
        <w:pStyle w:val="Comments"/>
        <w:ind w:start="-851" w:end="0"/>
        <w:rPr/>
      </w:pPr>
      <w:r>
        <w:rPr/>
        <w:t>Comments:</w:t>
      </w:r>
    </w:p>
    <w:p>
      <w:pPr>
        <w:pStyle w:val="Normal"/>
        <w:rPr/>
      </w:pPr>
      <w:r>
        <w:rPr/>
      </w:r>
    </w:p>
    <w:p>
      <w:pPr>
        <w:pStyle w:val="Normal"/>
        <w:rPr/>
      </w:pPr>
      <w:r>
        <w:rPr/>
        <w:t xml:space="preserve">Please find attached the Confirmation for transaction </w:t>
      </w:r>
      <w:bookmarkStart w:id="16" w:name="ConfNo"/>
      <w:bookmarkEnd w:id="16"/>
      <w:r>
        <w:rPr/>
        <w:t>ENG05794956.</w:t>
      </w:r>
    </w:p>
    <w:p>
      <w:pPr>
        <w:pStyle w:val="Normal"/>
        <w:rPr/>
      </w:pPr>
      <w:r>
        <w:rPr/>
      </w:r>
    </w:p>
    <w:p>
      <w:pPr>
        <w:pStyle w:val="Normal"/>
        <w:rPr/>
      </w:pPr>
      <w:r>
        <w:rPr/>
        <w:t>Please could you sign and return the attached as soon as possible – Thank You.</w:t>
      </w:r>
    </w:p>
    <w:p>
      <w:pPr>
        <w:pStyle w:val="Normal"/>
        <w:rPr/>
      </w:pPr>
      <w:r>
        <w:rPr/>
      </w:r>
    </w:p>
    <w:p>
      <w:pPr>
        <w:pStyle w:val="Normal"/>
        <w:rPr/>
      </w:pPr>
      <w:r>
        <w:rPr/>
        <w:t>If you have any queries, please do not hesitate to call.</w:t>
      </w:r>
    </w:p>
    <w:p>
      <w:pPr>
        <w:pStyle w:val="Normal"/>
        <w:rPr/>
      </w:pPr>
      <w:r>
        <w:rPr/>
      </w:r>
    </w:p>
    <w:p>
      <w:pPr>
        <w:pStyle w:val="Normal"/>
        <w:rPr/>
      </w:pPr>
      <w:r>
        <w:rPr/>
        <w:t>Regards</w:t>
      </w:r>
    </w:p>
    <w:p>
      <w:pPr>
        <w:pStyle w:val="Normal"/>
        <w:rPr/>
      </w:pPr>
      <w:r>
        <w:rPr/>
      </w:r>
    </w:p>
    <w:p>
      <w:pPr>
        <w:pStyle w:val="Normal"/>
        <w:rPr/>
      </w:pPr>
      <w:r>
        <w:rPr/>
      </w:r>
    </w:p>
    <w:p>
      <w:pPr>
        <w:pStyle w:val="Normal"/>
        <w:rPr/>
      </w:pPr>
      <w:r>
        <w:rPr/>
      </w:r>
    </w:p>
    <w:p>
      <w:pPr>
        <w:pStyle w:val="Normal"/>
        <w:rPr/>
      </w:pPr>
      <w:bookmarkStart w:id="17" w:name="SignFax"/>
      <w:bookmarkEnd w:id="17"/>
      <w:r>
        <w:rPr/>
        <w:t xml:space="preserve">Kathryn  </w:t>
      </w:r>
      <w:bookmarkStart w:id="18" w:name="SignFax2"/>
      <w:bookmarkEnd w:id="18"/>
      <w:r>
        <w:rPr/>
        <w:t>Thomas</w:t>
      </w:r>
    </w:p>
    <w:p>
      <w:pPr>
        <w:pStyle w:val="Normal"/>
        <w:rPr/>
      </w:pPr>
      <w:r>
        <w:rPr/>
      </w:r>
    </w:p>
    <w:p>
      <w:pPr>
        <w:pStyle w:val="Normal"/>
        <w:rPr/>
      </w:pPr>
      <w:r>
        <w:rPr/>
      </w:r>
    </w:p>
    <w:p>
      <w:pPr>
        <w:pStyle w:val="Normal"/>
        <w:rPr/>
      </w:pPr>
      <w:r>
        <w:rPr/>
      </w:r>
    </w:p>
    <w:p>
      <w:pPr>
        <w:pStyle w:val="Normal"/>
        <w:rPr/>
      </w:pPr>
      <w:r>
        <w:rPr/>
      </w:r>
    </w:p>
    <w:p>
      <w:pPr>
        <w:pStyle w:val="Footer"/>
        <w:rPr>
          <w:sz w:val="15"/>
        </w:rPr>
      </w:pPr>
      <w:r>
        <w:rPr>
          <w:sz w:val="15"/>
        </w:rPr>
      </w:r>
    </w:p>
    <w:p>
      <w:pPr>
        <w:pStyle w:val="Footer"/>
        <w:rPr>
          <w:sz w:val="15"/>
        </w:rPr>
      </w:pPr>
      <w:r>
        <w:rPr>
          <w:sz w:val="15"/>
        </w:rPr>
      </w:r>
    </w:p>
    <w:p>
      <w:pPr>
        <w:pStyle w:val="Footer"/>
        <w:rPr>
          <w:sz w:val="15"/>
        </w:rPr>
      </w:pPr>
      <w:r>
        <w:rPr>
          <w:sz w:val="15"/>
        </w:rPr>
      </w:r>
    </w:p>
    <w:p>
      <w:pPr>
        <w:pStyle w:val="Footer"/>
        <w:rPr>
          <w:sz w:val="15"/>
        </w:rPr>
      </w:pPr>
      <w:r>
        <w:rPr>
          <w:sz w:val="15"/>
        </w:rPr>
      </w:r>
    </w:p>
    <w:p>
      <w:pPr>
        <w:pStyle w:val="Footer"/>
        <w:rPr>
          <w:rFonts w:ascii="Times New Roman" w:hAnsi="Times New Roman" w:cs="Times New Roman"/>
          <w:sz w:val="15"/>
        </w:rPr>
      </w:pPr>
      <w:r>
        <w:rPr>
          <w:rFonts w:cs="Times New Roman" w:ascii="Times New Roman" w:hAnsi="Times New Roman"/>
          <w:sz w:val="15"/>
        </w:rPr>
        <w:t>The information contained in this facsimile is confidential and may also be privileged.  This facsimile is intended only for the individual named above.  If you are not the intended recipient any review, dissemination or copying of this facsimile is prohibited.  If you have received this facsimile by accident, please notify the sender immediately by telephone so that we can arrange for the return of the original and all copies.</w:t>
      </w:r>
    </w:p>
    <w:p>
      <w:pPr>
        <w:pStyle w:val="Footer"/>
        <w:jc w:val="center"/>
        <w:rPr>
          <w:rFonts w:ascii="Times New Roman" w:hAnsi="Times New Roman" w:cs="Times New Roman"/>
          <w:sz w:val="15"/>
        </w:rPr>
      </w:pPr>
      <w:r>
        <w:rPr>
          <w:rFonts w:cs="Times New Roman" w:ascii="Times New Roman" w:hAnsi="Times New Roman"/>
          <w:sz w:val="15"/>
        </w:rPr>
      </w:r>
    </w:p>
    <w:p>
      <w:pPr>
        <w:pStyle w:val="Footer"/>
        <w:jc w:val="center"/>
        <w:rPr>
          <w:rFonts w:ascii="Times New Roman" w:hAnsi="Times New Roman" w:cs="Times New Roman"/>
        </w:rPr>
      </w:pPr>
      <w:r>
        <w:rPr>
          <w:rFonts w:cs="Times New Roman" w:ascii="Times New Roman" w:hAnsi="Times New Roman"/>
        </w:rPr>
        <w:t>Enron Capital &amp; Trade Resources Limited</w:t>
      </w:r>
    </w:p>
    <w:p>
      <w:pPr>
        <w:pStyle w:val="Footer"/>
        <w:jc w:val="center"/>
        <w:rPr>
          <w:rFonts w:ascii="Times New Roman" w:hAnsi="Times New Roman" w:cs="Times New Roman"/>
        </w:rPr>
      </w:pPr>
      <w:r>
        <w:rPr>
          <w:rFonts w:cs="Times New Roman" w:ascii="Times New Roman" w:hAnsi="Times New Roman"/>
        </w:rPr>
        <w:t>Registered in England, Reg. No. 2415924. Registered Office: 40 Grosvenor Place London SW1X 7EN</w:t>
      </w:r>
      <w:r>
        <w:br w:type="page"/>
      </w:r>
    </w:p>
    <w:p>
      <w:pPr>
        <w:pStyle w:val="Normal"/>
        <w:ind w:hanging="4500" w:start="4500" w:end="0"/>
        <w:jc w:val="both"/>
        <w:rPr>
          <w:b/>
        </w:rPr>
      </w:pPr>
      <w:r>
        <w:rPr>
          <w:b/>
        </w:rPr>
        <w:t>ENRON CAPITAL &amp; TRADE RESOURCES LIMITED CONFIRMATION</w:t>
      </w:r>
    </w:p>
    <w:p>
      <w:pPr>
        <w:pStyle w:val="Normal"/>
        <w:jc w:val="both"/>
        <w:rPr>
          <w:b/>
        </w:rPr>
      </w:pPr>
      <w:r>
        <w:rPr>
          <w:b/>
        </w:rPr>
        <w:t>GENERAL TERMS &amp; CONDITIONS GOVERN</w:t>
      </w:r>
    </w:p>
    <w:p>
      <w:pPr>
        <w:pStyle w:val="Normal"/>
        <w:jc w:val="both"/>
        <w:rPr>
          <w:b/>
        </w:rPr>
      </w:pPr>
      <w:r>
        <w:rPr>
          <w:b/>
        </w:rPr>
      </w:r>
    </w:p>
    <w:p>
      <w:pPr>
        <w:pStyle w:val="Normal"/>
        <w:jc w:val="both"/>
        <w:rPr>
          <w:b/>
        </w:rPr>
      </w:pPr>
      <w:r>
        <w:rPr>
          <w:b/>
        </w:rPr>
      </w:r>
    </w:p>
    <w:p>
      <w:pPr>
        <w:pStyle w:val="Normal"/>
        <w:tabs>
          <w:tab w:val="clear" w:pos="720"/>
          <w:tab w:val="left" w:pos="4395" w:leader="none"/>
        </w:tabs>
        <w:ind w:hanging="4395" w:start="4395" w:end="0"/>
        <w:jc w:val="both"/>
        <w:rPr/>
      </w:pPr>
      <w:r>
        <w:rPr>
          <w:b/>
        </w:rPr>
        <w:t>DATE OF TRANSACTION:</w:t>
      </w:r>
      <w:r>
        <w:rPr/>
        <w:tab/>
      </w:r>
      <w:bookmarkStart w:id="19" w:name="DD"/>
      <w:bookmarkEnd w:id="19"/>
      <w:r>
        <w:rPr/>
        <w:t>26 October 2001</w:t>
      </w:r>
      <w:r>
        <w:rPr>
          <w:b/>
        </w:rPr>
        <w:tab/>
        <w:tab/>
        <w:tab/>
      </w:r>
    </w:p>
    <w:p>
      <w:pPr>
        <w:pStyle w:val="Normal"/>
        <w:tabs>
          <w:tab w:val="clear" w:pos="720"/>
          <w:tab w:val="left" w:pos="4395" w:leader="none"/>
        </w:tabs>
        <w:ind w:hanging="4395" w:start="4395" w:end="0"/>
        <w:jc w:val="both"/>
        <w:rPr>
          <w:b/>
        </w:rPr>
      </w:pPr>
      <w:r>
        <w:rPr>
          <w:b/>
        </w:rPr>
      </w:r>
    </w:p>
    <w:p>
      <w:pPr>
        <w:pStyle w:val="Normal"/>
        <w:tabs>
          <w:tab w:val="clear" w:pos="720"/>
          <w:tab w:val="left" w:pos="4395" w:leader="none"/>
        </w:tabs>
        <w:ind w:hanging="4395" w:start="4395" w:end="0"/>
        <w:jc w:val="both"/>
        <w:rPr>
          <w:b/>
        </w:rPr>
      </w:pPr>
      <w:r>
        <w:rPr>
          <w:b/>
        </w:rPr>
        <w:t>TRANSACTION:</w:t>
      </w:r>
      <w:r>
        <w:rPr/>
        <w:tab/>
      </w:r>
      <w:bookmarkStart w:id="20" w:name="ConfirmNo"/>
      <w:bookmarkEnd w:id="20"/>
      <w:r>
        <w:rPr/>
        <w:t>ENG05794956</w:t>
      </w:r>
    </w:p>
    <w:p>
      <w:pPr>
        <w:pStyle w:val="Normal"/>
        <w:tabs>
          <w:tab w:val="clear" w:pos="720"/>
          <w:tab w:val="left" w:pos="4395" w:leader="none"/>
        </w:tabs>
        <w:ind w:hanging="4395" w:start="4395" w:end="0"/>
        <w:jc w:val="both"/>
        <w:rPr>
          <w:b/>
        </w:rPr>
      </w:pPr>
      <w:r>
        <w:rPr>
          <w:b/>
        </w:rPr>
      </w:r>
    </w:p>
    <w:p>
      <w:pPr>
        <w:pStyle w:val="Normal"/>
        <w:tabs>
          <w:tab w:val="clear" w:pos="720"/>
          <w:tab w:val="left" w:pos="4395" w:leader="none"/>
        </w:tabs>
        <w:ind w:hanging="4395" w:start="4395" w:end="0"/>
        <w:jc w:val="both"/>
        <w:rPr>
          <w:b/>
        </w:rPr>
      </w:pPr>
      <w:r>
        <w:rPr>
          <w:b/>
        </w:rPr>
        <w:t>BUYER:</w:t>
      </w:r>
      <w:r>
        <w:rPr/>
        <w:tab/>
      </w:r>
      <w:bookmarkStart w:id="21" w:name="BU"/>
      <w:bookmarkEnd w:id="21"/>
      <w:r>
        <w:rPr/>
        <w:t>BNP PARIBAS</w:t>
      </w:r>
    </w:p>
    <w:p>
      <w:pPr>
        <w:pStyle w:val="Normal"/>
        <w:tabs>
          <w:tab w:val="clear" w:pos="720"/>
          <w:tab w:val="left" w:pos="4395" w:leader="none"/>
        </w:tabs>
        <w:ind w:hanging="4395" w:start="4395" w:end="0"/>
        <w:jc w:val="both"/>
        <w:rPr>
          <w:b/>
        </w:rPr>
      </w:pPr>
      <w:r>
        <w:rPr>
          <w:b/>
        </w:rPr>
      </w:r>
    </w:p>
    <w:p>
      <w:pPr>
        <w:pStyle w:val="Normal"/>
        <w:tabs>
          <w:tab w:val="clear" w:pos="720"/>
          <w:tab w:val="left" w:pos="4395" w:leader="none"/>
        </w:tabs>
        <w:ind w:hanging="4395" w:start="4395" w:end="0"/>
        <w:jc w:val="both"/>
        <w:rPr>
          <w:b/>
        </w:rPr>
      </w:pPr>
      <w:r>
        <w:rPr>
          <w:b/>
        </w:rPr>
        <w:t>SELLER:</w:t>
      </w:r>
      <w:r>
        <w:rPr/>
        <w:tab/>
      </w:r>
      <w:bookmarkStart w:id="22" w:name="SE"/>
      <w:bookmarkEnd w:id="22"/>
      <w:r>
        <w:rPr/>
        <w:t>ENRON CAPITAL &amp; TRADE RESOURCES LIMITED</w:t>
      </w:r>
    </w:p>
    <w:p>
      <w:pPr>
        <w:pStyle w:val="Normal"/>
        <w:tabs>
          <w:tab w:val="clear" w:pos="720"/>
          <w:tab w:val="left" w:pos="4395" w:leader="none"/>
        </w:tabs>
        <w:ind w:hanging="4395" w:start="4395" w:end="0"/>
        <w:jc w:val="both"/>
        <w:rPr>
          <w:b/>
        </w:rPr>
      </w:pPr>
      <w:r>
        <w:rPr>
          <w:b/>
        </w:rPr>
      </w:r>
    </w:p>
    <w:p>
      <w:pPr>
        <w:pStyle w:val="Normal"/>
        <w:tabs>
          <w:tab w:val="clear" w:pos="720"/>
          <w:tab w:val="left" w:pos="4395" w:leader="none"/>
        </w:tabs>
        <w:ind w:hanging="4395" w:start="4395" w:end="0"/>
        <w:jc w:val="both"/>
        <w:rPr>
          <w:b/>
        </w:rPr>
      </w:pPr>
      <w:r>
        <w:rPr>
          <w:b/>
        </w:rPr>
        <w:t>DESIGNATED QUANTITY:</w:t>
        <w:tab/>
        <w:tab/>
      </w:r>
    </w:p>
    <w:p>
      <w:pPr>
        <w:pStyle w:val="Normal"/>
        <w:tabs>
          <w:tab w:val="clear" w:pos="720"/>
          <w:tab w:val="left" w:pos="4395" w:leader="none"/>
        </w:tabs>
        <w:ind w:hanging="4395" w:start="4395" w:end="0"/>
        <w:jc w:val="both"/>
        <w:rPr>
          <w:b/>
        </w:rPr>
      </w:pPr>
      <w:r>
        <w:rPr>
          <w:b/>
        </w:rPr>
      </w:r>
    </w:p>
    <w:p>
      <w:pPr>
        <w:pStyle w:val="Normal"/>
        <w:tabs>
          <w:tab w:val="clear" w:pos="720"/>
          <w:tab w:val="left" w:pos="4395" w:leader="none"/>
        </w:tabs>
        <w:ind w:hanging="3828" w:start="4395" w:end="0"/>
        <w:jc w:val="both"/>
        <w:rPr/>
      </w:pPr>
      <w:r>
        <w:rPr>
          <w:b/>
        </w:rPr>
        <w:t>MINIMUM DAILY QUANTITY :</w:t>
      </w:r>
      <w:r>
        <w:rPr/>
        <w:tab/>
      </w:r>
      <w:bookmarkStart w:id="23" w:name="MinDQty"/>
      <w:bookmarkEnd w:id="23"/>
      <w:r>
        <w:rPr/>
        <w:t xml:space="preserve">50,000.00  </w:t>
      </w:r>
      <w:bookmarkStart w:id="24" w:name="Units1"/>
      <w:bookmarkEnd w:id="24"/>
      <w:r>
        <w:rPr/>
        <w:t>th</w:t>
      </w:r>
    </w:p>
    <w:p>
      <w:pPr>
        <w:pStyle w:val="Normal"/>
        <w:tabs>
          <w:tab w:val="clear" w:pos="720"/>
          <w:tab w:val="left" w:pos="4395" w:leader="none"/>
        </w:tabs>
        <w:ind w:hanging="3828" w:start="4395" w:end="0"/>
        <w:jc w:val="both"/>
        <w:rPr>
          <w:rFonts w:eastAsia="Arial"/>
          <w:b/>
        </w:rPr>
      </w:pPr>
      <w:r>
        <w:rPr>
          <w:rFonts w:eastAsia="Arial"/>
          <w:b/>
        </w:rPr>
        <w:t xml:space="preserve"> </w:t>
      </w:r>
    </w:p>
    <w:p>
      <w:pPr>
        <w:pStyle w:val="Normal"/>
        <w:tabs>
          <w:tab w:val="clear" w:pos="720"/>
          <w:tab w:val="left" w:pos="4395" w:leader="none"/>
        </w:tabs>
        <w:ind w:hanging="3828" w:start="4395" w:end="0"/>
        <w:jc w:val="both"/>
        <w:rPr/>
      </w:pPr>
      <w:r>
        <w:rPr>
          <w:b/>
        </w:rPr>
        <w:t>MAXIMUM DAILY QUANTITY:</w:t>
      </w:r>
      <w:r>
        <w:rPr/>
        <w:tab/>
      </w:r>
      <w:bookmarkStart w:id="25" w:name="MaxDQty"/>
      <w:bookmarkEnd w:id="25"/>
      <w:r>
        <w:rPr/>
        <w:t xml:space="preserve">50,000.00  </w:t>
      </w:r>
      <w:bookmarkStart w:id="26" w:name="Units2"/>
      <w:bookmarkEnd w:id="26"/>
      <w:r>
        <w:rPr/>
        <w:t>th</w:t>
      </w:r>
    </w:p>
    <w:p>
      <w:pPr>
        <w:pStyle w:val="Normal"/>
        <w:tabs>
          <w:tab w:val="clear" w:pos="720"/>
          <w:tab w:val="left" w:pos="4395" w:leader="none"/>
        </w:tabs>
        <w:ind w:hanging="3828" w:start="4395" w:end="0"/>
        <w:jc w:val="both"/>
        <w:rPr>
          <w:b/>
        </w:rPr>
      </w:pPr>
      <w:r>
        <w:rPr>
          <w:b/>
        </w:rPr>
      </w:r>
    </w:p>
    <w:p>
      <w:pPr>
        <w:pStyle w:val="Normal"/>
        <w:tabs>
          <w:tab w:val="clear" w:pos="720"/>
          <w:tab w:val="left" w:pos="4395" w:leader="none"/>
        </w:tabs>
        <w:ind w:hanging="3828" w:start="4395" w:end="0"/>
        <w:jc w:val="both"/>
        <w:rPr/>
      </w:pPr>
      <w:r>
        <w:rPr>
          <w:b/>
        </w:rPr>
        <w:t>MINIMUM CONTRACT QUANTITY:</w:t>
      </w:r>
      <w:r>
        <w:rPr/>
        <w:tab/>
      </w:r>
      <w:bookmarkStart w:id="27" w:name="MinCQty"/>
      <w:bookmarkEnd w:id="27"/>
      <w:r>
        <w:rPr/>
        <w:t xml:space="preserve">100,000.00  </w:t>
      </w:r>
      <w:bookmarkStart w:id="28" w:name="Units3"/>
      <w:bookmarkEnd w:id="28"/>
      <w:r>
        <w:rPr/>
        <w:t>th</w:t>
      </w:r>
    </w:p>
    <w:p>
      <w:pPr>
        <w:pStyle w:val="Normal"/>
        <w:tabs>
          <w:tab w:val="clear" w:pos="720"/>
          <w:tab w:val="left" w:pos="4395" w:leader="none"/>
        </w:tabs>
        <w:ind w:hanging="3828" w:start="4395" w:end="0"/>
        <w:jc w:val="both"/>
        <w:rPr>
          <w:b/>
        </w:rPr>
      </w:pPr>
      <w:r>
        <w:rPr>
          <w:b/>
        </w:rPr>
      </w:r>
    </w:p>
    <w:p>
      <w:pPr>
        <w:pStyle w:val="Normal"/>
        <w:tabs>
          <w:tab w:val="clear" w:pos="720"/>
          <w:tab w:val="left" w:pos="4395" w:leader="none"/>
        </w:tabs>
        <w:ind w:hanging="3828" w:start="4395" w:end="0"/>
        <w:jc w:val="both"/>
        <w:rPr>
          <w:b/>
        </w:rPr>
      </w:pPr>
      <w:r>
        <w:rPr>
          <w:b/>
        </w:rPr>
        <w:t>MAXIMUM CONTRACT QUANTITY:</w:t>
      </w:r>
      <w:r>
        <w:rPr/>
        <w:tab/>
      </w:r>
      <w:bookmarkStart w:id="29" w:name="MaxCQty"/>
      <w:bookmarkEnd w:id="29"/>
      <w:r>
        <w:rPr/>
        <w:t xml:space="preserve">100,000.00  </w:t>
      </w:r>
      <w:bookmarkStart w:id="30" w:name="Units4"/>
      <w:bookmarkEnd w:id="30"/>
      <w:r>
        <w:rPr/>
        <w:t>th</w:t>
      </w:r>
    </w:p>
    <w:p>
      <w:pPr>
        <w:pStyle w:val="Normal"/>
        <w:tabs>
          <w:tab w:val="clear" w:pos="720"/>
          <w:tab w:val="left" w:pos="4395" w:leader="none"/>
        </w:tabs>
        <w:ind w:hanging="4395" w:start="4395" w:end="0"/>
        <w:jc w:val="both"/>
        <w:rPr>
          <w:b/>
        </w:rPr>
      </w:pPr>
      <w:r>
        <w:rPr>
          <w:b/>
        </w:rPr>
      </w:r>
    </w:p>
    <w:p>
      <w:pPr>
        <w:pStyle w:val="Normal"/>
        <w:tabs>
          <w:tab w:val="clear" w:pos="720"/>
          <w:tab w:val="left" w:pos="4395" w:leader="none"/>
        </w:tabs>
        <w:ind w:hanging="4395" w:start="4395" w:end="0"/>
        <w:jc w:val="both"/>
        <w:rPr>
          <w:b/>
        </w:rPr>
      </w:pPr>
      <w:r>
        <w:rPr>
          <w:b/>
        </w:rPr>
        <w:t>DELIVERY POINT(S):</w:t>
      </w:r>
      <w:r>
        <w:rPr/>
        <w:tab/>
      </w:r>
      <w:bookmarkStart w:id="31" w:name="DeliveryPoint"/>
      <w:bookmarkEnd w:id="31"/>
      <w:r>
        <w:rPr/>
        <w:t>NBP</w:t>
      </w:r>
    </w:p>
    <w:p>
      <w:pPr>
        <w:pStyle w:val="Normal"/>
        <w:tabs>
          <w:tab w:val="clear" w:pos="720"/>
          <w:tab w:val="left" w:pos="4395" w:leader="none"/>
        </w:tabs>
        <w:jc w:val="both"/>
        <w:rPr>
          <w:b/>
        </w:rPr>
      </w:pPr>
      <w:r>
        <w:rPr>
          <w:b/>
        </w:rPr>
      </w:r>
    </w:p>
    <w:p>
      <w:pPr>
        <w:pStyle w:val="Normal"/>
        <w:tabs>
          <w:tab w:val="clear" w:pos="720"/>
          <w:tab w:val="left" w:pos="4395" w:leader="none"/>
        </w:tabs>
        <w:ind w:hanging="4395" w:start="4395" w:end="0"/>
        <w:jc w:val="both"/>
        <w:rPr/>
      </w:pPr>
      <w:r>
        <w:rPr>
          <w:b/>
        </w:rPr>
        <w:t>SUPPLY PERIOD:</w:t>
      </w:r>
      <w:r>
        <w:rPr/>
        <w:tab/>
      </w:r>
      <w:bookmarkStart w:id="32" w:name="SP"/>
      <w:bookmarkEnd w:id="32"/>
      <w:r>
        <w:rPr/>
        <w:t>0600 hours 01 Nov 2001 to 0600 hours 03 Nov 2001</w:t>
      </w:r>
      <w:r>
        <w:rPr>
          <w:b/>
        </w:rPr>
        <w:tab/>
        <w:tab/>
        <w:tab/>
        <w:tab/>
        <w:tab/>
      </w:r>
    </w:p>
    <w:p>
      <w:pPr>
        <w:pStyle w:val="Normal"/>
        <w:tabs>
          <w:tab w:val="clear" w:pos="720"/>
          <w:tab w:val="left" w:pos="4395" w:leader="none"/>
        </w:tabs>
        <w:ind w:hanging="4395" w:start="4395" w:end="0"/>
        <w:jc w:val="both"/>
        <w:rPr>
          <w:b/>
        </w:rPr>
      </w:pPr>
      <w:r>
        <w:rPr>
          <w:b/>
        </w:rPr>
        <w:tab/>
        <w:tab/>
        <w:tab/>
        <w:tab/>
        <w:tab/>
        <w:tab/>
      </w:r>
    </w:p>
    <w:p>
      <w:pPr>
        <w:pStyle w:val="Normal"/>
        <w:tabs>
          <w:tab w:val="clear" w:pos="720"/>
          <w:tab w:val="left" w:pos="4395" w:leader="none"/>
        </w:tabs>
        <w:ind w:hanging="4395" w:start="4395" w:end="0"/>
        <w:jc w:val="both"/>
        <w:rPr/>
      </w:pPr>
      <w:r>
        <w:rPr>
          <w:b/>
        </w:rPr>
        <w:t xml:space="preserve">CONTRACT PRICE: </w:t>
      </w:r>
      <w:r>
        <w:rPr/>
        <w:tab/>
      </w:r>
      <w:bookmarkStart w:id="33" w:name="CPrice3"/>
      <w:bookmarkEnd w:id="33"/>
      <w:r>
        <w:rPr/>
        <w:t xml:space="preserve">17.2500  </w:t>
      </w:r>
      <w:bookmarkStart w:id="34" w:name="PriceUnits"/>
      <w:bookmarkEnd w:id="34"/>
      <w:r>
        <w:rPr/>
        <w:t>Pence per Therm</w:t>
      </w:r>
    </w:p>
    <w:p>
      <w:pPr>
        <w:pStyle w:val="Normal"/>
        <w:tabs>
          <w:tab w:val="clear" w:pos="720"/>
          <w:tab w:val="left" w:pos="4395" w:leader="none"/>
        </w:tabs>
        <w:ind w:hanging="4395" w:start="4395" w:end="0"/>
        <w:jc w:val="both"/>
        <w:rPr>
          <w:b/>
        </w:rPr>
      </w:pPr>
      <w:r>
        <w:rPr>
          <w:b/>
        </w:rPr>
      </w:r>
    </w:p>
    <w:p>
      <w:pPr>
        <w:pStyle w:val="Normal"/>
        <w:spacing w:lineRule="atLeast" w:line="240"/>
        <w:ind w:hanging="4320" w:start="4320" w:end="0"/>
        <w:jc w:val="both"/>
        <w:rPr/>
      </w:pPr>
      <w:r>
        <w:rPr>
          <w:b/>
        </w:rPr>
        <w:t>SPECIAL CONDITIONS:</w:t>
      </w:r>
      <w:r>
        <w:rPr/>
        <w:tab/>
      </w:r>
      <w:bookmarkStart w:id="35" w:name="SC"/>
      <w:bookmarkEnd w:id="35"/>
      <w:r>
        <w:rPr/>
        <w:t xml:space="preserve"> The parties to each Transaction do not intend that any term herein should be enforceable, by virtue of the Contracts (Rights of Third Parties) Act 1999, by any person who is not a party to such Transaction.</w:t>
      </w:r>
    </w:p>
    <w:p>
      <w:pPr>
        <w:pStyle w:val="Normal"/>
        <w:tabs>
          <w:tab w:val="clear" w:pos="720"/>
          <w:tab w:val="left" w:pos="4395" w:leader="none"/>
        </w:tabs>
        <w:ind w:hanging="4395" w:start="4395" w:end="0"/>
        <w:jc w:val="both"/>
        <w:rPr>
          <w:b/>
        </w:rPr>
      </w:pPr>
      <w:r>
        <w:rPr>
          <w:b/>
        </w:rPr>
        <w:tab/>
        <w:tab/>
        <w:tab/>
        <w:tab/>
        <w:tab/>
      </w:r>
    </w:p>
    <w:p>
      <w:pPr>
        <w:pStyle w:val="Normal"/>
        <w:tabs>
          <w:tab w:val="clear" w:pos="720"/>
          <w:tab w:val="left" w:pos="4395" w:leader="none"/>
        </w:tabs>
        <w:ind w:hanging="4395" w:start="4395" w:end="0"/>
        <w:jc w:val="both"/>
        <w:rPr>
          <w:b/>
        </w:rPr>
      </w:pPr>
      <w:r>
        <w:rPr>
          <w:b/>
        </w:rPr>
      </w:r>
    </w:p>
    <w:p>
      <w:pPr>
        <w:pStyle w:val="Normal"/>
        <w:jc w:val="both"/>
        <w:rPr>
          <w:rFonts w:ascii="Times New Roman" w:hAnsi="Times New Roman" w:cs="Times New Roman"/>
          <w:b/>
        </w:rPr>
      </w:pPr>
      <w:r>
        <w:rPr>
          <w:rFonts w:cs="Times New Roman" w:ascii="Times New Roman" w:hAnsi="Times New Roman"/>
          <w:b/>
        </w:rPr>
        <w:t>NOTICES TO COMPANY:</w:t>
      </w:r>
    </w:p>
    <w:p>
      <w:pPr>
        <w:pStyle w:val="Normal"/>
        <w:jc w:val="both"/>
        <w:rPr>
          <w:rFonts w:ascii="Times New Roman" w:hAnsi="Times New Roman" w:cs="Times New Roman"/>
          <w:b/>
        </w:rPr>
      </w:pPr>
      <w:r>
        <w:rPr>
          <w:rFonts w:cs="Times New Roman" w:ascii="Times New Roman" w:hAnsi="Times New Roman"/>
          <w:b/>
        </w:rPr>
        <w:tab/>
        <w:t>Company Secretary</w:t>
      </w:r>
    </w:p>
    <w:p>
      <w:pPr>
        <w:pStyle w:val="Normal"/>
        <w:jc w:val="both"/>
        <w:rPr>
          <w:rFonts w:ascii="Times New Roman" w:hAnsi="Times New Roman" w:cs="Times New Roman"/>
          <w:b/>
        </w:rPr>
      </w:pPr>
      <w:r>
        <w:rPr>
          <w:rFonts w:cs="Times New Roman" w:ascii="Times New Roman" w:hAnsi="Times New Roman"/>
          <w:b/>
        </w:rPr>
        <w:tab/>
        <w:t>Enron Capital &amp; Trade Resources Limited</w:t>
      </w:r>
    </w:p>
    <w:p>
      <w:pPr>
        <w:pStyle w:val="Normal"/>
        <w:jc w:val="both"/>
        <w:rPr>
          <w:rFonts w:ascii="Times New Roman" w:hAnsi="Times New Roman" w:cs="Times New Roman"/>
          <w:b/>
        </w:rPr>
      </w:pPr>
      <w:r>
        <w:rPr>
          <w:rFonts w:cs="Times New Roman" w:ascii="Times New Roman" w:hAnsi="Times New Roman"/>
          <w:b/>
        </w:rPr>
        <w:tab/>
        <w:t>40 Grosvenor Place</w:t>
      </w:r>
    </w:p>
    <w:p>
      <w:pPr>
        <w:pStyle w:val="Normal"/>
        <w:jc w:val="both"/>
        <w:rPr>
          <w:rFonts w:ascii="Times New Roman" w:hAnsi="Times New Roman" w:cs="Times New Roman"/>
          <w:b/>
        </w:rPr>
      </w:pPr>
      <w:r>
        <w:rPr>
          <w:rFonts w:cs="Times New Roman" w:ascii="Times New Roman" w:hAnsi="Times New Roman"/>
          <w:b/>
        </w:rPr>
        <w:tab/>
        <w:t>London  SW1X 7EN</w:t>
      </w:r>
    </w:p>
    <w:p>
      <w:pPr>
        <w:pStyle w:val="Normal"/>
        <w:keepNext w:val="true"/>
        <w:jc w:val="both"/>
        <w:rPr>
          <w:rFonts w:ascii="Times New Roman" w:hAnsi="Times New Roman" w:cs="Times New Roman"/>
          <w:b/>
        </w:rPr>
      </w:pPr>
      <w:r>
        <w:rPr>
          <w:rFonts w:cs="Times New Roman" w:ascii="Times New Roman" w:hAnsi="Times New Roman"/>
          <w:b/>
        </w:rPr>
        <w:tab/>
        <w:t>Fax: 020 7783 8914</w:t>
      </w:r>
    </w:p>
    <w:p>
      <w:pPr>
        <w:pStyle w:val="Normal"/>
        <w:keepNext w:val="true"/>
        <w:jc w:val="both"/>
        <w:rPr>
          <w:b/>
        </w:rPr>
      </w:pPr>
      <w:r>
        <w:rPr>
          <w:b/>
        </w:rPr>
        <w:tab/>
      </w:r>
    </w:p>
    <w:p>
      <w:pPr>
        <w:pStyle w:val="Normal"/>
        <w:jc w:val="both"/>
        <w:rPr>
          <w:rFonts w:ascii="Times New Roman" w:hAnsi="Times New Roman" w:cs="Times New Roman"/>
          <w:b/>
        </w:rPr>
      </w:pPr>
      <w:r>
        <w:rPr>
          <w:rFonts w:cs="Times New Roman" w:ascii="Times New Roman" w:hAnsi="Times New Roman"/>
          <w:b/>
        </w:rPr>
        <w:t>BILLING, INVOICES AND ACCOUNTING MATTERS TO COMPANY:</w:t>
      </w:r>
    </w:p>
    <w:p>
      <w:pPr>
        <w:pStyle w:val="Normal"/>
        <w:jc w:val="both"/>
        <w:rPr>
          <w:rFonts w:ascii="Times New Roman" w:hAnsi="Times New Roman" w:cs="Times New Roman"/>
          <w:b/>
        </w:rPr>
      </w:pPr>
      <w:r>
        <w:rPr>
          <w:rFonts w:cs="Times New Roman" w:ascii="Times New Roman" w:hAnsi="Times New Roman"/>
          <w:b/>
        </w:rPr>
        <w:tab/>
        <w:t>Gas Settlements</w:t>
      </w:r>
    </w:p>
    <w:p>
      <w:pPr>
        <w:pStyle w:val="Normal"/>
        <w:jc w:val="both"/>
        <w:rPr>
          <w:rFonts w:ascii="Times New Roman" w:hAnsi="Times New Roman" w:cs="Times New Roman"/>
          <w:b/>
        </w:rPr>
      </w:pPr>
      <w:r>
        <w:rPr>
          <w:rFonts w:cs="Times New Roman" w:ascii="Times New Roman" w:hAnsi="Times New Roman"/>
          <w:b/>
        </w:rPr>
        <w:tab/>
        <w:t>Address as above</w:t>
      </w:r>
    </w:p>
    <w:p>
      <w:pPr>
        <w:pStyle w:val="Normal"/>
        <w:keepNext w:val="true"/>
        <w:jc w:val="both"/>
        <w:rPr>
          <w:b/>
        </w:rPr>
      </w:pPr>
      <w:r>
        <w:rPr>
          <w:rFonts w:cs="Times New Roman" w:ascii="Times New Roman" w:hAnsi="Times New Roman"/>
          <w:b/>
        </w:rPr>
        <w:tab/>
        <w:t>Fax: 020 7783 8330</w:t>
      </w:r>
    </w:p>
    <w:p>
      <w:pPr>
        <w:pStyle w:val="Normal"/>
        <w:jc w:val="both"/>
        <w:rPr>
          <w:b/>
        </w:rPr>
      </w:pPr>
      <w:r>
        <w:rPr>
          <w:b/>
        </w:rPr>
      </w:r>
    </w:p>
    <w:p>
      <w:pPr>
        <w:pStyle w:val="Normal"/>
        <w:jc w:val="both"/>
        <w:rPr>
          <w:rFonts w:ascii="Times New Roman" w:hAnsi="Times New Roman" w:cs="Times New Roman"/>
          <w:b/>
        </w:rPr>
      </w:pPr>
      <w:r>
        <w:rPr>
          <w:rFonts w:cs="Times New Roman" w:ascii="Times New Roman" w:hAnsi="Times New Roman"/>
          <w:b/>
        </w:rPr>
        <w:t>NOMINATIONS TO COMPANY:</w:t>
      </w:r>
    </w:p>
    <w:p>
      <w:pPr>
        <w:pStyle w:val="Normal"/>
        <w:jc w:val="both"/>
        <w:rPr>
          <w:rFonts w:ascii="Times New Roman" w:hAnsi="Times New Roman" w:cs="Times New Roman"/>
          <w:b/>
        </w:rPr>
      </w:pPr>
      <w:r>
        <w:rPr>
          <w:rFonts w:cs="Times New Roman" w:ascii="Times New Roman" w:hAnsi="Times New Roman"/>
          <w:b/>
        </w:rPr>
        <w:tab/>
        <w:t>Gas Logistics</w:t>
      </w:r>
    </w:p>
    <w:p>
      <w:pPr>
        <w:pStyle w:val="Normal"/>
        <w:jc w:val="both"/>
        <w:rPr>
          <w:rFonts w:ascii="Times New Roman" w:hAnsi="Times New Roman" w:cs="Times New Roman"/>
          <w:b/>
        </w:rPr>
      </w:pPr>
      <w:r>
        <w:rPr>
          <w:rFonts w:cs="Times New Roman" w:ascii="Times New Roman" w:hAnsi="Times New Roman"/>
          <w:b/>
        </w:rPr>
        <w:tab/>
        <w:t>Address as above</w:t>
      </w:r>
    </w:p>
    <w:p>
      <w:pPr>
        <w:pStyle w:val="Normal"/>
        <w:jc w:val="both"/>
        <w:rPr>
          <w:rFonts w:ascii="Times New Roman" w:hAnsi="Times New Roman" w:cs="Times New Roman"/>
          <w:b/>
        </w:rPr>
      </w:pPr>
      <w:r>
        <w:rPr>
          <w:rFonts w:cs="Times New Roman" w:ascii="Times New Roman" w:hAnsi="Times New Roman"/>
          <w:b/>
        </w:rPr>
        <w:tab/>
        <w:t>Fax: 0845 303 6661</w:t>
      </w:r>
    </w:p>
    <w:p>
      <w:pPr>
        <w:pStyle w:val="Normal"/>
        <w:jc w:val="both"/>
        <w:rPr>
          <w:rFonts w:ascii="Times New Roman" w:hAnsi="Times New Roman" w:cs="Times New Roman"/>
          <w:b/>
        </w:rPr>
      </w:pPr>
      <w:r>
        <w:rPr>
          <w:rFonts w:cs="Times New Roman" w:ascii="Times New Roman" w:hAnsi="Times New Roman"/>
          <w:b/>
        </w:rPr>
        <w:tab/>
        <w:t>Or: 0845 6000 792</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b/>
        </w:rPr>
        <w:t>CONFIRMATIONS TO COMPANY:</w:t>
      </w:r>
    </w:p>
    <w:p>
      <w:pPr>
        <w:pStyle w:val="Normal"/>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Gas Documentation</w:t>
      </w:r>
    </w:p>
    <w:p>
      <w:pPr>
        <w:pStyle w:val="Normal"/>
        <w:jc w:val="both"/>
        <w:rPr/>
      </w:pPr>
      <w:r>
        <w:rPr>
          <w:rFonts w:cs="Times New Roman" w:ascii="Times New Roman" w:hAnsi="Times New Roman"/>
        </w:rPr>
        <w:tab/>
      </w:r>
      <w:r>
        <w:rPr>
          <w:rFonts w:cs="Times New Roman" w:ascii="Times New Roman" w:hAnsi="Times New Roman"/>
          <w:b/>
        </w:rPr>
        <w:t>Address as above</w:t>
      </w:r>
    </w:p>
    <w:p>
      <w:pPr>
        <w:pStyle w:val="Normal"/>
        <w:keepNext w:val="true"/>
        <w:jc w:val="both"/>
        <w:rPr>
          <w:b/>
        </w:rPr>
      </w:pPr>
      <w:r>
        <w:rPr>
          <w:rFonts w:cs="Times New Roman" w:ascii="Times New Roman" w:hAnsi="Times New Roman"/>
          <w:b/>
        </w:rPr>
        <w:tab/>
        <w:t>Fax: 020 7783 8915</w:t>
      </w:r>
    </w:p>
    <w:p>
      <w:pPr>
        <w:pStyle w:val="Normal"/>
        <w:jc w:val="both"/>
        <w:rPr>
          <w:b/>
          <w:color w:val="FFFFFF"/>
        </w:rPr>
      </w:pPr>
      <w:r>
        <w:rPr>
          <w:b/>
          <w:color w:val="FFFFFF"/>
        </w:rPr>
      </w:r>
    </w:p>
    <w:p>
      <w:pPr>
        <w:pStyle w:val="Normal"/>
        <w:jc w:val="both"/>
        <w:rPr>
          <w:b/>
          <w:color w:val="FFFFFF"/>
        </w:rPr>
      </w:pPr>
      <w:r>
        <w:rPr>
          <w:b/>
          <w:color w:val="FFFFFF"/>
        </w:rPr>
      </w:r>
    </w:p>
    <w:p>
      <w:pPr>
        <w:pStyle w:val="Normal"/>
        <w:jc w:val="both"/>
        <w:rPr>
          <w:b/>
          <w:color w:val="FFFFFF"/>
        </w:rPr>
      </w:pPr>
      <w:r>
        <w:rPr>
          <w:b/>
          <w:color w:val="FFFFFF"/>
        </w:rPr>
      </w:r>
    </w:p>
    <w:p>
      <w:pPr>
        <w:pStyle w:val="Normal"/>
        <w:jc w:val="both"/>
        <w:rPr>
          <w:color w:val="FFFFFF"/>
        </w:rPr>
      </w:pPr>
      <w:r>
        <w:rPr>
          <w:color w:val="FFFFFF"/>
        </w:rPr>
      </w:r>
    </w:p>
    <w:p>
      <w:pPr>
        <w:pStyle w:val="Normal"/>
        <w:jc w:val="both"/>
        <w:rPr/>
      </w:pPr>
      <w:r>
        <w:rPr/>
        <w:t>This Confirmation is being provided pursuant to and in accordance with Enron Capital &amp; Trade Resources Limited GENERAL TERMS &amp; CONDITIONS (the “GTC”) and constitutes part of and is subject to all of the provisions of the GTC.</w:t>
      </w:r>
    </w:p>
    <w:p>
      <w:pPr>
        <w:pStyle w:val="Normal"/>
        <w:jc w:val="both"/>
        <w:rPr/>
      </w:pPr>
      <w:r>
        <w:rPr/>
      </w:r>
    </w:p>
    <w:p>
      <w:pPr>
        <w:pStyle w:val="Normal"/>
        <w:jc w:val="both"/>
        <w:rPr/>
      </w:pPr>
      <w:r>
        <w:rPr/>
      </w:r>
    </w:p>
    <w:p>
      <w:pPr>
        <w:pStyle w:val="Normal"/>
        <w:ind w:hanging="720" w:start="720" w:end="0"/>
        <w:rPr/>
      </w:pPr>
      <w:bookmarkStart w:id="36" w:name="NBP"/>
      <w:bookmarkEnd w:id="36"/>
      <w:r>
        <w:rPr/>
        <w:t>1.</w:t>
        <w:tab/>
      </w:r>
      <w:r>
        <w:rPr>
          <w:b/>
        </w:rPr>
        <w:t>Deliveries at the National Balancing Point</w:t>
      </w:r>
    </w:p>
    <w:p>
      <w:pPr>
        <w:pStyle w:val="Normal"/>
        <w:ind w:hanging="720" w:start="720" w:end="0"/>
        <w:rPr/>
      </w:pPr>
      <w:r>
        <w:rPr/>
      </w:r>
    </w:p>
    <w:p>
      <w:pPr>
        <w:pStyle w:val="Normal"/>
        <w:tabs>
          <w:tab w:val="left" w:pos="720" w:leader="none"/>
        </w:tabs>
        <w:ind w:hanging="1260" w:start="1260" w:end="0"/>
        <w:rPr/>
      </w:pPr>
      <w:r>
        <w:rPr/>
        <w:tab/>
        <w:t>(a)</w:t>
        <w:tab/>
        <w:t>All capitalised terms in this Special Condition not otherwise defined in the GTC shall have the respective meaning as specified in the Network Code (meaning the Network Code prepared by British Gas Plc (“Transporter”) pursuant to its public gas transporter’s licence and relating to its principal pipeline system, which at the date of this Confirmation comprises the Network Code Principal Document dated 1st March 1996 and The Network Code Transition Document dated 1st March 1996 as each may be modified from time to time).</w:t>
      </w:r>
    </w:p>
    <w:p>
      <w:pPr>
        <w:pStyle w:val="Normal"/>
        <w:tabs>
          <w:tab w:val="left" w:pos="720" w:leader="none"/>
        </w:tabs>
        <w:ind w:hanging="1260" w:start="1260" w:end="0"/>
        <w:rPr/>
      </w:pPr>
      <w:r>
        <w:rPr/>
      </w:r>
    </w:p>
    <w:p>
      <w:pPr>
        <w:pStyle w:val="Normal"/>
        <w:tabs>
          <w:tab w:val="left" w:pos="720" w:leader="none"/>
        </w:tabs>
        <w:ind w:hanging="1260" w:start="1260" w:end="0"/>
        <w:rPr/>
      </w:pPr>
      <w:r>
        <w:rPr/>
        <w:tab/>
        <w:t>(b)</w:t>
        <w:tab/>
        <w:t>A quantity of Natural Gas shall have been delivered by Seller to Buyer in respect of a Day where buyer and Seller have made corresponding Trade Nominations for that quantity which have been accepted on that Day by the Transporter as creating enforceable corresponding obligations and references in the GTC to “delivery” shall be construed accordingly.</w:t>
      </w:r>
    </w:p>
    <w:p>
      <w:pPr>
        <w:pStyle w:val="Normal"/>
        <w:tabs>
          <w:tab w:val="left" w:pos="720" w:leader="none"/>
        </w:tabs>
        <w:ind w:hanging="1260" w:start="1260" w:end="0"/>
        <w:rPr/>
      </w:pPr>
      <w:r>
        <w:rPr/>
      </w:r>
    </w:p>
    <w:p>
      <w:pPr>
        <w:pStyle w:val="Normal"/>
        <w:tabs>
          <w:tab w:val="left" w:pos="720" w:leader="none"/>
        </w:tabs>
        <w:ind w:hanging="1260" w:start="1260" w:end="0"/>
        <w:rPr/>
      </w:pPr>
      <w:r>
        <w:rPr/>
        <w:t>2.</w:t>
        <w:tab/>
      </w:r>
      <w:r>
        <w:rPr>
          <w:b/>
        </w:rPr>
        <w:t>NBP Nominations</w:t>
      </w:r>
    </w:p>
    <w:p>
      <w:pPr>
        <w:pStyle w:val="Normal"/>
        <w:tabs>
          <w:tab w:val="left" w:pos="720" w:leader="none"/>
        </w:tabs>
        <w:ind w:hanging="1260" w:start="1260" w:end="0"/>
        <w:rPr/>
      </w:pPr>
      <w:r>
        <w:rPr/>
      </w:r>
    </w:p>
    <w:p>
      <w:pPr>
        <w:pStyle w:val="Normal"/>
        <w:ind w:hanging="720" w:start="720" w:end="0"/>
        <w:rPr/>
      </w:pPr>
      <w:r>
        <w:rPr/>
        <w:t>2.1</w:t>
        <w:tab/>
      </w:r>
      <w:r>
        <w:rPr>
          <w:b/>
        </w:rPr>
        <w:t>Trade Days:</w:t>
      </w:r>
      <w:r>
        <w:rPr/>
        <w:t xml:space="preserve">  In this Special Condition 2 every Day for which the Buyer has nominated any quantity of Natural Gas for which the Delivery Point is the NBP is described as a </w:t>
      </w:r>
      <w:r>
        <w:rPr>
          <w:u w:val="single"/>
        </w:rPr>
        <w:t>“Trade Day”</w:t>
      </w:r>
      <w:r>
        <w:rPr/>
        <w:t xml:space="preserve"> and the Day immediately preceding a Trade Day shall, in relation to it, be described as the “</w:t>
      </w:r>
      <w:r>
        <w:rPr>
          <w:u w:val="single"/>
        </w:rPr>
        <w:t>Preceding Day</w:t>
      </w:r>
      <w:r>
        <w:rPr/>
        <w:t>”.</w:t>
      </w:r>
    </w:p>
    <w:p>
      <w:pPr>
        <w:pStyle w:val="Normal"/>
        <w:ind w:hanging="720" w:start="720" w:end="0"/>
        <w:rPr/>
      </w:pPr>
      <w:r>
        <w:rPr/>
      </w:r>
    </w:p>
    <w:p>
      <w:pPr>
        <w:pStyle w:val="Normal"/>
        <w:ind w:hanging="720" w:start="720" w:end="0"/>
        <w:rPr/>
      </w:pPr>
      <w:r>
        <w:rPr/>
        <w:t>2.2</w:t>
        <w:tab/>
      </w:r>
      <w:r>
        <w:rPr>
          <w:b/>
        </w:rPr>
        <w:t>Trade Nominations:</w:t>
      </w:r>
      <w:r>
        <w:rPr/>
        <w:t xml:space="preserve"> In respect of each Trade Day:-</w:t>
      </w:r>
    </w:p>
    <w:p>
      <w:pPr>
        <w:pStyle w:val="Normal"/>
        <w:ind w:hanging="720" w:start="720" w:end="0"/>
        <w:rPr/>
      </w:pPr>
      <w:r>
        <w:rPr/>
      </w:r>
    </w:p>
    <w:p>
      <w:pPr>
        <w:pStyle w:val="Normal"/>
        <w:tabs>
          <w:tab w:val="left" w:pos="720" w:leader="none"/>
        </w:tabs>
        <w:ind w:hanging="1440" w:start="1440" w:end="0"/>
        <w:rPr/>
      </w:pPr>
      <w:r>
        <w:rPr/>
        <w:tab/>
        <w:t>(a)</w:t>
        <w:tab/>
        <w:t>the Seller shall, by 1200 hours on the Preceding Day make a Disposing Trade Nomination specifying the Buyer as the User making the corresponding Trade Nomination; and</w:t>
      </w:r>
    </w:p>
    <w:p>
      <w:pPr>
        <w:pStyle w:val="Normal"/>
        <w:tabs>
          <w:tab w:val="left" w:pos="720" w:leader="none"/>
        </w:tabs>
        <w:ind w:hanging="1440" w:start="1440" w:end="0"/>
        <w:rPr/>
      </w:pPr>
      <w:r>
        <w:rPr/>
      </w:r>
    </w:p>
    <w:p>
      <w:pPr>
        <w:pStyle w:val="Normal"/>
        <w:tabs>
          <w:tab w:val="left" w:pos="720" w:leader="none"/>
        </w:tabs>
        <w:ind w:hanging="1440" w:start="1440" w:end="0"/>
        <w:rPr/>
      </w:pPr>
      <w:r>
        <w:rPr/>
        <w:tab/>
        <w:t>(b)</w:t>
        <w:tab/>
        <w:t>the Buyer shall by 1500 hours on the Preceding Day make an Acquiring Trade Nomination specifying the Seller as the User making the corresponding Trade Nomination;</w:t>
      </w:r>
    </w:p>
    <w:p>
      <w:pPr>
        <w:pStyle w:val="Normal"/>
        <w:tabs>
          <w:tab w:val="left" w:pos="720" w:leader="none"/>
        </w:tabs>
        <w:ind w:hanging="1440" w:start="1440" w:end="0"/>
        <w:rPr/>
      </w:pPr>
      <w:r>
        <w:rPr/>
      </w:r>
    </w:p>
    <w:p>
      <w:pPr>
        <w:pStyle w:val="Normal"/>
        <w:tabs>
          <w:tab w:val="left" w:pos="720" w:leader="none"/>
        </w:tabs>
        <w:ind w:hanging="1440" w:start="1440" w:end="0"/>
        <w:rPr/>
      </w:pPr>
      <w:r>
        <w:rPr/>
        <w:tab/>
        <w:t>in each case:</w:t>
      </w:r>
    </w:p>
    <w:p>
      <w:pPr>
        <w:pStyle w:val="Normal"/>
        <w:tabs>
          <w:tab w:val="left" w:pos="720" w:leader="none"/>
        </w:tabs>
        <w:ind w:hanging="1440" w:start="1440" w:end="0"/>
        <w:rPr/>
      </w:pPr>
      <w:r>
        <w:rPr/>
      </w:r>
    </w:p>
    <w:p>
      <w:pPr>
        <w:pStyle w:val="Normal"/>
        <w:tabs>
          <w:tab w:val="left" w:pos="720" w:leader="none"/>
        </w:tabs>
        <w:ind w:hanging="1440" w:start="1440" w:end="0"/>
        <w:rPr/>
      </w:pPr>
      <w:r>
        <w:rPr/>
        <w:tab/>
        <w:t>(i)</w:t>
        <w:tab/>
        <w:t>in accordance with Section C6 of the Network Code; and</w:t>
      </w:r>
    </w:p>
    <w:p>
      <w:pPr>
        <w:pStyle w:val="Normal"/>
        <w:tabs>
          <w:tab w:val="left" w:pos="720" w:leader="none"/>
        </w:tabs>
        <w:ind w:hanging="1440" w:start="1440" w:end="0"/>
        <w:rPr/>
      </w:pPr>
      <w:r>
        <w:rPr/>
      </w:r>
    </w:p>
    <w:p>
      <w:pPr>
        <w:pStyle w:val="Normal"/>
        <w:tabs>
          <w:tab w:val="left" w:pos="720" w:leader="none"/>
        </w:tabs>
        <w:ind w:hanging="1440" w:start="1440" w:end="0"/>
        <w:rPr/>
      </w:pPr>
      <w:r>
        <w:rPr/>
        <w:tab/>
        <w:t>(ii)</w:t>
        <w:tab/>
        <w:t>specifying a quantity of Natural Gas equal to the aggregate quantities of Natural Gas nominated by the Buyer (</w:t>
      </w:r>
      <w:r>
        <w:rPr>
          <w:u w:val="single"/>
        </w:rPr>
        <w:t>“Nomination Quantity</w:t>
      </w:r>
      <w:r>
        <w:rPr/>
        <w:t>”) for purchase from the Seller at the NBP on that Trade Day.</w:t>
      </w:r>
    </w:p>
    <w:p>
      <w:pPr>
        <w:pStyle w:val="Normal"/>
        <w:tabs>
          <w:tab w:val="left" w:pos="720" w:leader="none"/>
        </w:tabs>
        <w:ind w:hanging="1440" w:start="1440" w:end="0"/>
        <w:rPr/>
      </w:pPr>
      <w:r>
        <w:rPr/>
      </w:r>
    </w:p>
    <w:p>
      <w:pPr>
        <w:pStyle w:val="Normal"/>
        <w:ind w:hanging="720" w:start="720" w:end="0"/>
        <w:rPr/>
      </w:pPr>
      <w:r>
        <w:rPr/>
        <w:t>2.3</w:t>
        <w:tab/>
      </w:r>
      <w:r>
        <w:rPr>
          <w:b/>
        </w:rPr>
        <w:t>Code Contingencies:</w:t>
      </w:r>
      <w:r>
        <w:rPr/>
        <w:t xml:space="preserve">  If, on any Trade Day, UK Link is affected by a Code Contingency, each Party shall submit its Trade Nominations by the means and in the manner provided for in the Contingency Procedures.</w:t>
      </w:r>
    </w:p>
    <w:p>
      <w:pPr>
        <w:pStyle w:val="Normal"/>
        <w:tabs>
          <w:tab w:val="left" w:pos="720" w:leader="none"/>
        </w:tabs>
        <w:ind w:hanging="1440" w:start="1440" w:end="0"/>
        <w:rPr/>
      </w:pPr>
      <w:r>
        <w:rPr/>
      </w:r>
    </w:p>
    <w:p>
      <w:pPr>
        <w:pStyle w:val="Normal"/>
        <w:ind w:hanging="720" w:start="720" w:end="0"/>
        <w:rPr/>
      </w:pPr>
      <w:r>
        <w:rPr/>
        <w:t>2.4</w:t>
        <w:tab/>
      </w:r>
      <w:r>
        <w:rPr>
          <w:b/>
        </w:rPr>
        <w:t>Withdrawals:</w:t>
      </w:r>
      <w:r>
        <w:rPr/>
        <w:t xml:space="preserve">  Neither Party shall withdraw a Trade Nomination submitted in accordance with this Special Condition without the consent of the other Party, such consent not unreasonably to be withheld or delayed.</w:t>
      </w:r>
    </w:p>
    <w:p>
      <w:pPr>
        <w:pStyle w:val="Normal"/>
        <w:ind w:hanging="720" w:start="720" w:end="0"/>
        <w:rPr/>
      </w:pPr>
      <w:r>
        <w:rPr/>
      </w:r>
    </w:p>
    <w:p>
      <w:pPr>
        <w:pStyle w:val="Normal"/>
        <w:ind w:hanging="720" w:start="720" w:end="0"/>
        <w:rPr/>
      </w:pPr>
      <w:r>
        <w:rPr/>
        <w:t>3.</w:t>
        <w:tab/>
      </w:r>
      <w:r>
        <w:rPr>
          <w:b/>
        </w:rPr>
        <w:t>NBP Default</w:t>
      </w:r>
    </w:p>
    <w:p>
      <w:pPr>
        <w:pStyle w:val="Normal"/>
        <w:ind w:hanging="720" w:start="720" w:end="0"/>
        <w:rPr/>
      </w:pPr>
      <w:r>
        <w:rPr/>
      </w:r>
    </w:p>
    <w:p>
      <w:pPr>
        <w:pStyle w:val="Normal"/>
        <w:ind w:hanging="720" w:start="720" w:end="0"/>
        <w:rPr/>
      </w:pPr>
      <w:r>
        <w:rPr/>
        <w:t>3.1</w:t>
        <w:tab/>
      </w:r>
      <w:r>
        <w:rPr>
          <w:b/>
        </w:rPr>
        <w:t>Buyer’s Failure</w:t>
      </w:r>
      <w:r>
        <w:rPr/>
        <w:t>.  If, in respect of a Trade Day, the Buyer fails to comply with its obligations under Special Condition 2.2 and as a result no Trade Nominations made by the Parties are accepted by BG plc as creating enforceable corresponding obligations (a “</w:t>
      </w:r>
      <w:r>
        <w:rPr>
          <w:u w:val="single"/>
        </w:rPr>
        <w:t>Buyer’s Failure”</w:t>
      </w:r>
      <w:r>
        <w:rPr/>
        <w:t>), then the Buyer shall pay to the Seller a sum calculated in accordance with Special Condition 3.3.</w:t>
      </w:r>
    </w:p>
    <w:p>
      <w:pPr>
        <w:pStyle w:val="Normal"/>
        <w:ind w:hanging="720" w:start="720" w:end="0"/>
        <w:rPr/>
      </w:pPr>
      <w:r>
        <w:rPr/>
      </w:r>
    </w:p>
    <w:p>
      <w:pPr>
        <w:pStyle w:val="Normal"/>
        <w:ind w:hanging="720" w:start="720" w:end="0"/>
        <w:rPr/>
      </w:pPr>
      <w:r>
        <w:rPr/>
        <w:t>3.2</w:t>
        <w:tab/>
      </w:r>
      <w:r>
        <w:rPr>
          <w:b/>
        </w:rPr>
        <w:t>Seller’s Failure.</w:t>
      </w:r>
      <w:r>
        <w:rPr/>
        <w:t xml:space="preserve">  If, in respect of a Trade Day, the Seller fails to comply with its obligations under Special Condition 2.2 and as a result no Trade Nominations made by the Parties are accepted by BG plc as creating enforceable corresponding obligations (a “Seller’s Failure”), then the Seller shall pay to the Buyer a sum calculated in accordance with Special Condition 3.4.</w:t>
      </w:r>
    </w:p>
    <w:p>
      <w:pPr>
        <w:pStyle w:val="Normal"/>
        <w:ind w:hanging="720" w:start="720" w:end="0"/>
        <w:rPr/>
      </w:pPr>
      <w:r>
        <w:rPr/>
      </w:r>
    </w:p>
    <w:p>
      <w:pPr>
        <w:pStyle w:val="Normal"/>
        <w:ind w:hanging="720" w:start="720" w:end="0"/>
        <w:rPr/>
      </w:pPr>
      <w:r>
        <w:rPr/>
        <w:t>3.3</w:t>
        <w:tab/>
      </w:r>
      <w:r>
        <w:rPr>
          <w:b/>
        </w:rPr>
        <w:t>Buyer’s Payment.</w:t>
      </w:r>
      <w:r>
        <w:rPr/>
        <w:t xml:space="preserve">  In respect of any Buyer’s Failure the Buyer shall pay to the Seller a sum equal to the aggregate (if positive) of sums to be calculated in respect of each Trade Nomination to which such Buyer’s Failure relates in accordance with the following formula:-</w:t>
      </w:r>
    </w:p>
    <w:p>
      <w:pPr>
        <w:pStyle w:val="Normal"/>
        <w:ind w:hanging="720" w:start="720" w:end="0"/>
        <w:rPr/>
      </w:pPr>
      <w:r>
        <w:rPr/>
      </w:r>
    </w:p>
    <w:p>
      <w:pPr>
        <w:pStyle w:val="Normal"/>
        <w:ind w:hanging="720" w:start="720" w:end="0"/>
        <w:rPr/>
      </w:pPr>
      <w:r>
        <w:rPr/>
        <w:tab/>
        <w:tab/>
        <w:t>(TP - SMSP) x NQ</w:t>
      </w:r>
    </w:p>
    <w:p>
      <w:pPr>
        <w:pStyle w:val="Normal"/>
        <w:ind w:hanging="720" w:start="720" w:end="0"/>
        <w:rPr/>
      </w:pPr>
      <w:r>
        <w:rPr/>
      </w:r>
    </w:p>
    <w:p>
      <w:pPr>
        <w:pStyle w:val="Normal"/>
        <w:ind w:hanging="720" w:start="720" w:end="0"/>
        <w:rPr/>
      </w:pPr>
      <w:r>
        <w:rPr/>
        <w:tab/>
        <w:tab/>
        <w:t>where</w:t>
      </w:r>
    </w:p>
    <w:p>
      <w:pPr>
        <w:pStyle w:val="Normal"/>
        <w:ind w:hanging="720" w:start="720" w:end="0"/>
        <w:rPr/>
      </w:pPr>
      <w:r>
        <w:rPr/>
      </w:r>
    </w:p>
    <w:p>
      <w:pPr>
        <w:pStyle w:val="Normal"/>
        <w:tabs>
          <w:tab w:val="clear" w:pos="720"/>
          <w:tab w:val="left" w:pos="1440" w:leader="none"/>
        </w:tabs>
        <w:ind w:hanging="2160" w:start="2160" w:end="0"/>
        <w:rPr/>
      </w:pPr>
      <w:r>
        <w:rPr/>
        <w:tab/>
        <w:t>TP =</w:t>
        <w:tab/>
        <w:t>the price (in pence per Therm) for Natural Gas on the Day of the Buyer’s Failure;</w:t>
      </w:r>
    </w:p>
    <w:p>
      <w:pPr>
        <w:pStyle w:val="Normal"/>
        <w:tabs>
          <w:tab w:val="clear" w:pos="720"/>
          <w:tab w:val="left" w:pos="1440" w:leader="none"/>
        </w:tabs>
        <w:ind w:hanging="2160" w:start="2160" w:end="0"/>
        <w:rPr/>
      </w:pPr>
      <w:r>
        <w:rPr/>
      </w:r>
    </w:p>
    <w:p>
      <w:pPr>
        <w:pStyle w:val="Normal"/>
        <w:tabs>
          <w:tab w:val="clear" w:pos="720"/>
          <w:tab w:val="left" w:pos="1440" w:leader="none"/>
        </w:tabs>
        <w:ind w:hanging="2160" w:start="2160" w:end="0"/>
        <w:rPr/>
      </w:pPr>
      <w:r>
        <w:rPr/>
        <w:tab/>
        <w:t>SMSP =</w:t>
        <w:tab/>
        <w:t>the System Marginal Sell Price for the Day of the Buyer’s Failure; and</w:t>
      </w:r>
    </w:p>
    <w:p>
      <w:pPr>
        <w:pStyle w:val="Normal"/>
        <w:tabs>
          <w:tab w:val="clear" w:pos="720"/>
          <w:tab w:val="left" w:pos="1440" w:leader="none"/>
        </w:tabs>
        <w:ind w:hanging="2160" w:start="2160" w:end="0"/>
        <w:rPr/>
      </w:pPr>
      <w:r>
        <w:rPr/>
      </w:r>
    </w:p>
    <w:p>
      <w:pPr>
        <w:pStyle w:val="Normal"/>
        <w:tabs>
          <w:tab w:val="clear" w:pos="720"/>
          <w:tab w:val="left" w:pos="1440" w:leader="none"/>
        </w:tabs>
        <w:ind w:hanging="2160" w:start="2160" w:end="0"/>
        <w:rPr/>
      </w:pPr>
      <w:r>
        <w:rPr/>
        <w:tab/>
        <w:t>NQ =</w:t>
        <w:tab/>
        <w:t>the Nomination Quantity for the Day of the Buyer’s Failure.</w:t>
      </w:r>
    </w:p>
    <w:p>
      <w:pPr>
        <w:pStyle w:val="Normal"/>
        <w:tabs>
          <w:tab w:val="clear" w:pos="720"/>
          <w:tab w:val="left" w:pos="1440" w:leader="none"/>
        </w:tabs>
        <w:ind w:hanging="2160" w:start="2160" w:end="0"/>
        <w:rPr/>
      </w:pPr>
      <w:r>
        <w:rPr/>
      </w:r>
    </w:p>
    <w:p>
      <w:pPr>
        <w:pStyle w:val="Normal"/>
        <w:ind w:hanging="720" w:start="720" w:end="0"/>
        <w:rPr/>
      </w:pPr>
      <w:r>
        <w:rPr/>
        <w:t>3.4</w:t>
        <w:tab/>
      </w:r>
      <w:r>
        <w:rPr>
          <w:b/>
        </w:rPr>
        <w:t>Seller’s Payment.</w:t>
      </w:r>
      <w:r>
        <w:rPr/>
        <w:t xml:space="preserve">  In respect of any Seller’s Failure the Seller shall pay to the Buyer a sum equal to the aggregate (if positive) of sums to be calculated in respect of each Trade Nomination to which such Seller’s Failure relates in accordance with the following formula:-</w:t>
      </w:r>
    </w:p>
    <w:p>
      <w:pPr>
        <w:pStyle w:val="Normal"/>
        <w:ind w:hanging="720" w:start="720" w:end="0"/>
        <w:rPr/>
      </w:pPr>
      <w:r>
        <w:rPr/>
      </w:r>
    </w:p>
    <w:p>
      <w:pPr>
        <w:pStyle w:val="Normal"/>
        <w:ind w:hanging="720" w:start="720" w:end="0"/>
        <w:rPr/>
      </w:pPr>
      <w:r>
        <w:rPr/>
        <w:tab/>
        <w:tab/>
        <w:t>(SMBP - TP) x NQ</w:t>
      </w:r>
    </w:p>
    <w:p>
      <w:pPr>
        <w:pStyle w:val="Normal"/>
        <w:ind w:hanging="720" w:start="720" w:end="0"/>
        <w:rPr/>
      </w:pPr>
      <w:r>
        <w:rPr/>
      </w:r>
    </w:p>
    <w:p>
      <w:pPr>
        <w:pStyle w:val="Normal"/>
        <w:ind w:hanging="720" w:start="720" w:end="0"/>
        <w:rPr/>
      </w:pPr>
      <w:r>
        <w:rPr/>
        <w:tab/>
        <w:tab/>
        <w:t>where</w:t>
      </w:r>
    </w:p>
    <w:p>
      <w:pPr>
        <w:pStyle w:val="Normal"/>
        <w:ind w:hanging="720" w:start="720" w:end="0"/>
        <w:rPr/>
      </w:pPr>
      <w:r>
        <w:rPr/>
      </w:r>
    </w:p>
    <w:p>
      <w:pPr>
        <w:pStyle w:val="Normal"/>
        <w:tabs>
          <w:tab w:val="clear" w:pos="720"/>
          <w:tab w:val="left" w:pos="1440" w:leader="none"/>
        </w:tabs>
        <w:ind w:hanging="2160" w:start="2160" w:end="0"/>
        <w:rPr/>
      </w:pPr>
      <w:r>
        <w:rPr/>
        <w:tab/>
        <w:t>TP =</w:t>
        <w:tab/>
        <w:t>the price (in pence per Therm) for Natural Gas on the Day of the Seller’s Failure;</w:t>
      </w:r>
    </w:p>
    <w:p>
      <w:pPr>
        <w:pStyle w:val="Normal"/>
        <w:tabs>
          <w:tab w:val="clear" w:pos="720"/>
          <w:tab w:val="left" w:pos="1440" w:leader="none"/>
        </w:tabs>
        <w:ind w:hanging="2160" w:start="2160" w:end="0"/>
        <w:rPr/>
      </w:pPr>
      <w:r>
        <w:rPr/>
      </w:r>
    </w:p>
    <w:p>
      <w:pPr>
        <w:pStyle w:val="Normal"/>
        <w:tabs>
          <w:tab w:val="clear" w:pos="720"/>
          <w:tab w:val="left" w:pos="1440" w:leader="none"/>
        </w:tabs>
        <w:ind w:hanging="2160" w:start="2160" w:end="0"/>
        <w:rPr/>
      </w:pPr>
      <w:r>
        <w:rPr/>
        <w:tab/>
        <w:t>SMBP =</w:t>
        <w:tab/>
        <w:t>the System Marginal Buy Price for the Day of the Seller’s Failure; and</w:t>
      </w:r>
    </w:p>
    <w:p>
      <w:pPr>
        <w:pStyle w:val="Normal"/>
        <w:tabs>
          <w:tab w:val="clear" w:pos="720"/>
          <w:tab w:val="left" w:pos="1440" w:leader="none"/>
        </w:tabs>
        <w:ind w:hanging="2160" w:start="2160" w:end="0"/>
        <w:rPr/>
      </w:pPr>
      <w:r>
        <w:rPr/>
      </w:r>
    </w:p>
    <w:p>
      <w:pPr>
        <w:pStyle w:val="Normal"/>
        <w:tabs>
          <w:tab w:val="clear" w:pos="720"/>
          <w:tab w:val="left" w:pos="1440" w:leader="none"/>
        </w:tabs>
        <w:ind w:hanging="2160" w:start="2160" w:end="0"/>
        <w:rPr/>
      </w:pPr>
      <w:r>
        <w:rPr/>
        <w:tab/>
        <w:t>NQ =</w:t>
        <w:tab/>
        <w:t>the Nomination Quantity for the Day of the Seller’s Failure.</w:t>
      </w:r>
    </w:p>
    <w:p>
      <w:pPr>
        <w:pStyle w:val="Normal"/>
        <w:tabs>
          <w:tab w:val="clear" w:pos="720"/>
          <w:tab w:val="left" w:pos="1440" w:leader="none"/>
        </w:tabs>
        <w:ind w:hanging="2160" w:start="2160" w:end="0"/>
        <w:rPr/>
      </w:pPr>
      <w:r>
        <w:rPr/>
      </w:r>
    </w:p>
    <w:p>
      <w:pPr>
        <w:pStyle w:val="Normal"/>
        <w:ind w:hanging="720" w:start="720" w:end="0"/>
        <w:rPr/>
      </w:pPr>
      <w:r>
        <w:rPr/>
        <w:t>3.5</w:t>
        <w:tab/>
        <w:t>A Party which fails to comply with its obligations under Special Condition 2.2 shall indemnify, defend and hold harmless the other Party in respect of any Scheduling or Overrun Charges incurred by that other Party as a result of such failure.</w:t>
      </w:r>
    </w:p>
    <w:p>
      <w:pPr>
        <w:pStyle w:val="Normal"/>
        <w:ind w:hanging="720" w:start="720" w:end="0"/>
        <w:rPr/>
      </w:pPr>
      <w:r>
        <w:rPr/>
      </w:r>
      <w:bookmarkStart w:id="37" w:name="NBP"/>
      <w:bookmarkStart w:id="38" w:name="NBP"/>
      <w:bookmarkEnd w:id="38"/>
    </w:p>
    <w:p>
      <w:pPr>
        <w:pStyle w:val="Normal"/>
        <w:jc w:val="both"/>
        <w:rPr/>
      </w:pPr>
      <w:r>
        <w:rPr/>
      </w:r>
    </w:p>
    <w:p>
      <w:pPr>
        <w:pStyle w:val="Normal"/>
        <w:jc w:val="both"/>
        <w:rPr/>
      </w:pPr>
      <w:r>
        <w:rPr/>
      </w:r>
    </w:p>
    <w:p>
      <w:pPr>
        <w:pStyle w:val="Normal"/>
        <w:jc w:val="both"/>
        <w:rPr/>
      </w:pPr>
      <w:r>
        <w:rPr/>
        <w:t>Each party undertakes not to disclose the terms of this transaction to a third party (other than the party’s affiliates’ employees, lenders, professional advisers or any bona fide intended assignee of a party’s rights and obligations hereunder each having agreed to keep such terms confidential) except in order to comply with any applicable law, order or regulation;  provided that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that all monetary damages shall be limited to actual direct damages.</w:t>
      </w:r>
    </w:p>
    <w:p>
      <w:pPr>
        <w:pStyle w:val="Normal"/>
        <w:jc w:val="both"/>
        <w:rPr/>
      </w:pPr>
      <w:r>
        <w:rPr/>
      </w:r>
    </w:p>
    <w:p>
      <w:pPr>
        <w:pStyle w:val="Normal"/>
        <w:keepNext w:val="true"/>
        <w:rPr/>
      </w:pPr>
      <w:r>
        <w:rPr/>
        <w:t>Please sign and return this Confirmation by fax to the person and at the number specified above.</w:t>
      </w:r>
    </w:p>
    <w:p>
      <w:pPr>
        <w:pStyle w:val="Normal"/>
        <w:keepNext w:val="true"/>
        <w:rPr/>
      </w:pPr>
      <w:r>
        <w:rPr/>
      </w:r>
    </w:p>
    <w:tbl>
      <w:tblPr>
        <w:tblW w:w="8528" w:type="dxa"/>
        <w:jc w:val="start"/>
        <w:tblInd w:w="0" w:type="dxa"/>
        <w:tblLayout w:type="fixed"/>
        <w:tblCellMar>
          <w:top w:w="0" w:type="dxa"/>
          <w:start w:w="108" w:type="dxa"/>
          <w:bottom w:w="0" w:type="dxa"/>
          <w:end w:w="108" w:type="dxa"/>
        </w:tblCellMar>
      </w:tblPr>
      <w:tblGrid>
        <w:gridCol w:w="4077"/>
        <w:gridCol w:w="4451"/>
      </w:tblGrid>
      <w:tr>
        <w:trPr/>
        <w:tc>
          <w:tcPr>
            <w:tcW w:w="4077" w:type="dxa"/>
            <w:tcBorders/>
          </w:tcPr>
          <w:p>
            <w:pPr>
              <w:pStyle w:val="Normal"/>
              <w:keepNext w:val="true"/>
              <w:rPr/>
            </w:pPr>
            <w:r>
              <w:rPr/>
              <w:t>ENRON CAPITAL &amp; TRADE   RESOURCES LIMITED</w:t>
              <w:tab/>
              <w:tab/>
            </w:r>
          </w:p>
        </w:tc>
        <w:tc>
          <w:tcPr>
            <w:tcW w:w="4451" w:type="dxa"/>
            <w:tcBorders/>
          </w:tcPr>
          <w:p>
            <w:pPr>
              <w:pStyle w:val="Normal"/>
              <w:keepNext w:val="true"/>
              <w:tabs>
                <w:tab w:val="clear" w:pos="720"/>
                <w:tab w:val="left" w:pos="176" w:leader="none"/>
              </w:tabs>
              <w:rPr/>
            </w:pPr>
            <w:r>
              <w:rPr>
                <w:rFonts w:eastAsia="Arial"/>
              </w:rPr>
              <w:t xml:space="preserve">    </w:t>
            </w:r>
            <w:bookmarkStart w:id="39" w:name="CpyName"/>
            <w:bookmarkEnd w:id="39"/>
            <w:r>
              <w:rPr/>
              <w:t>BNP PARIBAS</w:t>
            </w:r>
          </w:p>
        </w:tc>
      </w:tr>
    </w:tbl>
    <w:p>
      <w:pPr>
        <w:pStyle w:val="Normal"/>
        <w:keepNext w:val="true"/>
        <w:rPr/>
      </w:pPr>
      <w:r>
        <w:rPr/>
      </w:r>
    </w:p>
    <w:p>
      <w:pPr>
        <w:pStyle w:val="Normal"/>
        <w:keepNext w:val="true"/>
        <w:rPr/>
      </w:pPr>
      <w:bookmarkStart w:id="40" w:name="Sig"/>
      <w:bookmarkEnd w:id="40"/>
      <w:r>
        <w:rPr/>
        <w:drawing>
          <wp:inline distT="0" distB="0" distL="0" distR="0">
            <wp:extent cx="1419225" cy="466725"/>
            <wp:effectExtent l="0" t="0" r="0" b="0"/>
            <wp:docPr id="4" name="pictem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emp" descr="" title=""/>
                    <pic:cNvPicPr>
                      <a:picLocks noChangeAspect="1" noChangeArrowheads="1"/>
                    </pic:cNvPicPr>
                  </pic:nvPicPr>
                  <pic:blipFill>
                    <a:blip r:embed="rId4"/>
                    <a:srcRect l="-25" t="-77" r="-25" b="-77"/>
                    <a:stretch>
                      <a:fillRect/>
                    </a:stretch>
                  </pic:blipFill>
                  <pic:spPr bwMode="auto">
                    <a:xfrm>
                      <a:off x="0" y="0"/>
                      <a:ext cx="1419225" cy="466725"/>
                    </a:xfrm>
                    <a:prstGeom prst="rect">
                      <a:avLst/>
                    </a:prstGeom>
                    <a:noFill/>
                  </pic:spPr>
                </pic:pic>
              </a:graphicData>
            </a:graphic>
          </wp:inline>
        </w:drawing>
      </w:r>
    </w:p>
    <w:p>
      <w:pPr>
        <w:pStyle w:val="Normal"/>
        <w:keepNext w:val="true"/>
        <w:rPr/>
      </w:pPr>
      <w:r>
        <w:rPr/>
      </w:r>
    </w:p>
    <w:p>
      <w:pPr>
        <w:pStyle w:val="Normal"/>
        <w:keepNext w:val="true"/>
        <w:tabs>
          <w:tab w:val="clear" w:pos="720"/>
          <w:tab w:val="left" w:pos="709" w:leader="none"/>
          <w:tab w:val="left" w:pos="3969" w:leader="none"/>
        </w:tabs>
        <w:rPr/>
      </w:pPr>
      <w:r>
        <w:rPr/>
        <w:t>By:</w:t>
        <w:tab/>
      </w:r>
      <w:r>
        <w:rPr>
          <w:b/>
        </w:rPr>
        <w:tab/>
        <w:tab/>
      </w:r>
      <w:r>
        <w:rPr/>
        <w:t>By:</w:t>
      </w:r>
    </w:p>
    <w:p>
      <w:pPr>
        <w:pStyle w:val="Normal"/>
        <w:keepNext w:val="true"/>
        <w:rPr/>
      </w:pPr>
      <w:r>
        <w:rPr/>
      </w:r>
    </w:p>
    <w:p>
      <w:pPr>
        <w:pStyle w:val="Normal"/>
        <w:keepNext w:val="true"/>
        <w:tabs>
          <w:tab w:val="clear" w:pos="720"/>
          <w:tab w:val="left" w:pos="709" w:leader="none"/>
          <w:tab w:val="left" w:pos="3969" w:leader="none"/>
        </w:tabs>
        <w:rPr/>
      </w:pPr>
      <w:r>
        <w:rPr/>
        <w:t>Title:</w:t>
        <w:tab/>
      </w:r>
      <w:r>
        <w:rPr>
          <w:b/>
        </w:rPr>
        <w:t>Authorised Signatory</w:t>
        <w:tab/>
        <w:tab/>
      </w:r>
      <w:r>
        <w:rPr/>
        <w:t>Title:</w:t>
      </w:r>
    </w:p>
    <w:p>
      <w:pPr>
        <w:pStyle w:val="Normal"/>
        <w:keepNext w:val="true"/>
        <w:tabs>
          <w:tab w:val="clear" w:pos="720"/>
          <w:tab w:val="left" w:pos="709" w:leader="none"/>
          <w:tab w:val="left" w:pos="3969" w:leader="none"/>
        </w:tabs>
        <w:rPr/>
      </w:pPr>
      <w:r>
        <w:rPr/>
      </w:r>
    </w:p>
    <w:p>
      <w:pPr>
        <w:pStyle w:val="Normal"/>
        <w:keepNext w:val="true"/>
        <w:tabs>
          <w:tab w:val="clear" w:pos="720"/>
          <w:tab w:val="left" w:pos="709" w:leader="none"/>
          <w:tab w:val="left" w:pos="3969" w:leader="none"/>
        </w:tabs>
        <w:rPr/>
      </w:pPr>
      <w:r>
        <w:rPr/>
      </w:r>
      <w:r>
        <w:br w:type="page"/>
      </w:r>
    </w:p>
    <w:p>
      <w:pPr>
        <w:pStyle w:val="Normal"/>
        <w:jc w:val="center"/>
        <w:rPr>
          <w:b/>
          <w:u w:val="single"/>
        </w:rPr>
      </w:pPr>
      <w:r>
        <w:rPr>
          <w:b/>
          <w:u w:val="single"/>
        </w:rPr>
        <w:t>ENRON CAPITAL &amp; TRADE RESOURCES LIMITED</w:t>
      </w:r>
    </w:p>
    <w:p>
      <w:pPr>
        <w:pStyle w:val="Normal"/>
        <w:jc w:val="center"/>
        <w:rPr>
          <w:b/>
          <w:u w:val="single"/>
        </w:rPr>
      </w:pPr>
      <w:r>
        <w:rPr>
          <w:b/>
          <w:u w:val="single"/>
        </w:rPr>
      </w:r>
    </w:p>
    <w:p>
      <w:pPr>
        <w:pStyle w:val="Normal"/>
        <w:jc w:val="center"/>
        <w:rPr>
          <w:b/>
        </w:rPr>
      </w:pPr>
      <w:r>
        <w:rPr>
          <w:b/>
        </w:rPr>
        <w:t>GENERAL TERMS &amp;  CONDITIONS</w:t>
      </w:r>
    </w:p>
    <w:p>
      <w:pPr>
        <w:pStyle w:val="Normal"/>
        <w:jc w:val="center"/>
        <w:rPr>
          <w:b/>
        </w:rPr>
      </w:pPr>
      <w:r>
        <w:rPr>
          <w:b/>
        </w:rPr>
      </w:r>
    </w:p>
    <w:p>
      <w:pPr>
        <w:pStyle w:val="Normal"/>
        <w:tabs>
          <w:tab w:val="clear" w:pos="720"/>
          <w:tab w:val="left" w:pos="567" w:leader="none"/>
        </w:tabs>
        <w:ind w:hanging="567" w:start="567" w:end="0"/>
        <w:jc w:val="both"/>
        <w:rPr/>
      </w:pPr>
      <w:r>
        <w:rPr/>
        <w:t>1.</w:t>
      </w:r>
      <w:r>
        <w:rPr>
          <w:b/>
        </w:rPr>
        <w:tab/>
      </w:r>
      <w:r>
        <w:rPr>
          <w:b/>
          <w:u w:val="single"/>
        </w:rPr>
        <w:t>Transactions</w:t>
      </w:r>
    </w:p>
    <w:p>
      <w:pPr>
        <w:pStyle w:val="Normal"/>
        <w:tabs>
          <w:tab w:val="clear" w:pos="720"/>
          <w:tab w:val="left" w:pos="567" w:leader="none"/>
        </w:tabs>
        <w:ind w:hanging="567" w:start="567" w:end="0"/>
        <w:jc w:val="both"/>
        <w:rPr/>
      </w:pPr>
      <w:r>
        <w:rPr/>
        <w:tab/>
        <w:t>The parties shall engage in transactions pursuant to these terms and conditions (this “</w:t>
      </w:r>
      <w:r>
        <w:rPr>
          <w:u w:val="single"/>
        </w:rPr>
        <w:t>GTC</w:t>
      </w:r>
      <w:r>
        <w:rPr/>
        <w:t>”) and confirmations of transactions (“</w:t>
      </w:r>
      <w:r>
        <w:rPr>
          <w:u w:val="single"/>
        </w:rPr>
        <w:t>Confirmations</w:t>
      </w:r>
      <w:r>
        <w:rPr/>
        <w:t xml:space="preserve">”) referring to this GTC. Transactions may be formed in a recorded telephone conversation between the parties whereby an offer and acceptance shall constitute the valid and enforceable agreement of the parties. Each Confirmation shall be a complete and binding agreement between the parties as to the transaction referred to therein.  All existing transactions and applicable Confirmations between the parties entered into pursuant to this GTC shall be governed by this GTC. All such transactions and applicable Confirmations shall constitute a single integrated agreement between the parties, it being acknowledged that the parties are relying upon the fact that all such transactions and applicable Confirmations will form a single agreement and that the parties would not otherwise enter into any transactions.  In the event of any inconsistency between a Confirmation and this GTC, the Confirmation shall govern.  Upon execution by the parties of a fully termed contract to govern all transactions entered into between them, all applicable Confirmations will supplement, form a part of and be subject to such contract.  In the event of any inconsistency between this GTC or any Confirmation and such contract, the contract shall govern except as otherwise expressly set out therein.  The </w:t>
      </w:r>
      <w:r>
        <w:rPr>
          <w:b/>
        </w:rPr>
        <w:t>Designated Quantity</w:t>
      </w:r>
      <w:r>
        <w:rPr/>
        <w:t xml:space="preserve"> shall be scheduled by </w:t>
      </w:r>
      <w:r>
        <w:rPr>
          <w:b/>
        </w:rPr>
        <w:t xml:space="preserve">Seller </w:t>
      </w:r>
      <w:r>
        <w:rPr/>
        <w:t xml:space="preserve">and </w:t>
      </w:r>
      <w:r>
        <w:rPr>
          <w:b/>
        </w:rPr>
        <w:t>Buyer</w:t>
      </w:r>
      <w:r>
        <w:rPr/>
        <w:t xml:space="preserve"> at the</w:t>
      </w:r>
      <w:r>
        <w:rPr>
          <w:b/>
        </w:rPr>
        <w:t xml:space="preserve"> Delivery Point(s)</w:t>
      </w:r>
      <w:r>
        <w:rPr/>
        <w:t xml:space="preserve"> during the</w:t>
      </w:r>
      <w:r>
        <w:rPr>
          <w:b/>
        </w:rPr>
        <w:t xml:space="preserve"> Supply Period</w:t>
      </w:r>
      <w:r>
        <w:rPr/>
        <w:t xml:space="preserve"> and at the </w:t>
      </w:r>
      <w:r>
        <w:rPr>
          <w:b/>
        </w:rPr>
        <w:t>Contract Price</w:t>
      </w:r>
      <w:r>
        <w:rPr/>
        <w:t xml:space="preserve"> as provided in each transaction.  Terms defined in a Confirmation shall have the meaning specified therein when used in this GTC. </w:t>
      </w:r>
    </w:p>
    <w:p>
      <w:pPr>
        <w:pStyle w:val="Normal"/>
        <w:tabs>
          <w:tab w:val="clear" w:pos="720"/>
          <w:tab w:val="left" w:pos="567" w:leader="none"/>
        </w:tabs>
        <w:jc w:val="both"/>
        <w:rPr/>
      </w:pPr>
      <w:r>
        <w:rPr/>
      </w:r>
    </w:p>
    <w:p>
      <w:pPr>
        <w:pStyle w:val="Normal"/>
        <w:tabs>
          <w:tab w:val="clear" w:pos="720"/>
          <w:tab w:val="left" w:pos="567" w:leader="none"/>
        </w:tabs>
        <w:jc w:val="both"/>
        <w:rPr/>
      </w:pPr>
      <w:r>
        <w:rPr/>
        <w:t>2.</w:t>
        <w:tab/>
      </w:r>
      <w:r>
        <w:rPr>
          <w:b/>
          <w:u w:val="single"/>
        </w:rPr>
        <w:t>Quantity Obligations</w:t>
      </w:r>
    </w:p>
    <w:p>
      <w:pPr>
        <w:pStyle w:val="Normal"/>
        <w:ind w:start="567" w:end="0"/>
        <w:jc w:val="both"/>
        <w:rPr/>
      </w:pPr>
      <w:r>
        <w:rPr/>
        <w:t>All gas shall be “</w:t>
      </w:r>
      <w:r>
        <w:rPr>
          <w:u w:val="single"/>
        </w:rPr>
        <w:t>scheduled</w:t>
      </w:r>
      <w:r>
        <w:rPr/>
        <w:t>” (which term when used in relation to Seller shall mean tendered for delivery at the Delivery Point(s) and in relation to Buyer shall mean having made proper nominations in accordance with a Confirmation and having made available at the Delivery Point(s) sufficient capacity to permit Buyer to take delivery of quantities of gas scheduled by Seller) at the Delivery Point(s) on a firm basis and in the Designated Quantity on every day of the Supply Period;  “</w:t>
      </w:r>
      <w:r>
        <w:rPr>
          <w:u w:val="single"/>
        </w:rPr>
        <w:t>Day</w:t>
      </w:r>
      <w:r>
        <w:rPr/>
        <w:t>” shall mean the period of 24 hours commencing at 06.00 am on one day and ending at 06.00 am on the following day.  If on any Day a party fails to schedule the Designated Quantity, then such occurrence shall constitute a “</w:t>
      </w:r>
      <w:r>
        <w:rPr>
          <w:u w:val="single"/>
        </w:rPr>
        <w:t>Default</w:t>
      </w:r>
      <w:r>
        <w:rPr/>
        <w:t>” and the “</w:t>
      </w:r>
      <w:r>
        <w:rPr>
          <w:u w:val="single"/>
        </w:rPr>
        <w:t>Default Quantity</w:t>
      </w:r>
      <w:r>
        <w:rPr/>
        <w:t>” shall be the numerical difference between the Designated Quantity and the amount of gas scheduled.  Upon Default, the defaulting party shall pay to the other party an amount equal to the product of the Default Quantity multiplied by the Replacement Price Differential.  “</w:t>
      </w:r>
      <w:r>
        <w:rPr>
          <w:u w:val="single"/>
        </w:rPr>
        <w:t>Replacement Price Differential</w:t>
      </w:r>
      <w:r>
        <w:rPr/>
        <w:t xml:space="preserve">” means (i) in the event of a Seller’s Default, the positive difference obtained by subtracting the Contract Price </w:t>
      </w:r>
      <w:r>
        <w:rPr>
          <w:u w:val="single"/>
        </w:rPr>
        <w:t>from</w:t>
      </w:r>
      <w:r>
        <w:rPr/>
        <w:t xml:space="preserve"> the cost to Buyer, including incremental transportation costs and other basis adjustments, to replace the Default Quantity for such day and (ii) in the event of Buyer’s Default, the positive difference obtained by subtracting the price obtained by Seller in an incremental, arms-length sale(s) to a third party of a quantity equal to the Default Quantity for such Day, less incremental transportation charges to Seller, and including other basis adjustments, </w:t>
      </w:r>
      <w:r>
        <w:rPr>
          <w:u w:val="single"/>
        </w:rPr>
        <w:t>from</w:t>
      </w:r>
      <w:r>
        <w:rPr/>
        <w:t xml:space="preserve"> the Contract Price.</w:t>
      </w:r>
    </w:p>
    <w:p>
      <w:pPr>
        <w:pStyle w:val="Normal"/>
        <w:tabs>
          <w:tab w:val="clear" w:pos="720"/>
          <w:tab w:val="left" w:pos="567" w:leader="none"/>
        </w:tabs>
        <w:jc w:val="both"/>
        <w:rPr/>
      </w:pPr>
      <w:r>
        <w:rPr/>
        <w:br/>
        <w:t>3.</w:t>
        <w:tab/>
      </w:r>
      <w:r>
        <w:rPr>
          <w:b/>
          <w:u w:val="single"/>
        </w:rPr>
        <w:t>Early Termination</w:t>
      </w:r>
    </w:p>
    <w:p>
      <w:pPr>
        <w:pStyle w:val="Normal"/>
        <w:ind w:start="567" w:end="0"/>
        <w:jc w:val="both"/>
        <w:rPr/>
      </w:pPr>
      <w:r>
        <w:rPr/>
        <w:t>If a Triggering Event (as defined below) occurs with respect to either party during a Supply Period, the other party (the “</w:t>
      </w:r>
      <w:r>
        <w:rPr>
          <w:u w:val="single"/>
        </w:rPr>
        <w:t>Notifying Party</w:t>
      </w:r>
      <w:r>
        <w:rPr/>
        <w:t>”) may upon three days written notice to the first party establish a date on which any or all transactions governed by this GTC will terminate (“</w:t>
      </w:r>
      <w:r>
        <w:rPr>
          <w:u w:val="single"/>
        </w:rPr>
        <w:t>Early Termination Date</w:t>
      </w:r>
      <w:r>
        <w:rPr/>
        <w:t>”) and withhold any payments then due; provided that in respect of Triggering Event (ii) all transactions shall automatically terminate.  The Notifying Party shall calculate its damages, including its associated costs and legal fees, resulting from the termination of the transactions selected by it, or in the case of Triggering Event (ii) all transactions (the “</w:t>
      </w:r>
      <w:r>
        <w:rPr>
          <w:u w:val="single"/>
        </w:rPr>
        <w:t>Termination Payment</w:t>
      </w:r>
      <w:r>
        <w:rPr/>
        <w:t>”).  The Termination Payment will be determined by (i) comparing the value of (a) the remaining Supply Period, Designated Quantity and Contract Price under each such transaction had it not been terminated to (b) the equivalent quantities and relevant market prices for the remaining Supply Period either quoted by a bona fide third party offer or which are reasonably expected to be available in the market under a replacement contract and (ii) ascertaining the associated costs and legal fees.  All terminated transactions shall be netted against each other and upon netting, if the calculation of the Termination Payment does not result in a payment due to the Notifying Party, the Termination Payment shall be zero, save in the case of those transactions terminated pursuant to Triggering Event (ii), in which event, if the calculation of the Termination Payment results in a payment due to either party, the other party shall pay such Termination Payment.  The Notifying Party shall provide the Affected Party with a written statement of the amount of the Termination Payment.  The Termination Payment shall be paid within 10 days of receipt of such statement.  At the time for payment of any Termination Payment, each party shall pay to the other party all additional amounts payable by it pursuant hereto.  “</w:t>
      </w:r>
      <w:r>
        <w:rPr>
          <w:u w:val="single"/>
        </w:rPr>
        <w:t>Triggering Event</w:t>
      </w:r>
      <w:r>
        <w:rPr/>
        <w:t>” means, with respect to a party (the “</w:t>
      </w:r>
      <w:r>
        <w:rPr>
          <w:u w:val="single"/>
        </w:rPr>
        <w:t>Affected Party</w:t>
      </w:r>
      <w:r>
        <w:rPr/>
        <w:t>”): (i) the failure by the Affected Party to make, when due, any payment required or to perform any other covenant set forth herein, in each case within 3 days after receipt of notice thereof, or (ii) the Affected Party (a) making an assignment or arrangement for the benefit of creditors, (b) filing a petition or commencing, authorising or acquiescing in the commencement or a proceeding under any bankruptcy or similar law, or having such a petition filed against it which petition remains undismissed for 30 days, (c) otherwise becoming bankrupt or insolvent or (d) being unable to pay its debts as they fall due or (iii) the Affected Party’s unexcused failure to schedule the Designated Quantity for a cumulative period of 10 or more Days in a 3 month period.</w:t>
      </w:r>
    </w:p>
    <w:p>
      <w:pPr>
        <w:pStyle w:val="Normal"/>
        <w:jc w:val="both"/>
        <w:rPr/>
      </w:pPr>
      <w:r>
        <w:rPr/>
        <w:br/>
        <w:t>4.</w:t>
        <w:tab/>
      </w:r>
      <w:r>
        <w:rPr>
          <w:b/>
          <w:u w:val="single"/>
        </w:rPr>
        <w:t>Other Events</w:t>
      </w:r>
    </w:p>
    <w:p>
      <w:pPr>
        <w:pStyle w:val="Normal"/>
        <w:ind w:start="567" w:end="0"/>
        <w:jc w:val="both"/>
        <w:rPr/>
      </w:pPr>
      <w:r>
        <w:rPr/>
        <w:t>If the Affected Party’s activities become subject to regulation of any  kind (other than with respect to New Taxes (as defined below)) to a different extent than that existing at the Confirmation date (the “</w:t>
      </w:r>
      <w:r>
        <w:rPr>
          <w:u w:val="single"/>
        </w:rPr>
        <w:t>Confirm Date</w:t>
      </w:r>
      <w:r>
        <w:rPr/>
        <w:t xml:space="preserve">”) and such regulation either (i) renders a transaction unenforceable or (ii) in the reasonable opinion of the non-Affected Party materially adversely affects the business (financial or otherwise) of the Affected Party, then in the case of (i), either party, and in the case of  (ii), only the Affected Party, shall have the right to declare an Early Termination Date in accordance herewith; provided that notwithstanding such right, the Affected Party shall pay the Termination Payment calculated by the non-Affected Party as provided above. </w:t>
      </w:r>
    </w:p>
    <w:p>
      <w:pPr>
        <w:pStyle w:val="Normal"/>
        <w:jc w:val="both"/>
        <w:rPr/>
      </w:pPr>
      <w:r>
        <w:rPr/>
      </w:r>
    </w:p>
    <w:p>
      <w:pPr>
        <w:pStyle w:val="Normal"/>
        <w:jc w:val="both"/>
        <w:rPr/>
      </w:pPr>
      <w:r>
        <w:rPr/>
        <w:t>5.</w:t>
      </w:r>
      <w:r>
        <w:rPr>
          <w:b/>
        </w:rPr>
        <w:tab/>
      </w:r>
      <w:r>
        <w:rPr>
          <w:b/>
          <w:u w:val="single"/>
        </w:rPr>
        <w:t>Operations and Delivery</w:t>
      </w:r>
    </w:p>
    <w:p>
      <w:pPr>
        <w:pStyle w:val="Normal"/>
        <w:ind w:start="567" w:end="0"/>
        <w:jc w:val="both"/>
        <w:rPr/>
      </w:pPr>
      <w:r>
        <w:rPr/>
        <w:t>Should Buyer desire to change the quantity to be scheduled, Buyer shall provide to Seller facsimile notice thereof not later than one “</w:t>
      </w:r>
      <w:r>
        <w:rPr>
          <w:u w:val="single"/>
        </w:rPr>
        <w:t>Business Day</w:t>
      </w:r>
      <w:r>
        <w:rPr/>
        <w:t xml:space="preserve">” (being any day other than a Saturday, Sunday or public holiday in England) prior to the earliest nomination deadline of either Party’s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an event of </w:t>
      </w:r>
      <w:r>
        <w:rPr>
          <w:u w:val="single"/>
        </w:rPr>
        <w:t>Force Majeure</w:t>
      </w:r>
      <w:r>
        <w:rPr/>
        <w:t xml:space="preserve"> ( as defined below), shall require or permit either party to schedule gas at a point other than a Delivery Point or in excess of the  Designated Quantity.  If either party receives an order from a transporter requiring action in connection with a transaction such party shall immediately notify the other party of the order and provide a copy of same by facsimile.  Each party shall take all actions required and shall indemnify, defend and hold harmless the other party from and against any claims related to the order under which the indemnifying party failed to take the action required thereby. </w:t>
        <w:tab/>
        <w:t xml:space="preserve"> </w:t>
        <w:br/>
      </w:r>
    </w:p>
    <w:p>
      <w:pPr>
        <w:pStyle w:val="Normal"/>
        <w:ind w:hanging="567" w:start="567" w:end="0"/>
        <w:jc w:val="both"/>
        <w:rPr/>
      </w:pPr>
      <w:r>
        <w:rPr/>
        <w:t>6.</w:t>
      </w:r>
      <w:r>
        <w:rPr>
          <w:b/>
        </w:rPr>
        <w:tab/>
      </w:r>
      <w:r>
        <w:rPr>
          <w:b/>
          <w:u w:val="single"/>
        </w:rPr>
        <w:t>Payments</w:t>
      </w:r>
      <w:r>
        <w:rPr>
          <w:u w:val="single"/>
        </w:rPr>
        <w:br/>
      </w:r>
      <w:r>
        <w:rPr/>
        <w:t>Seller shall provide Buyer with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GTC are due by the 20th day of the month in which the statement therefor was received or 10 days after the date of receipt of the statement, if later.  If the due date for any payment to be made hereunder is not a Business Day, the due date of such payment shall be the following Business Day.  All payments  shall be made by wire transfer in immediately available funds to the payee on the applicable due date.  Interest on overdue amounts shall accrue at the rate of three percent over the applicable base rate of Barclays Bank plc.  Obligations to make payment under all transactions governed by this GTC may be offset against each other, set off or recouped therefrom, or netted for payment. Notwithstanding Clause 7, all amounts payable hereunder shall be exclusive of VAT, where applicable.</w:t>
      </w:r>
    </w:p>
    <w:p>
      <w:pPr>
        <w:pStyle w:val="Normal"/>
        <w:jc w:val="both"/>
        <w:rPr/>
      </w:pPr>
      <w:r>
        <w:rPr/>
      </w:r>
    </w:p>
    <w:p>
      <w:pPr>
        <w:pStyle w:val="Normal"/>
        <w:ind w:hanging="567" w:start="567" w:end="0"/>
        <w:jc w:val="both"/>
        <w:rPr/>
      </w:pPr>
      <w:r>
        <w:rPr/>
        <w:t>7.</w:t>
      </w:r>
      <w:r>
        <w:rPr>
          <w:b/>
        </w:rPr>
        <w:tab/>
      </w:r>
      <w:r>
        <w:rPr>
          <w:b/>
          <w:u w:val="single"/>
        </w:rPr>
        <w:t>Taxes</w:t>
      </w:r>
      <w:r>
        <w:rPr>
          <w:u w:val="single"/>
        </w:rPr>
        <w:br/>
      </w:r>
      <w:r>
        <w:rPr/>
        <w:t>The Contract Price includes full reimbursement for, and Seller shall pay, or reimburse Buyer for, all taxes applicable to gas upstream of the Delivery Point(s).  The Contract Price does not include reimbursement for, and Buyer shall pay, or reimburse Seller for, all taxes applicable to gas downstream of or at the Delivery Point(s).  Notwithstanding the foregoing, if a tax payable by either party is enacted and effective after the Confirm Date (a “</w:t>
      </w:r>
      <w:r>
        <w:rPr>
          <w:u w:val="single"/>
        </w:rPr>
        <w:t>New Tax</w:t>
      </w:r>
      <w:r>
        <w:rPr/>
        <w:t>”) such taxed party may declare an Early Termination Date for all transactions.  The Early Termination Date shall be effected as if a Triggering Event had occurred and the Termination Payment calculated as provided in 3 above; provided the parties shall share equally any gain or loss to either of them resulting therefrom.</w:t>
      </w:r>
    </w:p>
    <w:p>
      <w:pPr>
        <w:pStyle w:val="Normal"/>
        <w:jc w:val="both"/>
        <w:rPr/>
      </w:pPr>
      <w:r>
        <w:rPr/>
        <w:br/>
        <w:t>8.</w:t>
        <w:tab/>
      </w:r>
      <w:r>
        <w:rPr>
          <w:b/>
          <w:u w:val="single"/>
        </w:rPr>
        <w:t>Force Majeure</w:t>
      </w:r>
    </w:p>
    <w:p>
      <w:pPr>
        <w:pStyle w:val="Normal"/>
        <w:ind w:start="567" w:end="0"/>
        <w:jc w:val="both"/>
        <w:rPr/>
      </w:pPr>
      <w:r>
        <w:rPr/>
        <w:t xml:space="preserve">Except with respect to payment obligations, in the event either party is rendered unable, wholly or in part, by </w:t>
      </w:r>
      <w:r>
        <w:rPr>
          <w:u w:val="single"/>
        </w:rPr>
        <w:t>Force Majeure</w:t>
      </w:r>
      <w:r>
        <w:rPr/>
        <w:t xml:space="preserve"> to carry out its obligations, it is agreed that upon such party giving notice of such </w:t>
      </w:r>
      <w:r>
        <w:rPr>
          <w:u w:val="single"/>
        </w:rPr>
        <w:t>Force Majeure</w:t>
      </w:r>
      <w:r>
        <w:rPr/>
        <w:t xml:space="preserve"> to the other party as soon as reasonably possible (to be confirmed in writing), such party shall be relieved from liability for failure to perform its obligations hereunder from the inception and during the continuance of the </w:t>
      </w:r>
      <w:r>
        <w:rPr>
          <w:u w:val="single"/>
        </w:rPr>
        <w:t>Force Majeure</w:t>
      </w:r>
      <w:r>
        <w:rPr/>
        <w:t xml:space="preserve"> for a period of up to 60 days.  The party receiving notice of </w:t>
      </w:r>
      <w:r>
        <w:rPr>
          <w:u w:val="single"/>
        </w:rPr>
        <w:t>Force Majeure</w:t>
      </w:r>
      <w:r>
        <w:rPr/>
        <w:t xml:space="preserve"> may immediately take such action as it deems necessary at its expense for the entire 60 day period or any part thereof.  “</w:t>
      </w:r>
      <w:r>
        <w:rPr>
          <w:u w:val="single"/>
        </w:rPr>
        <w:t>Force Majeure</w:t>
      </w:r>
      <w:r>
        <w:rPr/>
        <w:t xml:space="preserve">” means an event not anticipated as of the Confirm Date, which is not within the reasonable control of the party, or in the case of third party obligations or facilities, the third party claiming suspension, and which by the use of reasonable endeavours such party, or third party, is unable to overcome or obtain a commercially reasonable substitute performance therefor and shall include an event of </w:t>
      </w:r>
      <w:r>
        <w:rPr>
          <w:u w:val="single"/>
        </w:rPr>
        <w:t>Force Majeure</w:t>
      </w:r>
      <w:r>
        <w:rPr/>
        <w:t xml:space="preserve"> occurring with respect to either party’s transporter.</w:t>
      </w:r>
    </w:p>
    <w:p>
      <w:pPr>
        <w:pStyle w:val="Normal"/>
        <w:jc w:val="both"/>
        <w:rPr/>
      </w:pPr>
      <w:r>
        <w:rPr/>
      </w:r>
    </w:p>
    <w:p>
      <w:pPr>
        <w:pStyle w:val="Normal"/>
        <w:jc w:val="both"/>
        <w:rPr/>
      </w:pPr>
      <w:r>
        <w:rPr/>
        <w:t>9.</w:t>
      </w:r>
      <w:r>
        <w:rPr>
          <w:b/>
        </w:rPr>
        <w:tab/>
      </w:r>
      <w:r>
        <w:rPr>
          <w:b/>
          <w:u w:val="single"/>
        </w:rPr>
        <w:t>Title , Risk of  Loss and  Indemnity</w:t>
      </w:r>
    </w:p>
    <w:p>
      <w:pPr>
        <w:pStyle w:val="Normal"/>
        <w:ind w:start="567" w:end="0"/>
        <w:jc w:val="both"/>
        <w:rPr/>
      </w:pPr>
      <w:r>
        <w:rPr/>
        <w:t>Seller warrants that its entitlement to gas delivered hereunder to Buyer is free from all encumbrances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and against any claims, including death of persons, arising from any act or incident occurring when entitlement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wilful misconduct or bad faith of the indemnified party.  Title to the gas scheduled and delivered hereunder shall pass to Buyer at the Delivery Point(s).  Each party shall indemnify, defend and hold harmless the other party from and against any scheduling or balancing charges imposed by either party’s transporter (as the case may be) which are incurred by either party as a result of Buyer’s failure to take delivery of gas under any transaction and applicable Confirmation, or Seller’s failure to make available a quantity of gas equal to the amount scheduled by Buyer for the relevant Day (including without limitation failure to nominate sufficient quantities of gas to the person transporting gas to the Delivery Point(s)).</w:t>
      </w:r>
    </w:p>
    <w:p>
      <w:pPr>
        <w:pStyle w:val="Normal"/>
        <w:jc w:val="both"/>
        <w:rPr/>
      </w:pPr>
      <w:r>
        <w:rPr/>
      </w:r>
    </w:p>
    <w:p>
      <w:pPr>
        <w:pStyle w:val="Normal"/>
        <w:jc w:val="both"/>
        <w:rPr/>
      </w:pPr>
      <w:r>
        <w:rPr/>
      </w:r>
    </w:p>
    <w:p>
      <w:pPr>
        <w:pStyle w:val="Normal"/>
        <w:ind w:hanging="567" w:start="567" w:end="0"/>
        <w:jc w:val="both"/>
        <w:rPr/>
      </w:pPr>
      <w:r>
        <w:rPr/>
        <w:t>10.</w:t>
      </w:r>
      <w:r>
        <w:rPr>
          <w:b/>
        </w:rPr>
        <w:tab/>
      </w:r>
      <w:r>
        <w:rPr>
          <w:b/>
          <w:u w:val="single"/>
        </w:rPr>
        <w:t>Damages/Law</w:t>
      </w:r>
      <w:r>
        <w:rPr>
          <w:u w:val="single"/>
        </w:rPr>
        <w:br/>
      </w:r>
      <w:r>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unauthorised receipt of gas by the other party.  This GTC, each transaction and the rights and duties of the parties arising therefrom shall be governed by and construed in accordance with the laws of England, and the parties hereby submit to the jurisdiction of the English courts.</w:t>
      </w:r>
    </w:p>
    <w:p>
      <w:pPr>
        <w:pStyle w:val="Normal"/>
        <w:ind w:hanging="567" w:start="567" w:end="0"/>
        <w:jc w:val="both"/>
        <w:rPr/>
      </w:pPr>
      <w:r>
        <w:rPr/>
      </w:r>
    </w:p>
    <w:p>
      <w:pPr>
        <w:pStyle w:val="Footer"/>
        <w:jc w:val="center"/>
        <w:rPr/>
      </w:pPr>
      <w:r>
        <w:rPr/>
      </w:r>
    </w:p>
    <w:sectPr>
      <w:headerReference w:type="default" r:id="rId5"/>
      <w:headerReference w:type="first" r:id="rId6"/>
      <w:footerReference w:type="default" r:id="rId7"/>
      <w:footerReference w:type="first" r:id="rId8"/>
      <w:type w:val="nextPage"/>
      <w:pgSz w:w="11906" w:h="16838"/>
      <w:pgMar w:left="1797" w:right="1797" w:gutter="0" w:header="720" w:top="1440" w:footer="720" w:bottom="1440"/>
      <w:pgNumType w:start="0" w:fmt="decimal"/>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of 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t>Confirmation No: ENG05794956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GB"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oCC">
    <w:name w:val="ToCC"/>
    <w:basedOn w:val="ToPhone"/>
    <w:qFormat/>
    <w:pPr/>
    <w:rPr>
      <w:sz w:val="20"/>
    </w:rPr>
  </w:style>
  <w:style w:type="paragraph" w:styleId="CommentText">
    <w:name w:val="Comment Text"/>
    <w:basedOn w:val="Normal"/>
    <w:qFormat/>
    <w:pPr/>
    <w:rPr>
      <w:rFonts w:ascii="CG Times" w:hAnsi="CG Times" w:cs="CG Time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2001-10-26T10:34:00Z</dcterms:created>
  <dc:creator>sbrown</dc:creator>
  <dc:description/>
  <dc:language>en-CA</dc:language>
  <cp:lastModifiedBy>adullfor</cp:lastModifiedBy>
  <cp:lastPrinted>2000-08-30T16:09:00Z</cp:lastPrinted>
  <dcterms:modified xsi:type="dcterms:W3CDTF">2001-10-26T10:34:00Z</dcterms:modified>
  <cp:revision>2</cp:revision>
  <dc:subject/>
  <dc:title>Create a cover sheet for a fax.</dc:title>
</cp:coreProperties>
</file>