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 xml:space="preserve"> </w:t>
      </w:r>
      <w:r>
        <w:rPr>
          <w:rFonts w:cs="Times New Roman" w:ascii="Times New Roman" w:hAnsi="Times New Roman"/>
          <w:spacing w:val="-3"/>
        </w:rPr>
        <w:t>December 27, 2000</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The definitions and provisions contained in the 2000 ISDA Definitions, as amended, supplemented, replaced or otherwise modified from time to time (the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rFonts w:ascii="Times New Roman" w:hAnsi="Times New Roman" w:cs="Times New Roman"/>
          <w:b/>
          <w:bCs/>
          <w:i/>
          <w:i/>
          <w:iCs/>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this Confirmation supplements, forms a part of, and is subject to such Agreement.  If Party A and Party B are not yet parties to the Agreement, Party A and Party B agree to use their best efforts promptly to negotiate, execute, and deliver the Agreement, including a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not apply.</w:t>
      </w:r>
    </w:p>
    <w:p>
      <w:pPr>
        <w:pStyle w:val="BodyTextIndent"/>
        <w:rPr>
          <w:rFonts w:ascii="Times New Roman" w:hAnsi="Times New Roman" w:cs="Times New Roman"/>
          <w:b/>
          <w:bCs/>
          <w:i/>
          <w:i/>
          <w:iCs/>
        </w:rPr>
      </w:pPr>
      <w:r>
        <w:rPr>
          <w:rFonts w:cs="Times New Roman" w:ascii="Times New Roman" w:hAnsi="Times New Roman"/>
          <w:b/>
          <w:bCs/>
          <w:i/>
          <w:iCs/>
        </w:rPr>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tab/>
        <w:t>The Agreement and each Confirmation thereunder will be governed by and construed in accordance with the laws of the State of New York, without reference to choice of law doctrine.</w:t>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tab/>
        <w:t>The provisions of Section 13(b) of the 1992 ISDA Master Agreement are hereby deleted in their entirety and inserted in lieu thereof, the following:</w:t>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tab/>
        <w:t xml:space="preserve">Jurisdiction.  With respect to any suit, action or proceedings relating to this Agreement, each party agrees that the State of Delaware shall have sole and exclusive jurisdiction over any action brought to enforce the terms of this Agreement and each party hereby consents to suits in the state and federal courts located in the State of Delaware and waives the defense of personal jurisdiction, service and venue.  </w:t>
      </w:r>
    </w:p>
    <w:p>
      <w:pPr>
        <w:pStyle w:val="Normal"/>
        <w:tabs>
          <w:tab w:val="clear" w:pos="720"/>
          <w:tab w:val="left" w:pos="-720" w:leader="none"/>
        </w:tabs>
        <w:suppressAutoHyphens w:val="true"/>
        <w:ind w:hanging="720" w:start="720" w:end="0"/>
        <w:jc w:val="both"/>
        <w:rPr>
          <w:rFonts w:ascii="Times New Roman" w:hAnsi="Times New Roman" w:cs="Times New Roman"/>
          <w:bCs/>
          <w:spacing w:val="-3"/>
        </w:rPr>
      </w:pPr>
      <w:r>
        <w:rPr>
          <w:rFonts w:cs="Times New Roman" w:ascii="Times New Roman" w:hAnsi="Times New Roman"/>
          <w:bCs/>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May 8,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May 11,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May 11,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no par value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134,071,350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1,761,200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76.125</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Settlement Date:</w:t>
        <w:tab/>
        <w:t>The Termination Date; provided, however, that if Net Share Settlement is 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Party A Payment Amount:</w:t>
        <w:tab/>
        <w:t>An amount in U.S. Dollars equal to the sum of the Aggregate Dividend Amount and any Lagging Dividend Payment 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pPr>
      <w:r>
        <w:rPr>
          <w:rFonts w:cs="Times New Roman" w:ascii="Times New Roman" w:hAnsi="Times New Roman"/>
          <w:sz w:val="24"/>
        </w:rPr>
        <w:tab/>
        <w:t>Compounding Dates:</w:t>
        <w:tab/>
        <w:t>August 11, 2000</w:t>
      </w:r>
      <w:r>
        <w:rPr>
          <w:rFonts w:cs="Times New Roman" w:ascii="Times New Roman" w:hAnsi="Times New Roman"/>
          <w:spacing w:val="-3"/>
          <w:sz w:val="24"/>
        </w:rPr>
        <w:t>, November 13, 2000, February 12, 2001 and the Termination Date subject to adjustment in accordance with the Modified Following Business Day Convention.</w:t>
      </w:r>
    </w:p>
    <w:p>
      <w:pPr>
        <w:pStyle w:val="CommentText"/>
        <w:tabs>
          <w:tab w:val="clear" w:pos="720"/>
          <w:tab w:val="left" w:pos="2160" w:leader="none"/>
          <w:tab w:val="left" w:pos="5040" w:leader="none"/>
        </w:tabs>
        <w:ind w:hanging="5040" w:start="5040" w:end="0"/>
        <w:jc w:val="both"/>
        <w:rPr>
          <w:rFonts w:ascii="Times New Roman" w:hAnsi="Times New Roman" w:cs="Times New Roman"/>
          <w:spacing w:val="-3"/>
          <w:sz w:val="24"/>
        </w:rPr>
      </w:pPr>
      <w:r>
        <w:rPr>
          <w:rFonts w:cs="Times New Roman" w:ascii="Times New Roman" w:hAnsi="Times New Roman"/>
          <w:spacing w:val="-3"/>
          <w:sz w:val="24"/>
        </w:rPr>
      </w:r>
    </w:p>
    <w:p>
      <w:pPr>
        <w:pStyle w:val="Heading6"/>
        <w:ind w:hanging="0" w:start="0" w:end="0"/>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August 11, 2000, November 13, 2000, February 12, 2001</w:t>
      </w:r>
      <w:r>
        <w:rPr>
          <w:rFonts w:cs="Times New Roman" w:ascii="Times New Roman" w:hAnsi="Times New Roman"/>
          <w:spacing w:val="-3"/>
        </w:rPr>
        <w:t xml:space="preserve">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Calculation Amount:</w:t>
        <w:tab/>
        <w:t>If 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fifteen (15) calendar days prior to the Termination Date</w:t>
      </w:r>
      <w:r>
        <w:rPr/>
        <w:t xml:space="preserve">, that Net Share Settlement (as 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Net Share Settlement is not satisfied in accordance with the terms herein 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pPr>
      <w:r>
        <w:rPr>
          <w:rFonts w:cs="Times New Roman" w:ascii="Times New Roman" w:hAnsi="Times New Roman"/>
          <w:spacing w:val="-3"/>
        </w:rPr>
        <w:t>3.2.2</w:t>
        <w:tab/>
        <w:t>If the number of Shares sold (the “</w:t>
      </w:r>
      <w:r>
        <w:rPr>
          <w:rFonts w:cs="Times New Roman" w:ascii="Times New Roman" w:hAnsi="Times New Roman"/>
          <w:b/>
          <w:bCs/>
          <w:spacing w:val="-3"/>
          <w:u w:val="single"/>
        </w:rPr>
        <w:t>Shares Sold</w:t>
      </w:r>
      <w:r>
        <w:rPr>
          <w:rFonts w:cs="Times New Roman" w:ascii="Times New Roman" w:hAnsi="Times New Roman"/>
          <w:spacing w:val="-3"/>
        </w:rPr>
        <w:t xml:space="preserve">”) 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deliver to Party B on the Settlement Date a number of Shares equal to the excess of the Number of Shares over the Shares Sold.  On the Settlement Date, the Selling Agent shall also deliver to Party B a sum in U.S. Dollars equal to the amount, if any, by which the Net Proceeds from the sale of the Shares Sold exceeds the </w:t>
      </w:r>
      <w:r>
        <w:rPr>
          <w:rFonts w:cs="Times New Roman" w:ascii="Times New Roman" w:hAnsi="Times New Roman"/>
        </w:rPr>
        <w:t>Party B Payment</w:t>
      </w:r>
      <w:r>
        <w:rPr>
          <w:rFonts w:cs="Times New Roman" w:ascii="Times New Roman" w:hAnsi="Times New Roman"/>
          <w:spacing w:val="-3"/>
        </w:rPr>
        <w:t xml:space="preserve"> Amount.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pPr>
      <w:r>
        <w:rPr>
          <w:rFonts w:cs="Times New Roman" w:ascii="Times New Roman" w:hAnsi="Times New Roman"/>
          <w:spacing w:val="-3"/>
        </w:rPr>
        <w:t>3.3</w:t>
        <w:tab/>
        <w:t xml:space="preserve">If the Shares Sold pursuant to Section 3.2 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w:t>
      </w:r>
      <w:r>
        <w:rPr/>
        <w:t>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amount by which the Party B Payment Amount exceeds Net Proceeds (the “Shortfall”).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3.4</w:t>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3.5</w:t>
        <w:tab/>
        <w:t>If Party B elects 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If Party B elects 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by which the Shares to be sold (including any Hedge Shares (as defined below)) in respect of this Transaction 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that in Party A’s judgment (or in the opinion of Party A’s counsel) it holds Shares acquired in connection either with its hedge or with the Net Share Settlement that, if resold by Party A, would require registration of such sales (any such Shares, the “</w:t>
      </w:r>
      <w:r>
        <w:rPr>
          <w:rFonts w:cs="Times New Roman" w:ascii="Times New Roman" w:hAnsi="Times New Roman"/>
          <w:b/>
          <w:bCs/>
          <w:u w:val="single"/>
        </w:rPr>
        <w:t>Resale 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Resale 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conditions of Section 4.3.1 have been met, it agrees to comply with the reasonable requests of Party A, the Selling Agent, any placement agent, if any, and any purchaser of the Shares. If Party B has elected an Exempt Offering and the conditions of Section 4.3.1 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shall owe Party A any amount either (i) pursuant to Section 9.7 of the Equity Definitions (except in the event of a Nationalization, a Merger Event in which the merger consideration to be paid to holders of Shares consists solely of cash or an Insolvency) or (ii) pursuant to Section 6 of the Agreement following the occurrence of an Event of Default by virtue of Bankruptcy with respect to which Party B is the Defaulting Party or the occurrence of a Termination Event with respect to which Party B is the Affected Party (in the case of either (i) or (ii) above, a “</w:t>
      </w:r>
      <w:r>
        <w:rPr>
          <w:rFonts w:cs="Times New Roman" w:ascii="Times New Roman" w:hAnsi="Times New Roman"/>
          <w:b/>
          <w:bCs/>
          <w:u w:val="single"/>
        </w:rPr>
        <w:t>Payment Obligation</w:t>
      </w:r>
      <w:r>
        <w:rPr>
          <w:rFonts w:cs="Times New Roman" w:ascii="Times New Roman" w:hAnsi="Times New Roman"/>
        </w:rPr>
        <w:t>”), then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makes such election, the terms of the provisions entitled “Net Share Settlement”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avoidance of doubt, the occurrence of an Event of Default with respect to which Party B is not the Defaulting Party or which is not by virtue of Bankruptcy shall not the subject to the terms of this </w:t>
      </w:r>
      <w:r>
        <w:rPr>
          <w:rFonts w:cs="Times New Roman" w:ascii="Times New Roman" w:hAnsi="Times New Roman"/>
          <w:i/>
          <w:iCs/>
        </w:rPr>
        <w:t>Discharge of certain payment obligations</w:t>
      </w:r>
      <w:r>
        <w:rPr>
          <w:rFonts w:cs="Times New Roman" w:ascii="Times New Roman" w:hAnsi="Times New Roman"/>
        </w:rPr>
        <w:t xml:space="preserve"> provision.</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6,164,200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spacing w:val="-2"/>
        </w:rPr>
      </w:pPr>
      <w:r>
        <w:rPr>
          <w:spacing w:val="-2"/>
        </w:rPr>
        <w:t>If at any time during the term of the Transaction, the Share Price drops below USD 50.00 for two (2) consecutive Exchange Business Days.</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9.1</w:t>
        <w:tab/>
        <w:t>Registration Notification:</w:t>
        <w:tab/>
        <w:t>Party B agrees that subsequent to the Effective Date it will not file any registration statement, amend a previously filed registration statement or commence any of the actions set forth in Appendix A attached hereto with respect to any Shares that may be sold in connection with 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the Selling Agent sells any Shares acquired pursuant to this Transaction in 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The period commencing on the Termination Date, and continuing until the completion of any sales of Shares and deliveries related thereto required for 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t>10.1</w:t>
        <w:tab/>
        <w:t>Party B Representation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purchase or sell Shares in compliance with applicable federal securities laws.  Party B hereby represents and warrants to Party A that, 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B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rPr>
      </w:pPr>
      <w:r>
        <w:rPr>
          <w:rFonts w:cs="Times New Roman" w:ascii="Times New Roman" w:hAnsi="Times New Roman"/>
        </w:rPr>
        <w:tab/>
        <w:t xml:space="preserve"> In connection with any claim made by a party against another party hereunder, the claiming party shall be entitled to specifically enforce the terms of this Confirmation, and recover the costs and expenses incurred by prevailing claiming party in investigating, preparing and prosecuting the claim.  Damages, if any, shall include only actual and direct damages, and shall not include damages for loss of profits or special, punitive, exemplary, indirect, or exemplary damages, however expressed, whether based on statute or in tort, contract or otherwise.  The provisions of this Section 10.4 shall in no manner apply to limit the indemnity provisions as used in Section 4.3.2 (it being understood that actual and direct damages suffered by Party A include amounts paid in respect of a third party claim, regardless of the nature of the damages claimed by the third party).</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rPr>
      </w:pPr>
      <w:r>
        <w:rPr>
          <w:rFonts w:cs="Times New Roman" w:ascii="Times New Roman" w:hAnsi="Times New Roman"/>
          <w:b/>
          <w:bCs/>
          <w:i/>
          <w:iCs/>
        </w:rPr>
      </w:r>
    </w:p>
    <w:p>
      <w:pPr>
        <w:pStyle w:val="BodyTextIndent"/>
        <w:tabs>
          <w:tab w:val="clear" w:pos="0"/>
          <w:tab w:val="left" w:pos="-1440" w:leader="none"/>
          <w:tab w:val="left" w:pos="-720" w:leader="none"/>
          <w:tab w:val="left" w:pos="720" w:leader="none"/>
        </w:tabs>
        <w:ind w:hanging="0" w:start="720" w:end="0"/>
        <w:rPr>
          <w:rFonts w:ascii="Times New Roman" w:hAnsi="Times New Roman" w:cs="Times New Roman"/>
        </w:rPr>
      </w:pPr>
      <w:r>
        <w:rPr>
          <w:rFonts w:cs="Times New Roman" w:ascii="Times New Roman" w:hAnsi="Times New Roman"/>
        </w:rPr>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10.6</w:t>
        <w:tab/>
        <w:t>Additional Agreement of Party A:</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A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the 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Unless otherwise agreed in writing by Party A and Party B with respect to specific sales of Shares by the Selling Agent or specific Shares to be delivered to the Selling Agent by Party B, the provisions of this Appendix A shall apply as a Condition Precedent to all sales of Shares in respect of this Transaction in satisfaction of a delivery of Shares pursuant to 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Party B will have provided Party A and its underwriter(s), if any, and their respective counsel and accountants, with (i) 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prior to the first day of such Sale Period, (ii) copies of all such Filed Materials (and all documents incorporated therein by reference) sufficiently in advance of filing to provide them with a reasonable opportunity to review such documents and comment thereon, (iii) 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the financial statements of  Party B filed with the Commission.  In addition, Party B shall (x) include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(y) if requested by Party A, delete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956" w:footer="720" w:bottom="144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jc w:val="center"/>
      <w:rPr>
        <w:rStyle w:val="PageNumber"/>
      </w:rPr>
    </w:pPr>
    <w:r>
      <w:rPr/>
    </w:r>
  </w:p>
  <w:p>
    <w:pPr>
      <w:pStyle w:val="Footer"/>
      <w:rPr/>
    </w:pPr>
    <w:r>
      <w:rPr>
        <w:rStyle w:val="PageNumber"/>
        <w:sz w:val="16"/>
      </w:rPr>
      <w:t>Ref No.</w:t>
    </w:r>
  </w:p>
  <w:p>
    <w:pPr>
      <w:pStyle w:val="Footer"/>
      <w:rPr/>
    </w:pPr>
    <w:r>
      <w:rPr>
        <w:rStyle w:val="PageNumber"/>
        <w:sz w:val="16"/>
      </w:rPr>
      <w:t>TCN:</w: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/mnt/main-storage/datasets/enron-docs/doc/Fwd__12_27Trade2_.doc</w:t>
    </w:r>
    <w:r>
      <w:rPr>
        <w:rStyle w:val="PageNumber"/>
        <w:sz w:val="16"/>
      </w:rPr>
      <w:fldChar w:fldCharType="end"/>
    </w:r>
  </w:p>
  <w:p>
    <w:pPr>
      <w:pStyle w:val="Normal"/>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s>
      <w:ind w:start="4080" w:end="0"/>
      <w:rPr/>
    </w:pPr>
    <w:r>
      <w:rPr/>
      <w:drawing>
        <wp:inline distT="0" distB="0" distL="0" distR="0">
          <wp:extent cx="1676400"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r>
      <w:rPr>
        <w:sz w:val="16"/>
      </w:rPr>
      <w:t>CREDIT SUISSE FIRST BOSTON CORPORATION</w:t>
    </w:r>
  </w:p>
  <w:p>
    <w:pPr>
      <w:pStyle w:val="Header"/>
      <w:ind w:start="4080" w:end="0"/>
      <w:rPr>
        <w:sz w:val="16"/>
      </w:rPr>
    </w:pPr>
    <w:r>
      <w:rPr>
        <w:sz w:val="16"/>
      </w:rPr>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2000-12-27T20:35:00Z</dcterms:created>
  <dc:creator>Michael W. Emerson</dc:creator>
  <dc:description/>
  <dc:language>en-CA</dc:language>
  <cp:lastModifiedBy>maria chiodi</cp:lastModifiedBy>
  <cp:lastPrinted>2000-12-27T18:36:00Z</cp:lastPrinted>
  <dcterms:modified xsi:type="dcterms:W3CDTF">2000-12-27T21:06:00Z</dcterms:modified>
  <cp:revision>4</cp:revision>
  <dc:subject/>
  <dc:title>OTC Euro Opt (Single); Phys Set - Exchange-Rel Adj. [Telex/Fax ISDA: FBC]</dc:title>
</cp:coreProperties>
</file>