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noteText"/>
        <w:rPr/>
      </w:pPr>
      <w:r>
        <w:rPr/>
      </w:r>
    </w:p>
    <w:p>
      <w:pPr>
        <w:pStyle w:val="FootnoteText"/>
        <w:rPr/>
      </w:pPr>
      <w:r>
        <w:rPr/>
        <w:t>October 28, 1999</w:t>
      </w:r>
    </w:p>
    <w:p>
      <w:pPr>
        <w:pStyle w:val="FootnoteText"/>
        <w:rPr/>
      </w:pPr>
      <w:r>
        <w:rPr/>
      </w:r>
    </w:p>
    <w:p>
      <w:pPr>
        <w:pStyle w:val="FootnoteText"/>
        <w:rPr/>
      </w:pPr>
      <w:r>
        <w:rPr/>
        <w:t>Enron North America Corporation</w:t>
      </w:r>
    </w:p>
    <w:p>
      <w:pPr>
        <w:pStyle w:val="FootnoteText"/>
        <w:rPr/>
      </w:pPr>
      <w:r>
        <w:rPr/>
        <w:t>Ms. Janet Wallis</w:t>
      </w:r>
    </w:p>
    <w:p>
      <w:pPr>
        <w:pStyle w:val="FootnoteText"/>
        <w:rPr/>
      </w:pPr>
      <w:r>
        <w:rPr/>
        <w:t>Director</w:t>
      </w:r>
    </w:p>
    <w:p>
      <w:pPr>
        <w:pStyle w:val="FootnoteText"/>
        <w:rPr/>
      </w:pPr>
      <w:r>
        <w:rPr/>
        <w:t>1400 Smith Street</w:t>
      </w:r>
    </w:p>
    <w:p>
      <w:pPr>
        <w:pStyle w:val="FootnoteText"/>
        <w:rPr/>
      </w:pPr>
      <w:r>
        <w:rPr/>
        <w:t>Houston, TX 77002-7361</w:t>
      </w:r>
    </w:p>
    <w:p>
      <w:pPr>
        <w:pStyle w:val="FootnoteText"/>
        <w:rPr/>
      </w:pPr>
      <w:r>
        <w:rPr/>
        <w:t>713/853-5388</w:t>
      </w:r>
    </w:p>
    <w:p>
      <w:pPr>
        <w:pStyle w:val="FootnoteText"/>
        <w:rPr/>
      </w:pPr>
      <w:hyperlink r:id="rId2">
        <w:r>
          <w:rPr>
            <w:rStyle w:val="Hyperlink"/>
          </w:rPr>
          <w:t>janet.h.wallis@enron.com</w:t>
        </w:r>
      </w:hyperlink>
    </w:p>
    <w:p>
      <w:pPr>
        <w:pStyle w:val="FootnoteText"/>
        <w:rPr/>
      </w:pPr>
      <w:r>
        <w:rPr/>
      </w:r>
    </w:p>
    <w:p>
      <w:pPr>
        <w:pStyle w:val="FootnoteText"/>
        <w:rPr/>
      </w:pPr>
      <w:r>
        <w:rPr/>
      </w:r>
    </w:p>
    <w:p>
      <w:pPr>
        <w:pStyle w:val="Normal"/>
        <w:rPr/>
      </w:pPr>
      <w:r>
        <w:rPr/>
        <w:t>Dear Janet:</w:t>
      </w:r>
    </w:p>
    <w:p>
      <w:pPr>
        <w:pStyle w:val="Normal"/>
        <w:rPr/>
      </w:pPr>
      <w:r>
        <w:rPr/>
      </w:r>
    </w:p>
    <w:p>
      <w:pPr>
        <w:pStyle w:val="Normal"/>
        <w:rPr/>
      </w:pPr>
      <w:r>
        <w:rPr/>
        <w:t>The Public Utility Commission of Texas and various affected parties are working to implement electric utility restructuring in Texas, pursuant to Senate Bill 7 as enacted by the Texas Legislature and signed into law by Governor George Bush in June of this year.  A part of this effort requires that a market-based forward price curve for natural gas be obtained simultaneously and independently from several reliable sources.  Your firm has been identified by various utilities, industrials, and other concerned entities within Texas as a leader in providing energy-based risk management services and as a reputable source of such information.  We have been asked by the Public Utility Commission of Texas to assist in this process and the purpose of this letter is to request your help.</w:t>
      </w:r>
    </w:p>
    <w:p>
      <w:pPr>
        <w:pStyle w:val="Normal"/>
        <w:rPr/>
      </w:pPr>
      <w:r>
        <w:rPr/>
      </w:r>
    </w:p>
    <w:p>
      <w:pPr>
        <w:pStyle w:val="Normal"/>
        <w:rPr/>
      </w:pPr>
      <w:r>
        <w:rPr/>
        <w:t>Specifically, we are requesting you to provide us with your best assessment of Houston Ship Channel fixed forward prices, by year, for each of the 10 years beginning in 2000 (i.e., separate and distinct prices for 2000, 2001, 2002, etc. . . . through 2009).  We need both your bid and offer prices for 10,000 MMBtu/day, by year, for settlement against the Houston Ship Channel Index Price as published monthly in Inside F.E.R.C.’s Gas Market Report.  It is important for our purposes that the annual forward quotes you provide reflect your assessment based on the NYMEX closing prices for Tuesday, November 2, 1999.  The information that you provide will be kept confidential for 48 hours.  After this time, the information provided by you and the other participants can be obtained on request to Larry D. Reed, at the Public Utility Commission of Texas, at the address shown below.</w:t>
      </w:r>
    </w:p>
    <w:p>
      <w:pPr>
        <w:pStyle w:val="Normal"/>
        <w:rPr/>
      </w:pPr>
      <w:r>
        <w:rPr/>
      </w:r>
    </w:p>
    <w:p>
      <w:pPr>
        <w:pStyle w:val="Normal"/>
        <w:rPr/>
      </w:pPr>
      <w:r>
        <w:rPr/>
        <w:t xml:space="preserve">In addition, you and/or another person from your company will be receiving a similar letter from another party in the process requesting the same information.  It is important that you respond to both requests separately and that your quotes be attached to this document in the form provided on page two.  Upon completion, please email this document back to me at </w:t>
      </w:r>
      <w:hyperlink r:id="rId3">
        <w:r>
          <w:rPr>
            <w:rStyle w:val="Hyperlink"/>
          </w:rPr>
          <w:t>scraig@csw.com</w:t>
        </w:r>
      </w:hyperlink>
      <w:r>
        <w:rPr/>
        <w:t xml:space="preserve"> and to Larry D. Reed, Senior Fuel Analyst at the Public Utility Commission of Texas at </w:t>
      </w:r>
      <w:hyperlink r:id="rId4">
        <w:r>
          <w:rPr>
            <w:rStyle w:val="Hyperlink"/>
          </w:rPr>
          <w:t>larry.reed@puc.state.tx.us</w:t>
        </w:r>
      </w:hyperlink>
      <w:r>
        <w:rPr/>
        <w:t>.  We would appreciate your response by Wednesday, November 3, 1999.  If you have questions or find that your company does not wish to participate in this process, please respond via email to Larry Reed and me.  Thank you for your help in this process.</w:t>
      </w:r>
    </w:p>
    <w:p>
      <w:pPr>
        <w:pStyle w:val="Normal"/>
        <w:rPr/>
      </w:pPr>
      <w:r>
        <w:rPr/>
      </w:r>
    </w:p>
    <w:p>
      <w:pPr>
        <w:pStyle w:val="FootnoteText"/>
        <w:rPr/>
      </w:pPr>
      <w:r>
        <w:rPr/>
        <w:t>Sincerely,</w:t>
      </w:r>
    </w:p>
    <w:p>
      <w:pPr>
        <w:pStyle w:val="Normal"/>
        <w:rPr/>
      </w:pPr>
      <w:r>
        <w:rPr/>
      </w:r>
    </w:p>
    <w:p>
      <w:pPr>
        <w:pStyle w:val="Normal"/>
        <w:rPr/>
      </w:pPr>
      <w:r>
        <w:rPr/>
        <w:t>Steve Craig</w:t>
      </w:r>
    </w:p>
    <w:p>
      <w:pPr>
        <w:pStyle w:val="Normal"/>
        <w:rPr/>
      </w:pPr>
      <w:r>
        <w:rPr/>
        <w:t>Central and South West Services, Inc.</w:t>
      </w:r>
    </w:p>
    <w:p>
      <w:pPr>
        <w:pStyle w:val="Normal"/>
        <w:rPr/>
      </w:pPr>
      <w:r>
        <w:rPr/>
        <w:t>1616 Woodall Rodgers Freeway</w:t>
      </w:r>
    </w:p>
    <w:p>
      <w:pPr>
        <w:pStyle w:val="Normal"/>
        <w:rPr/>
      </w:pPr>
      <w:r>
        <w:rPr/>
        <w:t>Dallas, TX 75202</w:t>
      </w:r>
    </w:p>
    <w:p>
      <w:pPr>
        <w:pStyle w:val="Normal"/>
        <w:rPr/>
      </w:pPr>
      <w:r>
        <w:rPr/>
      </w:r>
    </w:p>
    <w:p>
      <w:pPr>
        <w:pStyle w:val="Normal"/>
        <w:rPr/>
      </w:pPr>
      <w:r>
        <w:rPr/>
      </w:r>
    </w:p>
    <w:p>
      <w:pPr>
        <w:pStyle w:val="Normal"/>
        <w:rPr/>
      </w:pPr>
      <w:r>
        <w:rPr/>
        <w:t>cc: Mr. Larry D. Reed</w:t>
      </w:r>
    </w:p>
    <w:p>
      <w:pPr>
        <w:pStyle w:val="Normal"/>
        <w:rPr/>
      </w:pPr>
      <w:r>
        <w:rPr/>
        <w:t>Senior Fuel Analyst, Electric Industry Analysis Division</w:t>
      </w:r>
    </w:p>
    <w:p>
      <w:pPr>
        <w:pStyle w:val="Normal"/>
        <w:rPr/>
      </w:pPr>
      <w:r>
        <w:rPr/>
        <w:t>Office of Regulatory Affairs</w:t>
      </w:r>
    </w:p>
    <w:p>
      <w:pPr>
        <w:pStyle w:val="Normal"/>
        <w:rPr/>
      </w:pPr>
      <w:r>
        <w:rPr/>
        <w:t>Public Utility Commission of Texas</w:t>
      </w:r>
    </w:p>
    <w:p>
      <w:pPr>
        <w:pStyle w:val="Normal"/>
        <w:rPr/>
      </w:pPr>
      <w:r>
        <w:rPr/>
        <w:t>P.O. Box 13326</w:t>
      </w:r>
    </w:p>
    <w:p>
      <w:pPr>
        <w:pStyle w:val="Normal"/>
        <w:rPr/>
      </w:pPr>
      <w:r>
        <w:rPr/>
        <w:t>Austin, TX  78711-3326</w:t>
      </w:r>
    </w:p>
    <w:p>
      <w:pPr>
        <w:pStyle w:val="Normal"/>
        <w:rPr/>
      </w:pPr>
      <w:r>
        <w:rPr/>
      </w:r>
    </w:p>
    <w:p>
      <w:pPr>
        <w:pStyle w:val="FootnoteText"/>
        <w:rPr/>
      </w:pPr>
      <w:r>
        <w:rPr/>
      </w:r>
    </w:p>
    <w:p>
      <w:pPr>
        <w:pStyle w:val="Normal"/>
        <w:rPr/>
      </w:pPr>
      <w:r>
        <w:rPr/>
      </w:r>
    </w:p>
    <w:p>
      <w:pPr>
        <w:pStyle w:val="Normal"/>
        <w:jc w:val="center"/>
        <w:rPr>
          <w:b/>
          <w:sz w:val="24"/>
        </w:rPr>
      </w:pPr>
      <w:r>
        <w:rPr>
          <w:b/>
          <w:sz w:val="24"/>
        </w:rPr>
        <w:t>HOUSTON SHIP CHANNEL FORWARD MARKET PRICE QUOTES</w:t>
      </w:r>
    </w:p>
    <w:p>
      <w:pPr>
        <w:pStyle w:val="Normal"/>
        <w:jc w:val="center"/>
        <w:rPr>
          <w:b/>
          <w:sz w:val="24"/>
        </w:rPr>
      </w:pPr>
      <w:r>
        <w:rPr>
          <w:b/>
          <w:sz w:val="24"/>
        </w:rPr>
        <w:t>AS OF THE CLOSE OF BUSINESS ON NOVEMBER 2, 1999</w:t>
      </w:r>
    </w:p>
    <w:p>
      <w:pPr>
        <w:pStyle w:val="Normal"/>
        <w:rPr>
          <w:b/>
          <w:sz w:val="24"/>
        </w:rPr>
      </w:pPr>
      <w:r>
        <w:rPr>
          <w:b/>
          <w:sz w:val="24"/>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t>BID</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t>OFFER</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t>2000</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t>2001</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t>2002</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t>2003</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t>2004</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t>2005</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t>2006</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t>2007</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t>2008</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t>2009</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r>
          </w:p>
        </w:tc>
      </w:tr>
    </w:tbl>
    <w:p>
      <w:pPr>
        <w:pStyle w:val="Normal"/>
        <w:rPr/>
      </w:pPr>
      <w:r>
        <w:rPr/>
      </w:r>
    </w:p>
    <w:sectPr>
      <w:headerReference w:type="default" r:id="rId5"/>
      <w:footerReference w:type="default" r:id="rId6"/>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Natural Gas Price Subgroup</w:t>
    </w:r>
  </w:p>
  <w:p>
    <w:pPr>
      <w:pStyle w:val="Header"/>
      <w:rPr/>
    </w:pPr>
    <w:r>
      <w:rPr/>
      <w:tab/>
      <w:t>Issues and Resolution</w:t>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anet.h.wallis@enron.com" TargetMode="External"/><Relationship Id="rId3" Type="http://schemas.openxmlformats.org/officeDocument/2006/relationships/hyperlink" Target="mailto:Scraig@EXCHANGE.CSW.COM" TargetMode="External"/><Relationship Id="rId4" Type="http://schemas.openxmlformats.org/officeDocument/2006/relationships/hyperlink" Target="mailto:larry.reed@puc.state.tx.us"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1999-10-26T14:09:00Z</dcterms:created>
  <dc:creator>lreed</dc:creator>
  <dc:description/>
  <dc:language>en-CA</dc:language>
  <cp:lastModifiedBy>Steve Craig</cp:lastModifiedBy>
  <cp:lastPrinted>1999-10-26T12:34:00Z</cp:lastPrinted>
  <dcterms:modified xsi:type="dcterms:W3CDTF">1999-10-26T16:10:00Z</dcterms:modified>
  <cp:revision>7</cp:revision>
  <dc:subject/>
  <dc:title>ISSUE:  What is a “market-based natural gas forward price,” as used in Sec</dc:title>
</cp:coreProperties>
</file>