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t>Draft</w:t>
      </w:r>
    </w:p>
    <w:p>
      <w:pPr>
        <w:pStyle w:val="Heading9"/>
        <w:ind w:hanging="0" w:start="0"/>
        <w:rPr/>
      </w:pPr>
      <w:r>
        <w:rPr/>
        <w:t xml:space="preserve">December 20, 2000 </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b/>
          <w:smallCaps/>
        </w:rPr>
        <w:t>Subject to review by CSFBi</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[Date]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The definitions and provisions contained in the 2000 ISDA Definitions, as amended, supplemented, replaced or otherwise modified from time to time (the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this Confirmation supplements, forms a part of, and is subject to such Agreement.  If Party A and Party B are not yet parties to the Agreement, Party A and Party B agree to use their best efforts promptly to negotiate, execute, and deliver the Agreement, including a 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w:t>
      </w:r>
      <w:ins w:id="0" w:author="VE" w:date="2000-12-18T16:25:00Z">
        <w:r>
          <w:rPr>
            <w:rFonts w:cs="Times New Roman" w:ascii="Times New Roman" w:hAnsi="Times New Roman"/>
          </w:rPr>
          <w:t xml:space="preserve">not </w:t>
        </w:r>
      </w:ins>
      <w:r>
        <w:rPr>
          <w:rFonts w:cs="Times New Roman" w:ascii="Times New Roman" w:hAnsi="Times New Roman"/>
        </w:rPr>
        <w:t>apply</w:t>
      </w:r>
      <w:del w:id="1" w:author="VE" w:date="2000-12-18T16:25:00Z">
        <w:r>
          <w:rPr>
            <w:rFonts w:cs="Times New Roman" w:ascii="Times New Roman" w:hAnsi="Times New Roman"/>
          </w:rPr>
          <w:delText xml:space="preserve">, subject to the terms of the </w:delText>
        </w:r>
      </w:del>
      <w:del w:id="2" w:author="VE" w:date="2000-12-18T16:25:00Z">
        <w:r>
          <w:rPr>
            <w:rFonts w:cs="Times New Roman" w:ascii="Times New Roman" w:hAnsi="Times New Roman"/>
            <w:i/>
            <w:iCs/>
          </w:rPr>
          <w:delText>Discharge of certain payment obligations</w:delText>
        </w:r>
      </w:del>
      <w:del w:id="3" w:author="VE" w:date="2000-12-18T16:25:00Z">
        <w:r>
          <w:rPr>
            <w:rFonts w:cs="Times New Roman" w:ascii="Times New Roman" w:hAnsi="Times New Roman"/>
          </w:rPr>
          <w:delText xml:space="preserve"> provision below</w:delText>
        </w:r>
      </w:del>
      <w:r>
        <w:rPr>
          <w:rFonts w:cs="Times New Roman" w:ascii="Times New Roman" w:hAnsi="Times New Roman"/>
        </w:rPr>
        <w:t xml:space="preserve">.] </w:t>
      </w:r>
      <w:r>
        <w:rPr>
          <w:rFonts w:cs="Times New Roman" w:ascii="Times New Roman" w:hAnsi="Times New Roman"/>
          <w:b/>
          <w:bCs/>
        </w:rPr>
        <w:t>[</w:t>
      </w:r>
      <w:r>
        <w:rPr>
          <w:rFonts w:cs="Times New Roman" w:ascii="Times New Roman" w:hAnsi="Times New Roman"/>
          <w:b/>
          <w:bCs/>
          <w:i/>
          <w:iCs/>
        </w:rPr>
        <w:t>to be discussed]</w:t>
      </w:r>
    </w:p>
    <w:p>
      <w:pPr>
        <w:pStyle w:val="BodyTextIndent"/>
        <w:rPr>
          <w:rFonts w:ascii="Times New Roman" w:hAnsi="Times New Roman" w:cs="Times New Roman"/>
          <w:b/>
          <w:bCs/>
          <w:i/>
          <w:i/>
          <w:iCs/>
        </w:rPr>
      </w:pPr>
      <w:r>
        <w:rPr>
          <w:rFonts w:cs="Times New Roman" w:ascii="Times New Roman" w:hAnsi="Times New Roman"/>
          <w:b/>
          <w:bCs/>
          <w:i/>
          <w:iCs/>
        </w:rPr>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tab/>
        <w:t>The Agreement and each Confirmation thereunder will be governed by and construed in accordance with the laws of the State of New York, without reference to choice of law doctrine.</w:t>
      </w:r>
    </w:p>
    <w:p>
      <w:pPr>
        <w:pStyle w:val="Normal"/>
        <w:tabs>
          <w:tab w:val="clear" w:pos="720"/>
          <w:tab w:val="left" w:pos="-720" w:leader="none"/>
        </w:tabs>
        <w:suppressAutoHyphens w:val="true"/>
        <w:ind w:hanging="720" w:start="720" w:end="0"/>
        <w:jc w:val="both"/>
        <w:rPr>
          <w:rFonts w:ascii="Times New Roman" w:hAnsi="Times New Roman" w:cs="Times New Roman"/>
          <w:bCs/>
          <w:spacing w:val="-3"/>
        </w:rPr>
      </w:pPr>
      <w:r>
        <w:rPr>
          <w:rFonts w:cs="Times New Roman" w:ascii="Times New Roman" w:hAnsi="Times New Roman"/>
          <w:bCs/>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August 4,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August 9,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August 9,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no par value (Bloomberg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59,250,000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750,000 Shares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79.00</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Settlement Date:</w:t>
        <w:tab/>
        <w:t>The Termination Date; provided, however, that if Net Share Settlement is 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Party A Payment Amount:</w:t>
        <w:tab/>
        <w:t>An amount in U.S. Dollars equal to the sum of the Aggregate Dividend Amount and any Lagging Dividend Payment 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Compounding Dates:</w:t>
        <w:tab/>
        <w:t>November 9, 2000</w:t>
      </w:r>
      <w:r>
        <w:rPr>
          <w:rFonts w:cs="Times New Roman" w:ascii="Times New Roman" w:hAnsi="Times New Roman"/>
          <w:spacing w:val="-3"/>
          <w:sz w:val="24"/>
        </w:rPr>
        <w:t>, February 2, 2001, May 9, 2001 and the Termination Date subject to adjustment in accordance with the Modified Following Business Day Convention.</w:t>
      </w:r>
    </w:p>
    <w:p>
      <w:pPr>
        <w:pStyle w:val="Heading6"/>
        <w:ind w:hanging="0" w:start="0" w:end="0"/>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 w:ascii="CG Times" w:hAnsi="CG Times"/>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 w:hAnsi="CG Times" w:cs="CG Times"/>
          <w:lang w:val="en-GB"/>
        </w:rPr>
      </w:pPr>
      <w:r>
        <w:rPr>
          <w:rFonts w:cs="CG Times" w:ascii="CG Times" w:hAnsi="CG Times"/>
          <w:lang w:val="en-GB"/>
        </w:rPr>
        <w:tab/>
        <w:t>Compounding:</w:t>
        <w:tab/>
        <w:t>Applicable</w:t>
      </w:r>
    </w:p>
    <w:p>
      <w:pPr>
        <w:pStyle w:val="Normal"/>
        <w:tabs>
          <w:tab w:val="clear" w:pos="720"/>
          <w:tab w:val="left" w:pos="1440" w:leader="none"/>
          <w:tab w:val="left" w:pos="4320" w:leader="none"/>
        </w:tabs>
        <w:rPr>
          <w:rFonts w:ascii="CG Times" w:hAnsi="CG Times" w:cs="CG Times"/>
          <w:lang w:val="en-GB"/>
        </w:rPr>
      </w:pPr>
      <w:r>
        <w:rPr>
          <w:rFonts w:cs="CG Times"/>
          <w:lang w:val="en-GB"/>
        </w:rPr>
      </w:r>
    </w:p>
    <w:p>
      <w:pPr>
        <w:pStyle w:val="Normal"/>
        <w:tabs>
          <w:tab w:val="clear" w:pos="720"/>
          <w:tab w:val="left" w:pos="1440" w:leader="none"/>
          <w:tab w:val="left" w:pos="4320" w:leader="none"/>
        </w:tabs>
        <w:ind w:hanging="4320" w:start="4320" w:end="0"/>
        <w:jc w:val="both"/>
        <w:rPr/>
      </w:pPr>
      <w:r>
        <w:rPr/>
        <w:tab/>
        <w:t>Compounding Dates:</w:t>
        <w:tab/>
        <w:t>November 9, 2000, February 2, 2001, May 9, 2001</w:t>
      </w:r>
      <w:r>
        <w:rPr>
          <w:rFonts w:cs="Times New Roman" w:ascii="Times New Roman" w:hAnsi="Times New Roman"/>
          <w:spacing w:val="-3"/>
        </w:rPr>
        <w:t xml:space="preserve">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Calculation Amount:</w:t>
        <w:tab/>
        <w:t>If 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Party B may elect, by giving notice in writing to Party A (given through the Arranging Agent) on any Exchange Business Day on or prior to the date which is not less than fifteen (15) calendar days prior to the Termination Date</w:t>
      </w:r>
      <w:r>
        <w:rPr/>
        <w:t xml:space="preserve">, that Net Share Settlement (as 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Net Share Settlement is not satisfied in accordance with the terms herein 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pPr>
      <w:r>
        <w:rPr>
          <w:rFonts w:cs="Times New Roman" w:ascii="Times New Roman" w:hAnsi="Times New Roman"/>
          <w:spacing w:val="-3"/>
        </w:rPr>
        <w:t>3.2.2</w:t>
        <w:tab/>
        <w:t>If the number of Shares sold (the “</w:t>
      </w:r>
      <w:r>
        <w:rPr>
          <w:rFonts w:cs="Times New Roman" w:ascii="Times New Roman" w:hAnsi="Times New Roman"/>
          <w:b/>
          <w:bCs/>
          <w:spacing w:val="-3"/>
          <w:u w:val="single"/>
        </w:rPr>
        <w:t>Shares Sold</w:t>
      </w:r>
      <w:r>
        <w:rPr>
          <w:rFonts w:cs="Times New Roman" w:ascii="Times New Roman" w:hAnsi="Times New Roman"/>
          <w:spacing w:val="-3"/>
        </w:rPr>
        <w:t xml:space="preserve">”) 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deliver to Party B on the Settlement Date a number of Shares equal to the excess of the Number of Shares over the Shares Sold.  On the Settlement Date, the Selling Agent shall also deliver to Party B a sum in U.S. Dollars equal to the amount, if any, by which the Net Proceeds from the sale of the Shares Sold exceeds the </w:t>
      </w:r>
      <w:r>
        <w:rPr>
          <w:rFonts w:cs="Times New Roman" w:ascii="Times New Roman" w:hAnsi="Times New Roman"/>
        </w:rPr>
        <w:t>Party B Payment</w:t>
      </w:r>
      <w:r>
        <w:rPr>
          <w:rFonts w:cs="Times New Roman" w:ascii="Times New Roman" w:hAnsi="Times New Roman"/>
          <w:spacing w:val="-3"/>
        </w:rPr>
        <w:t xml:space="preserve"> Amount.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pPr>
      <w:r>
        <w:rPr>
          <w:rFonts w:cs="Times New Roman" w:ascii="Times New Roman" w:hAnsi="Times New Roman"/>
          <w:spacing w:val="-3"/>
        </w:rPr>
        <w:t>3.3</w:t>
        <w:tab/>
        <w:t xml:space="preserve">If the Shares Sold pursuant to Section 3.2 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w:t>
      </w:r>
      <w:r>
        <w:rPr/>
        <w:t>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amount by which the Party B Payment Amount exceeds Net Proceeds (the “Shortfall”).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 w:hAnsi="CG Times" w:eastAsia="CG Times" w:cs="CG Times"/>
          <w:spacing w:val="-3"/>
          <w:lang w:val="en-GB"/>
        </w:rPr>
      </w:pPr>
      <w:r>
        <w:rPr>
          <w:rFonts w:eastAsia="CG Times" w:cs="CG Times" w:ascii="CG Times" w:hAnsi="CG Times"/>
          <w:spacing w:val="-3"/>
          <w:lang w:val="en-GB"/>
        </w:rPr>
        <w:t xml:space="preserve"> </w:t>
      </w:r>
    </w:p>
    <w:p>
      <w:pPr>
        <w:pStyle w:val="Normal"/>
        <w:tabs>
          <w:tab w:val="left" w:pos="720" w:leader="none"/>
        </w:tabs>
        <w:ind w:hanging="720" w:start="720" w:end="0"/>
        <w:jc w:val="both"/>
        <w:rPr/>
      </w:pPr>
      <w:r>
        <w:rPr>
          <w:spacing w:val="-3"/>
        </w:rPr>
        <w:t>3.4</w:t>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 w:hAnsi="CG Times" w:eastAsia="CG Times" w:cs="CG Times"/>
          <w:spacing w:val="0"/>
        </w:rPr>
      </w:pPr>
      <w:r>
        <w:rPr>
          <w:rFonts w:eastAsia="CG Times" w:cs="CG Times" w:ascii="CG Times" w:hAnsi="CG Times"/>
          <w:spacing w:val="0"/>
        </w:rPr>
        <w:t xml:space="preserve"> </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3.5</w:t>
        <w:tab/>
        <w:t>If Party B elects 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If Party B elects 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by which the Shares to be sold (including any Hedge Shares (as defined below)) in respect of this Transaction 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that in Party A’s judgment (or in the opinion of Party A’s counsel) it holds Shares acquired in connection either with its hedge or with the Net Share Settlement that, if resold by Party A, would require registration of such sales (any such Shares, the “</w:t>
      </w:r>
      <w:r>
        <w:rPr>
          <w:rFonts w:cs="Times New Roman" w:ascii="Times New Roman" w:hAnsi="Times New Roman"/>
          <w:b/>
          <w:bCs/>
          <w:u w:val="single"/>
        </w:rPr>
        <w:t>Resale 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Resale 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t>Indemnity Provision:</w:t>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pPr>
      <w:r>
        <w:rPr>
          <w:rFonts w:cs="Times New Roman" w:ascii="Times New Roman" w:hAnsi="Times New Roman"/>
        </w:rPr>
        <w:tab/>
      </w:r>
      <w:r>
        <w:rPr/>
        <w:t>If Party A or any of its affiliates or the respective directors, officers, partners, agents, or employees of Party A or any of its affiliates (collectively, “</w:t>
      </w:r>
      <w:r>
        <w:rPr>
          <w:b/>
          <w:bCs/>
          <w:u w:val="single"/>
        </w:rPr>
        <w:t>Indemnified Persons</w:t>
      </w:r>
      <w:r>
        <w:rPr/>
        <w: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t>
      </w:r>
      <w:r>
        <w:rPr>
          <w:rFonts w:cs="Times New Roman" w:ascii="Times New Roman" w:hAnsi="Times New Roman"/>
        </w:rPr>
        <w:t xml:space="preserve"> </w:t>
      </w:r>
    </w:p>
    <w:p>
      <w:pPr>
        <w:pStyle w:val="BodyTextIndent"/>
        <w:ind w:hanging="0" w:start="0" w:end="0"/>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conditions of Section 4.3.1 have been met, it agrees to comply with the reasonable requests of Party A, the Selling Agent, any placement agent, if any, and any purchaser of the Shares. If Party B has elected an Exempt Offering and the conditions of Section 4.3.1 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w:t>
      </w:r>
      <w:del w:id="4" w:author="VE" w:date="2000-12-18T16:31:00Z">
        <w:r>
          <w:rPr>
            <w:rFonts w:cs="Times New Roman" w:ascii="Times New Roman" w:hAnsi="Times New Roman"/>
          </w:rPr>
          <w:delText>,</w:delText>
        </w:r>
      </w:del>
      <w:r>
        <w:rPr>
          <w:rFonts w:cs="Times New Roman" w:ascii="Times New Roman" w:hAnsi="Times New Roman"/>
        </w:rPr>
        <w:t>.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shall owe Party A any amount pursuant to Section 9.7 of the Equity Definitions (except in the event of a Nationalization, a Merger Event in which the merger consideration to be paid to holders of Shares consists solely of cash or an Insolvency) or pursuant to Section 6 of the Agreement (except in the event of </w:t>
      </w:r>
      <w:del w:id="5" w:author="VE" w:date="2000-12-18T16:31:00Z">
        <w:r>
          <w:rPr>
            <w:rFonts w:cs="Times New Roman" w:ascii="Times New Roman" w:hAnsi="Times New Roman"/>
          </w:rPr>
          <w:delText xml:space="preserve">an </w:delText>
        </w:r>
      </w:del>
      <w:r>
        <w:rPr>
          <w:rFonts w:cs="Times New Roman" w:ascii="Times New Roman" w:hAnsi="Times New Roman"/>
        </w:rPr>
        <w:t>[</w:t>
      </w:r>
      <w:del w:id="6" w:author="VE" w:date="2000-12-18T16:31:00Z">
        <w:r>
          <w:rPr>
            <w:rFonts w:cs="Times New Roman" w:ascii="Times New Roman" w:hAnsi="Times New Roman"/>
          </w:rPr>
          <w:delText xml:space="preserve">Event of Default, other than by virtue of </w:delText>
        </w:r>
      </w:del>
      <w:r>
        <w:rPr>
          <w:rFonts w:cs="Times New Roman" w:ascii="Times New Roman" w:hAnsi="Times New Roman"/>
        </w:rPr>
        <w:t>] [</w:t>
      </w:r>
      <w:r>
        <w:rPr>
          <w:rFonts w:cs="Times New Roman" w:ascii="Times New Roman" w:hAnsi="Times New Roman"/>
          <w:b/>
          <w:bCs/>
          <w:i/>
          <w:iCs/>
        </w:rPr>
        <w:t>To be discussed</w:t>
      </w:r>
      <w:r>
        <w:rPr>
          <w:rFonts w:cs="Times New Roman" w:ascii="Times New Roman" w:hAnsi="Times New Roman"/>
        </w:rPr>
        <w:t>] Bankruptcy, with respect to which Party B is the Defaulting Party) (in either case, a “</w:t>
      </w:r>
      <w:r>
        <w:rPr>
          <w:rFonts w:cs="Times New Roman" w:ascii="Times New Roman" w:hAnsi="Times New Roman"/>
          <w:b/>
          <w:bCs/>
          <w:u w:val="single"/>
        </w:rPr>
        <w:t>Payment Obligation</w:t>
      </w:r>
      <w:r>
        <w:rPr>
          <w:rFonts w:cs="Times New Roman" w:ascii="Times New Roman" w:hAnsi="Times New Roman"/>
        </w:rPr>
        <w:t>”), 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makes such election, the terms of the provisions entitled “Net Share Settlement”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2,625,000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pPr>
      <w:r>
        <w:rPr>
          <w:spacing w:val="-2"/>
        </w:rPr>
        <w:t xml:space="preserve">If at any time during the term of the Transaction, the Share Price drops below USD 50.00 for </w:t>
      </w:r>
      <w:del w:id="7" w:author="Authorized User" w:date="2000-12-20T17:55:00Z">
        <w:r>
          <w:rPr>
            <w:spacing w:val="-2"/>
          </w:rPr>
          <w:delText>three (3)</w:delText>
        </w:r>
      </w:del>
      <w:ins w:id="8" w:author="Authorized User" w:date="2000-12-20T17:55:00Z">
        <w:r>
          <w:rPr>
            <w:spacing w:val="-2"/>
          </w:rPr>
          <w:t>two (2)</w:t>
        </w:r>
      </w:ins>
      <w:r>
        <w:rPr>
          <w:spacing w:val="-2"/>
        </w:rPr>
        <w:t xml:space="preserve"> consecutive Exchange Business Days.</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9.1</w:t>
        <w:tab/>
        <w:t>Registration Notification:</w:t>
        <w:tab/>
        <w:t>Party B agrees that subsequent to the Effective Date it will not file any registration statement, amend a previously filed registration statement or commence any of the actions set forth in Appendix A attached hereto with respect to any Shares that may be sold in connection with 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the Selling Agent sells any Shares acquired pursuant to this Transaction in 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The period commencing on the Termination Date, and continuing until the completion of any sales of Shares and deliveries related thereto required for 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 w:hAnsi="CG Times" w:cs="CG Times"/>
          <w:spacing w:val="0"/>
        </w:rPr>
      </w:pPr>
      <w:r>
        <w:rPr>
          <w:rFonts w:cs="CG Times" w:ascii="CG Times" w:hAnsi="CG Times"/>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 w:hAnsi="CG Times" w:cs="CG Times"/>
          <w:spacing w:val="-3"/>
        </w:rPr>
      </w:pPr>
      <w:r>
        <w:rPr>
          <w:rFonts w:cs="CG Times"/>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t>10.1</w:t>
        <w:tab/>
        <w:t>Party B Representation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w:t>
      </w:r>
      <w:del w:id="9" w:author="VE" w:date="2000-12-18T16:32:00Z">
        <w:r>
          <w:rPr>
            <w:rFonts w:cs="Times New Roman" w:ascii="Times New Roman" w:hAnsi="Times New Roman"/>
          </w:rPr>
          <w:delText xml:space="preserve">purchase or </w:delText>
        </w:r>
      </w:del>
      <w:r>
        <w:rPr>
          <w:rFonts w:cs="Times New Roman" w:ascii="Times New Roman" w:hAnsi="Times New Roman"/>
        </w:rPr>
        <w:t xml:space="preserve">] </w:t>
      </w:r>
      <w:r>
        <w:rPr>
          <w:rFonts w:cs="Times New Roman" w:ascii="Times New Roman" w:hAnsi="Times New Roman"/>
          <w:b/>
          <w:bCs/>
          <w:i/>
          <w:iCs/>
        </w:rPr>
        <w:t>[to be discussed</w:t>
      </w:r>
      <w:r>
        <w:rPr>
          <w:rFonts w:cs="Times New Roman" w:ascii="Times New Roman" w:hAnsi="Times New Roman"/>
        </w:rPr>
        <w:t xml:space="preserve"> ]sell Shares in compliance with applicable federal securities laws.  Party B hereby represents and warrants to Party A that</w:t>
      </w:r>
      <w:ins w:id="10" w:author="Authorized User" w:date="2000-12-20T17:58:00Z">
        <w:r>
          <w:rPr>
            <w:rFonts w:cs="Times New Roman" w:ascii="Times New Roman" w:hAnsi="Times New Roman"/>
          </w:rPr>
          <w:t>,</w:t>
        </w:r>
      </w:ins>
      <w:del w:id="11" w:author="Authorized User" w:date="2000-12-20T17:58:00Z">
        <w:r>
          <w:rPr>
            <w:rFonts w:cs="Times New Roman" w:ascii="Times New Roman" w:hAnsi="Times New Roman"/>
          </w:rPr>
          <w:delText>: (i) it has entered into this Transaction in connection with the Share repurchase program announced publicly by the Issuer on [</w:delText>
        </w:r>
      </w:del>
      <w:del w:id="12" w:author="Authorized User" w:date="2000-12-20T17:58:00Z">
        <w:r>
          <w:rPr>
            <w:rFonts w:eastAsia="Symbol" w:cs="Symbol" w:ascii="Symbol" w:hAnsi="Symbol"/>
          </w:rPr>
          <w:sym w:font="Symbol" w:char="f0b7"/>
        </w:r>
      </w:del>
      <w:del w:id="13" w:author="Authorized User" w:date="2000-12-20T17:58:00Z">
        <w:r>
          <w:rPr>
            <w:rFonts w:cs="Times New Roman" w:ascii="Times New Roman" w:hAnsi="Times New Roman"/>
          </w:rPr>
          <w:delText xml:space="preserve">] for purposes consistent with those stated in such public disclosures and (ii) </w:delText>
        </w:r>
      </w:del>
      <w:ins w:id="14" w:author="Authorized User" w:date="2000-12-20T17:58:00Z">
        <w:r>
          <w:rPr>
            <w:rFonts w:cs="Times New Roman" w:ascii="Times New Roman" w:hAnsi="Times New Roman"/>
          </w:rPr>
          <w:t xml:space="preserve"> </w:t>
        </w:r>
      </w:ins>
      <w:r>
        <w:rPr>
          <w:rFonts w:cs="Times New Roman" w:ascii="Times New Roman" w:hAnsi="Times New Roman"/>
        </w:rPr>
        <w:t>based on facts and circumstances existing on the Trade Date, it is not currently prohibited by law, contract or otherwise from purchasing Shares during the term of this Transaction and, as of the Trade Date, Party B has publicly disclosed all material information with respect to its condition (financial or otherwise).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B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ins w:id="23" w:author="kellis" w:date="2000-12-19T12:31:00Z"/>
        </w:rPr>
      </w:pPr>
      <w:r>
        <w:rPr>
          <w:rFonts w:cs="Times New Roman" w:ascii="Times New Roman" w:hAnsi="Times New Roman"/>
        </w:rPr>
        <w:tab/>
        <w:t>[</w:t>
      </w:r>
      <w:ins w:id="15" w:author="kellis" w:date="2000-12-19T12:31:00Z">
        <w:r>
          <w:rPr>
            <w:rFonts w:cs="Times New Roman" w:ascii="Times New Roman" w:hAnsi="Times New Roman"/>
            <w:b/>
            <w:bCs/>
          </w:rPr>
          <w:t>NO PARTY SHALL BE REQUIRED TO PAY OR BE LIABLE FOR SPECIAL, PUNITIVE, EXEMPLARY, INCIDENTAL, CONSEQUENTIAL, OR INDIRECT DAMAGES (WHETHER OR NOT ARISING FROM ITS NEGLIGENCE) TO ANY OTHER PARTY</w:t>
        </w:r>
      </w:ins>
      <w:ins w:id="16" w:author="kellis" w:date="2000-12-19T12:33:00Z">
        <w:r>
          <w:rPr>
            <w:rFonts w:cs="Times New Roman" w:ascii="Times New Roman" w:hAnsi="Times New Roman"/>
            <w:b/>
            <w:bCs/>
          </w:rPr>
          <w:t>;</w:t>
        </w:r>
      </w:ins>
      <w:ins w:id="17" w:author="kellis" w:date="2000-12-19T12:31:00Z">
        <w:r>
          <w:rPr>
            <w:rFonts w:cs="Times New Roman" w:ascii="Times New Roman" w:hAnsi="Times New Roman"/>
            <w:b/>
            <w:bCs/>
          </w:rPr>
          <w:t xml:space="preserve"> </w:t>
        </w:r>
      </w:ins>
      <w:ins w:id="18" w:author="kellis" w:date="2000-12-19T13:54:00Z">
        <w:r>
          <w:rPr>
            <w:rFonts w:cs="Times New Roman" w:ascii="Times New Roman" w:hAnsi="Times New Roman"/>
            <w:b/>
            <w:bCs/>
          </w:rPr>
          <w:t xml:space="preserve">PROVIDED, HOWEVER, THAT NOTHING IN THIS PROVISION SHALL AFFECT THE </w:t>
        </w:r>
      </w:ins>
      <w:ins w:id="19" w:author="kellis" w:date="2000-12-19T12:31:00Z">
        <w:r>
          <w:rPr>
            <w:rFonts w:cs="Times New Roman" w:ascii="Times New Roman" w:hAnsi="Times New Roman"/>
            <w:b/>
            <w:bCs/>
          </w:rPr>
          <w:t xml:space="preserve">ENFORCEABILITY </w:t>
        </w:r>
      </w:ins>
      <w:ins w:id="20" w:author="kellis" w:date="2000-12-19T12:33:00Z">
        <w:r>
          <w:rPr>
            <w:rFonts w:cs="Times New Roman" w:ascii="Times New Roman" w:hAnsi="Times New Roman"/>
            <w:b/>
            <w:bCs/>
          </w:rPr>
          <w:t xml:space="preserve">OF SECTION 6(e) OF </w:t>
        </w:r>
      </w:ins>
      <w:ins w:id="21" w:author="kellis" w:date="2000-12-19T14:44:00Z">
        <w:r>
          <w:rPr>
            <w:rFonts w:cs="Times New Roman" w:ascii="Times New Roman" w:hAnsi="Times New Roman"/>
            <w:b/>
            <w:bCs/>
          </w:rPr>
          <w:t xml:space="preserve">THE 1992 ISDA MASTER </w:t>
        </w:r>
      </w:ins>
      <w:ins w:id="22" w:author="kellis" w:date="2000-12-19T12:33:00Z">
        <w:r>
          <w:rPr>
            <w:rFonts w:cs="Times New Roman" w:ascii="Times New Roman" w:hAnsi="Times New Roman"/>
            <w:b/>
            <w:bCs/>
          </w:rPr>
          <w:t>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ins>
      <w:r>
        <w:rPr>
          <w:rFonts w:cs="Times New Roman" w:ascii="Times New Roman" w:hAnsi="Times New Roman"/>
          <w:b/>
          <w:bCs/>
        </w:rPr>
        <w:t>] [</w:t>
      </w:r>
      <w:r>
        <w:rPr>
          <w:rFonts w:cs="Times New Roman" w:ascii="Times New Roman" w:hAnsi="Times New Roman"/>
          <w:b/>
          <w:bCs/>
          <w:i/>
          <w:iCs/>
        </w:rPr>
        <w:t>to be deleted pending confirmation from Jim?]</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ins w:id="25" w:author="kellis" w:date="2000-12-19T12:31:00Z"/>
        </w:rPr>
      </w:pPr>
      <w:ins w:id="24" w:author="kellis" w:date="2000-12-19T12:31:00Z">
        <w:r>
          <w:rPr>
            <w:rFonts w:cs="Times New Roman" w:ascii="Times New Roman" w:hAnsi="Times New Roman"/>
            <w:b/>
            <w:bCs/>
            <w:i/>
            <w:iCs/>
          </w:rPr>
        </w:r>
      </w:ins>
    </w:p>
    <w:p>
      <w:pPr>
        <w:pStyle w:val="BodyTextIndent"/>
        <w:tabs>
          <w:tab w:val="clear" w:pos="0"/>
          <w:tab w:val="left" w:pos="-1440" w:leader="none"/>
          <w:tab w:val="left" w:pos="-720" w:leader="none"/>
          <w:tab w:val="left" w:pos="720" w:leader="none"/>
        </w:tabs>
        <w:ind w:hanging="0" w:start="720" w:end="0"/>
        <w:rPr>
          <w:rFonts w:ascii="Times New Roman" w:hAnsi="Times New Roman" w:cs="Times New Roman"/>
        </w:rPr>
      </w:pPr>
      <w:r>
        <w:rPr>
          <w:rFonts w:cs="Times New Roman" w:ascii="Times New Roman" w:hAnsi="Times New Roman"/>
        </w:rPr>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ins w:id="28" w:author="Authorized User" w:date="2000-12-20T17:57:00Z"/>
        </w:rPr>
      </w:pPr>
      <w:ins w:id="26" w:author="Authorized User" w:date="2000-12-20T17:57:00Z">
        <w:r>
          <w:rPr>
            <w:rFonts w:cs="Times New Roman" w:ascii="Times New Roman" w:hAnsi="Times New Roman"/>
          </w:rPr>
          <w:t>10.6</w:t>
        </w:r>
      </w:ins>
      <w:r>
        <w:rPr>
          <w:rFonts w:cs="Times New Roman" w:ascii="Times New Roman" w:hAnsi="Times New Roman"/>
        </w:rPr>
        <w:tab/>
      </w:r>
      <w:ins w:id="27" w:author="Authorized User" w:date="2000-12-20T17:57:00Z">
        <w:r>
          <w:rPr>
            <w:rFonts w:cs="Times New Roman" w:ascii="Times New Roman" w:hAnsi="Times New Roman"/>
          </w:rPr>
          <w:t>Additional Agreement of Party A:</w:t>
        </w:r>
      </w:ins>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ins w:id="30" w:author="Authorized User" w:date="2000-12-20T17:57:00Z"/>
        </w:rPr>
      </w:pPr>
      <w:ins w:id="29" w:author="Authorized User" w:date="2000-12-20T17:57:00Z">
        <w:r>
          <w:rPr>
            <w:rFonts w:cs="Times New Roman" w:ascii="Times New Roman" w:hAnsi="Times New Roman"/>
          </w:rPr>
        </w:r>
      </w:ins>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r>
      <w:ins w:id="31" w:author="Authorized User" w:date="2000-12-20T17:57:00Z">
        <w:r>
          <w:rPr>
            <w:rFonts w:cs="Times New Roman" w:ascii="Times New Roman" w:hAnsi="Times New Roman"/>
          </w:rPr>
          <w:t>Party A hereby agree</w:t>
        </w:r>
      </w:ins>
      <w:ins w:id="32" w:author="Authorized User" w:date="2000-12-20T17:59:00Z">
        <w:r>
          <w:rPr>
            <w:rFonts w:cs="Times New Roman" w:ascii="Times New Roman" w:hAnsi="Times New Roman"/>
          </w:rPr>
          <w:t>s</w:t>
        </w:r>
      </w:ins>
      <w:ins w:id="33" w:author="Authorized User" w:date="2000-12-20T17:57:00Z">
        <w:r>
          <w:rPr>
            <w:rFonts w:cs="Times New Roman" w:ascii="Times New Roman" w:hAnsi="Times New Roman"/>
          </w:rPr>
          <w:t xml:space="preserve">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r>
      </w:ins>
      <w:r>
        <w:rPr>
          <w:rFonts w:cs="Times New Roman" w:ascii="Times New Roman" w:hAnsi="Times New Roman"/>
        </w:rPr>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rFonts w:ascii="Times New Roman" w:hAnsi="Times New Roman" w:cs="Times New Roman"/>
        </w:rPr>
      </w:pPr>
      <w:r>
        <w:rPr>
          <w:rFonts w:cs="Times New Roman" w:ascii="Times New Roman" w:hAnsi="Times New Roman"/>
        </w:rPr>
        <w:tab/>
        <w:t>As this Transaction may constitute the sale by Party A to Party B in the case of this Transaction, and by Party B to Party A in the case of the Number of Shares, in each case, through the 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r>
        <w:br w:type="page"/>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Unless otherwise agreed in writing by Party A and Party B with respect to specific sales of Shares by the Selling Agent or specific Shares to be delivered to the Selling Agent by Party B, the provisions of this Appendix A shall apply as a Condition Precedent to all sales of Shares in respect of this Transaction in satisfaction of a delivery of Shares pursuant to 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Party B will have provided Party A and its underwriter(s), if any, and their respective counsel and accountants, with (i) 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prior to the first day of such Sale Period, (ii) copies of all such Filed Materials (and all documents incorporated therein by reference) sufficiently in advance of filing to provide them with a reasonable opportunity to review such documents and comment thereon, (iii) 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the financial statements of  Party B filed with the Commission.  In addition, Party B shall (x) include 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(y) if requested by Party A, delete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Normal"/>
      <w:rPr>
        <w:rStyle w:val="PageNumber"/>
      </w:rPr>
    </w:pPr>
    <w:r>
      <w:rPr/>
    </w:r>
  </w:p>
  <w:p>
    <w:pPr>
      <w:pStyle w:val="Normal"/>
      <w:rPr/>
    </w:pPr>
    <w:r>
      <w:rPr>
        <w:rStyle w:val="PageNumber"/>
        <w:sz w:val="16"/>
      </w:rPr>
      <w:t>k:/Legal/MS/Marketers/Haratunian/Enron/Fwd001220Trade1.doc</w:t>
    </w:r>
  </w:p>
  <w:p>
    <w:pPr>
      <w:pStyle w:val="Normal"/>
      <w:rPr>
        <w:rStyle w:val="PageNumber"/>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tab/>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 w:hAnsi="Akzidenz Grotesk Light" w:cs="Akzidenz Grotesk Light"/>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 w:hAnsi="Akzidenz Grotesk Light" w:cs="Akzidenz Grotesk Light"/>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 w:hAnsi="Akzidenz Grotesk Light" w:cs="Akzidenz Grotesk Light"/>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 w:hAnsi="Akzidenz Grotesk Light" w:cs="Akzidenz Grotesk Light"/>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2000-12-20T22:48:00Z</dcterms:created>
  <dc:creator>Michael W. Emerson</dc:creator>
  <dc:description/>
  <dc:language>en-CA</dc:language>
  <cp:lastModifiedBy>maria chiodi</cp:lastModifiedBy>
  <cp:lastPrinted>2000-12-20T20:12:00Z</cp:lastPrinted>
  <dcterms:modified xsi:type="dcterms:W3CDTF">2000-12-20T22:48:00Z</dcterms:modified>
  <cp:revision>2</cp:revision>
  <dc:subject/>
  <dc:title>OTC Euro Opt (Single); Phys Set - Exchange-Rel Adj. [Telex/Fax ISDA: FBC]</dc:title>
</cp:coreProperties>
</file>