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13,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1991 ISDA Definitions, as supplemented by the 1998 Supplement to the 1991 ISDA Definitions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xml:space="preserve">”), this Confirmation supplements, forms a part of, and is subject to such Agreement.  If Party A and Party B are not yet parties to the Agreement, Party A and Party B agree to use their best efforts promptly to negotiate, execute, and deliver the Agreement, including Party A’s standard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apply,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The Agreement and each Confirmation thereunder will be governed by and construed in accordance with the laws of the State of New York, without reference to choice of law doctrine and each party hereby submits to the jurisdiction of the Courts of the State of New York.</w:t>
      </w:r>
      <w:r>
        <w:rPr>
          <w:rFonts w:cs="Times New Roman" w:ascii="Times New Roman" w:hAnsi="Times New Roman"/>
          <w:spacing w:val="-3"/>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b/>
          <w:spacing w:val="-3"/>
        </w:rPr>
        <w:tab/>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par value $[ ]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either Net Share Settlement or Net Cash Settlement are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either Net Cash Settlement or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either Net Cash Settlement or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sixty (60) calendar days prior to the Termination Date</w:t>
      </w:r>
      <w:r>
        <w:rPr/>
        <w:t xml:space="preserve">, that either Net Share Settlement or Net Cash Settlement (as each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either Net Share Settlement or Net Cash Settlement (as applicable) is not satisfied in accordance with their respective terms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3.3</w:t>
        <w:tab/>
      </w:r>
      <w:r>
        <w:rPr>
          <w:rFonts w:cs="Times New Roman" w:ascii="Times New Roman" w:hAnsi="Times New Roman"/>
        </w:rPr>
        <w:t>Net Cash Settlement: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rPr>
      </w:pPr>
      <w:r>
        <w:rPr/>
        <w:tab/>
        <w:t xml:space="preserve">If Party B elects Net Cash Settlement as the Method of Settlement and such election is valid, then the Selling Agent shall sell, in accordance with the terms hereof, all of the Shares comprising the Number of Shares and shall pay to Party A, on the Settlement Date, the </w:t>
      </w:r>
      <w:r>
        <w:rPr>
          <w:rFonts w:cs="Times New Roman" w:ascii="Times New Roman" w:hAnsi="Times New Roman"/>
        </w:rPr>
        <w:t>Party B Payment</w:t>
      </w:r>
      <w:r>
        <w:rPr/>
        <w:t xml:space="preserve"> Amount from such Net Proceeds.</w:t>
      </w:r>
      <w:r>
        <w:rPr>
          <w:spacing w:val="-3"/>
        </w:rPr>
        <w:t xml:space="preserve"> On the Settlement Date, the Selling Agent shall also pay to Party B a sum in U.S. Dollars equal to the amount, if any, by which the Net Proceeds from the sale of the Shares Sold exceeds the </w:t>
      </w:r>
      <w:r>
        <w:rPr>
          <w:rFonts w:cs="Times New Roman" w:ascii="Times New Roman" w:hAnsi="Times New Roman"/>
        </w:rPr>
        <w:t>Party B Payment</w:t>
      </w:r>
      <w:r>
        <w:rPr>
          <w:spacing w:val="-3"/>
        </w:rPr>
        <w:t xml:space="preserve"> Amount.</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3.4</w:t>
        <w:tab/>
        <w:t xml:space="preserve">If the Shares Sold pursuant to either Section 3.2 or 3.3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either (i), in the case of Net Cash Settlement, pay to Party A, through the Arranging Agent, an amount in U.S. Dollars equal to the amount by which the </w:t>
      </w:r>
      <w:r>
        <w:rPr>
          <w:rFonts w:cs="Times New Roman" w:ascii="Times New Roman" w:hAnsi="Times New Roman"/>
        </w:rPr>
        <w:t>Party B Payment</w:t>
      </w:r>
      <w:r>
        <w:rPr>
          <w:rFonts w:cs="Times New Roman" w:ascii="Times New Roman" w:hAnsi="Times New Roman"/>
          <w:spacing w:val="-3"/>
        </w:rPr>
        <w:t xml:space="preserve"> Amount exceeds the Net Proceeds (the “</w:t>
      </w:r>
      <w:r>
        <w:rPr>
          <w:rFonts w:cs="Times New Roman" w:ascii="Times New Roman" w:hAnsi="Times New Roman"/>
          <w:b/>
          <w:bCs/>
          <w:spacing w:val="-3"/>
          <w:u w:val="single"/>
        </w:rPr>
        <w:t>Shortfall</w:t>
      </w:r>
      <w:r>
        <w:rPr>
          <w:rFonts w:cs="Times New Roman" w:ascii="Times New Roman" w:hAnsi="Times New Roman"/>
          <w:spacing w:val="-3"/>
        </w:rPr>
        <w:t>”) or (ii)</w:t>
      </w:r>
      <w:r>
        <w:rPr/>
        <w:t>, in the case of Net Share Settlement, 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3.5</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3.6</w:t>
        <w:tab/>
        <w:t>If Party B elects either Net Cash Settlement or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either Net Cash Settlement or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will be sold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with its hedge that, if resold by Party A, would require registration of such sales (any such Shares, the “</w:t>
      </w:r>
      <w:r>
        <w:rPr>
          <w:rFonts w:cs="Times New Roman" w:ascii="Times New Roman" w:hAnsi="Times New Roman"/>
          <w:b/>
          <w:bCs/>
          <w:u w:val="single"/>
        </w:rPr>
        <w:t>Hedge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Hedge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above conditions have been met, it agrees to comply with the reasonable requests of Party A, the Selling Agent, any placement agent, if any, and any purchaser of the Shares. If Party B has elected an Exempt Offering and the above conditions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an Event of Default, other than by virtue of Bankruptcy, with respect to which Party B is the Defaulting Party or a Termination Event in which Party B is the only Affected Party) (in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“Net Cash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or Net Cash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Cash Settlement or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either a Net Cash Settlement or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Cash Settlement 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(i) it has entered into this Transaction in connection with the Share repurchase program announced publicly by the Issuer on [</w:t>
      </w:r>
      <w:r>
        <w:rPr>
          <w:rFonts w:eastAsia="Symbol" w:cs="Symbol" w:ascii="Symbol" w:hAnsi="Symbol"/>
        </w:rPr>
        <w:sym w:font="Symbol" w:char="f0b7"/>
      </w:r>
      <w:r>
        <w:rPr>
          <w:rFonts w:cs="Times New Roman" w:ascii="Times New Roman" w:hAnsi="Times New Roman"/>
        </w:rPr>
        <w:t>] for purposes consistent with those stated in such public disclosures and (ii)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be a Condition Precedent to all sales of Shares in respect of this Transaction in satisfaction of a delivery of Shares pursuant to either Net Cash Settlement or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(i) given Party A and its underwriter(s), if any, and their respective counsel and accountants,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furnished to each of them copies of all such Filed Materials (and all documents incorporated therein by reference) sufficiently in advance of filing to provide them with a reasonable opportunity to review such documents and comment thereon, (iii) given each of them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delivered to Party A and its underwriter(s), if any, the financial statements of  Party B filed with the Commission, (v) included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(vi) if requested by Party A, deleted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Normal"/>
      <w:rPr>
        <w:rStyle w:val="PageNumber"/>
      </w:rPr>
    </w:pPr>
    <w:r>
      <w:rPr/>
    </w:r>
  </w:p>
  <w:p>
    <w:pPr>
      <w:pStyle w:val="Normal"/>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/mnt/main-storage/datasets/enron-docs/doc/Fwd001213Trade2.doc</w:t>
    </w:r>
    <w:r>
      <w:rPr>
        <w:rStyle w:val="PageNumber"/>
        <w:sz w:val="16"/>
      </w:rPr>
      <w:fldChar w:fldCharType="end"/>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2000-12-13T19:52:00Z</dcterms:created>
  <dc:creator>Michael W. Emerson</dc:creator>
  <dc:description/>
  <dc:language>en-CA</dc:language>
  <cp:lastModifiedBy>maria chiodi</cp:lastModifiedBy>
  <cp:lastPrinted>2000-12-13T17:23:00Z</cp:lastPrinted>
  <dcterms:modified xsi:type="dcterms:W3CDTF">2000-12-13T19:53:00Z</dcterms:modified>
  <cp:revision>3</cp:revision>
  <dc:subject/>
  <dc:title>OTC Euro Opt (Single); Phys Set - Exchange-Rel Adj. [Telex/Fax ISDA: FBC]</dc:title>
</cp:coreProperties>
</file>