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bookmarkStart w:id="0" w:name="MemorandumTo"/>
      <w:r>
        <w:rPr/>
        <w:t>Memorandum to</w:t>
      </w:r>
      <w:bookmarkEnd w:id="0"/>
      <w:r>
        <w:rPr/>
        <w:t>:</w:t>
        <w:br/>
      </w:r>
      <w:bookmarkStart w:id="1" w:name="Addressee"/>
      <w:bookmarkEnd w:id="1"/>
      <w:r>
        <w:rPr/>
        <w:t>Mr. Mike McConnell, President and Chief Executive Officer</w:t>
        <w:br/>
        <w:t>Mr. Jeff Shankman, Chief Operating Officer</w:t>
      </w:r>
    </w:p>
    <w:p>
      <w:pPr>
        <w:pStyle w:val="Normal"/>
        <w:rPr/>
      </w:pPr>
      <w:r>
        <w:rPr/>
        <w:t>Mr. Larry Lawyer, Chief Financial Officer</w:t>
        <w:br/>
        <w:t>Ms. Jennifer Fraser, Director</w:t>
      </w:r>
    </w:p>
    <w:p>
      <w:pPr>
        <w:pStyle w:val="30documenttitle"/>
        <w:rPr/>
      </w:pPr>
      <w:bookmarkStart w:id="2" w:name="MemoTitle"/>
      <w:bookmarkEnd w:id="2"/>
      <w:r>
        <w:rPr/>
        <w:t>Developing Capabilities in Refining Economics and Light/heavy Forecasting</w:t>
      </w:r>
    </w:p>
    <w:p>
      <w:pPr>
        <w:pStyle w:val="31subtitle"/>
        <w:rPr/>
      </w:pPr>
      <w:bookmarkStart w:id="3" w:name="Company"/>
      <w:bookmarkEnd w:id="3"/>
      <w:r>
        <w:rPr/>
        <w:t>Enron Global Markets</w:t>
      </w:r>
    </w:p>
    <w:p>
      <w:pPr>
        <w:pStyle w:val="Normal"/>
        <w:rPr/>
      </w:pPr>
      <w:bookmarkStart w:id="4" w:name="Start"/>
      <w:bookmarkEnd w:id="4"/>
      <w:r>
        <w:rPr/>
        <w:t>This memo and attached exhibits serve as a follow up to our conversations over the last four weeks regarding how Enron Global Markets can develop distinctive capabilities and proprietary views on refining economics and petroleum fundamentals.  Sound, fundamental views of refining economics and market mechanisms are a critical building block to developing structured finance deals and should allow the organization to take a longer-term view of the markets, with an edge in spotting market discontinuities.  These capabilities could ultimately be linked to proprietary insights in natural gas and other commodities to create cross-commodity trading opportunities.</w:t>
      </w:r>
    </w:p>
    <w:p>
      <w:pPr>
        <w:pStyle w:val="Normal"/>
        <w:rPr/>
      </w:pPr>
      <w:r>
        <w:rPr/>
        <w:t>Enron Global Markets will have a number of challenges to manage if it is to be a leader in the petroleum marketplace. Within the organization, the fundamentals of the business (e.g., marginal refinery configuration, light/heavy spread) will have to be widely inculcated throughout the trading and origination groups.  Maintaining these capabilities might also require dedicated practitioners who have deep petroleum industry experience.  Industry structure will present equal challenges as petroleum markets are global and well-developed, and physical players have an information advantage.  Despite these challenges, few players have a deep microeconomic understanding and well informed view of the markets.</w:t>
      </w:r>
    </w:p>
    <w:p>
      <w:pPr>
        <w:pStyle w:val="Normal"/>
        <w:rPr/>
      </w:pPr>
      <w:r>
        <w:rPr/>
        <w:t>As a follow up to our conversations with Jennifer on March 23, 29 and April 18, we have structured a high-level work plan for delivering petroleum fundamentals capabilities to Enron Global Markets.  We would welcome the opportunity to work with you in developing the analytical tools, and identifying the critical resources needed to build cutting edge capabilities in this arena.  The remainder of this memo describes proposed objectives, proposed support activities and working arrangements.</w:t>
      </w:r>
    </w:p>
    <w:p>
      <w:pPr>
        <w:pStyle w:val="20major"/>
        <w:rPr/>
      </w:pPr>
      <w:r>
        <w:rPr/>
        <w:t>OBJECTIVES</w:t>
      </w:r>
    </w:p>
    <w:p>
      <w:pPr>
        <w:pStyle w:val="Normal"/>
        <w:rPr/>
      </w:pPr>
      <w:r>
        <w:rPr/>
        <w:t>We believe Enron Global Markets should move quickly to establish a fundamentals group, grounded in the basics of petroleum microeconomics.  This group would form a distinct knowledge capability within Enron which would have at its disposal an integrated set of analytical tools, historical pricing and segment databases, and output templates tailored to trading and origination efforts.  The petroleum fundamentals group would be involved in gathering basic industry statistics such as supply/demand, developing product price relationships and market direction, communicating these views to the traders, and incorporating market intelligence from the traders into proprietary views on forward prices.   The group would ideally form an entry point for new associates and a source of talent for trading and origination positions.  Exhibit 1 highlights some benefits to building superior market knowledge.</w:t>
      </w:r>
    </w:p>
    <w:p>
      <w:pPr>
        <w:pStyle w:val="20major"/>
        <w:rPr/>
      </w:pPr>
      <w:r>
        <w:rPr/>
        <w:t>PROPOSED ACTIVITIES</w:t>
      </w:r>
    </w:p>
    <w:p>
      <w:pPr>
        <w:pStyle w:val="Normal"/>
        <w:rPr/>
      </w:pPr>
      <w:r>
        <w:rPr/>
        <w:t>To fulfill the objectives described above, we envision a four-step approach including the following activities:</w:t>
      </w:r>
    </w:p>
    <w:p>
      <w:pPr>
        <w:pStyle w:val="01parapoint"/>
        <w:numPr>
          <w:ilvl w:val="0"/>
          <w:numId w:val="5"/>
        </w:numPr>
        <w:ind w:hanging="0" w:start="0"/>
        <w:rPr/>
      </w:pPr>
      <w:r>
        <w:rPr>
          <w:b/>
          <w:bCs/>
        </w:rPr>
        <w:t>Establish initial project resources.</w:t>
      </w:r>
      <w:r>
        <w:rPr/>
        <w:t xml:space="preserve">  Enron should begin by appointing an experienced project leader, preferably one with successful prior rotations through trading and fundamentals.  The project leader would recruit new associates, begin interviewing experienced hires for select senior analyst posts, and access MBA and PhD summer hires as they became available.  In addition, the project lead would make a quick assessment of current tools, databases, and capabilities.  We envision this phase would take 2-3 weeks, and would involve ramping up to approximately 5 FTEs.</w:t>
      </w:r>
    </w:p>
    <w:p>
      <w:pPr>
        <w:pStyle w:val="01parapoint"/>
        <w:numPr>
          <w:ilvl w:val="0"/>
          <w:numId w:val="5"/>
        </w:numPr>
        <w:ind w:hanging="0" w:start="0"/>
        <w:rPr/>
      </w:pPr>
      <w:r>
        <w:rPr>
          <w:b/>
          <w:bCs/>
        </w:rPr>
        <w:t xml:space="preserve">Develop analytical frameworks.  </w:t>
      </w:r>
      <w:r>
        <w:rPr/>
        <w:t xml:space="preserve">The core of this project would involve building the tools, procedures, and templates needed to develop a fundamental analysis of petroleum markets.  Prior to formal launch of this phase, the project leader would have ordered all of the relevant commercial software (e.g., PIMS, PRISM) and identified and set-up relevant training sessions for entering associates.  We would help to calibrate and run the refinery linear program (PIMS); structure McKinsey’s segment and marginal refinery models to develop margin curves and price setting relationships; and structure these tools into an integrated modeling suite.  This analysis would initially be constructed for the US Gulf Coast, but later rolled out to other refining markets as needed to support trading and origination.  We would also set up McKinsey’s resid supply/demand model as a precursor to developing light/heavy forecasts.  Exhibit 2 identifies relevant petroleum models. We expect this phase would require approximately 10 to 12 weeks (excluding lead time on software purchases).  </w:t>
      </w:r>
    </w:p>
    <w:p>
      <w:pPr>
        <w:pStyle w:val="01parapoint"/>
        <w:numPr>
          <w:ilvl w:val="0"/>
          <w:numId w:val="5"/>
        </w:numPr>
        <w:ind w:hanging="0" w:start="0"/>
        <w:rPr/>
      </w:pPr>
      <w:r>
        <w:rPr>
          <w:b/>
          <w:bCs/>
        </w:rPr>
        <w:t>Link frameworks to existing commodity groups.</w:t>
      </w:r>
      <w:r>
        <w:rPr/>
        <w:t xml:space="preserve">  As an outgrowth of the model development we would begin to use these tools to analyze cross-commodity relationships, identify potential arbitrage scenarios or triggers which could create arbitrage opportunities, and explore product offerings that spanned one or more commodities.  In this stage, we would rely extensively on traders, originators, and others within the fundamentals group to help identify new products, as well as define the templates needed to extract useful and prescriptive information from model outputs. We expect this phase could last up to 6 weeks.</w:t>
      </w:r>
    </w:p>
    <w:p>
      <w:pPr>
        <w:pStyle w:val="01parapoint"/>
        <w:numPr>
          <w:ilvl w:val="0"/>
          <w:numId w:val="5"/>
        </w:numPr>
        <w:ind w:hanging="0" w:start="0"/>
        <w:rPr/>
      </w:pPr>
      <w:r>
        <w:rPr>
          <w:b/>
          <w:bCs/>
        </w:rPr>
        <w:t>Formalize the organization.</w:t>
      </w:r>
      <w:r>
        <w:rPr/>
        <w:t xml:space="preserve"> Before transitioning to a permanent department, the project team should formalize business processes - roles and responsibilities, training manuals and model descriptions, and development/rotation plans.  We believe an important part of this step is defining a rotation program that runs new associates and analysts through a series of analytical activities designed as a foundation and a common language for their next positions.  We also believe a small, dedicated group of knowledge experts - senior analysts - should be cultivated to maintain the models and sustain institutional memory (see Exhibit 3). We expect this phase to last 10-12 weeks, and to run in parallel with the previous steps.</w:t>
      </w:r>
    </w:p>
    <w:p>
      <w:pPr>
        <w:pStyle w:val="Normal"/>
        <w:rPr/>
      </w:pPr>
      <w:r>
        <w:rPr/>
        <w:t>Exhibits 4 and 5 outline the proposed work plan and timeline, respectively.  We would expect to have a significant role in the analytical framework and linking steps, and would be available as needed to ensure a smooth transition to a formal organization.  We also feel it is important to include and work closely with Vince Kaminski’s research group.  We would, of course, like to discuss and refine this work plan with you to identify resources and calibrate expectations.</w:t>
      </w:r>
    </w:p>
    <w:p>
      <w:pPr>
        <w:pStyle w:val="20major"/>
        <w:rPr/>
      </w:pPr>
      <w:r>
        <w:rPr/>
        <w:t>WORKING ARRANGEMENTS</w:t>
      </w:r>
    </w:p>
    <w:p>
      <w:pPr>
        <w:pStyle w:val="Normal"/>
        <w:rPr/>
      </w:pPr>
      <w:r>
        <w:rPr/>
        <w:t xml:space="preserve">A suggested team structure can be found in Exhibit 6.  On the McKinsey side, Suzanne Nimocks and Eric Hanlon would provide overall leadership.  Eric has significant experience in refinery economic analysis, refinery linear programming, and market forecasting.  Thomas Seitz would also provide significant leadership.  Additional specialized industry resources from our petroleum practice would be accessed on an as-needed basis to guide tool development, coach client members in industry fundamentals, and uncover market insights.  We would deploy a full-time team of one engagement manager and two associates to conduct this engagement.  Given the heavy analytical nature of this engagement, it would be critical for Enron to dedicate a full-time team as well.  We strongly encourage you to dedicate at least two analysts and two associates on a full-time basis and several members from the fundamentals group on a part-time basis.  In addition, there would be a need for frequent senior interactions to assess progress and identify other departments where this analytical effort can be linked.  We envision that these discussions would take place at least every three weeks.  </w:t>
      </w:r>
    </w:p>
    <w:p>
      <w:pPr>
        <w:pStyle w:val="Normal"/>
        <w:rPr/>
      </w:pPr>
      <w:r>
        <w:rPr/>
        <w:t>Professional fees to complete this effort would be $380,000 per month.  In addition to professional fees, we would bill for expenses directly related to the study.  These include out-of-pocket expenses for travel, meals, lodging, as well as direct study support costs such as library research, report production, secretarial support, and the like.  Typically, expenses run about 15 percent of fees.</w:t>
      </w:r>
    </w:p>
    <w:p>
      <w:pPr>
        <w:pStyle w:val="Normal"/>
        <w:rPr/>
      </w:pPr>
      <w:r>
        <w:rPr/>
        <w:t>We look forward to discussing this work plan with you.  Should you have any questions, please feel free to call Suzanne, Eric or Thomas at 713 751-4000.</w:t>
      </w:r>
    </w:p>
    <w:p>
      <w:pPr>
        <w:pStyle w:val="24enddateover"/>
        <w:rPr/>
      </w:pPr>
      <w:bookmarkStart w:id="5" w:name="MemoDate"/>
      <w:bookmarkEnd w:id="5"/>
      <w:r>
        <w:rPr/>
        <w:t>April 19, 2001</w:t>
      </w:r>
    </w:p>
    <w:p>
      <w:pPr>
        <w:pStyle w:val="42cc"/>
        <w:spacing w:before="0" w:after="180"/>
        <w:rPr/>
      </w:pPr>
      <w:r>
        <w:rPr/>
      </w:r>
      <w:bookmarkStart w:id="6" w:name="CCs"/>
      <w:bookmarkStart w:id="7" w:name="CCs"/>
      <w:bookmarkEnd w:id="7"/>
    </w:p>
    <w:sectPr>
      <w:headerReference w:type="default" r:id="rId2"/>
      <w:headerReference w:type="first" r:id="rId3"/>
      <w:footerReference w:type="default" r:id="rId4"/>
      <w:footerReference w:type="first" r:id="rId5"/>
      <w:type w:val="nextPage"/>
      <w:pgSz w:w="12240" w:h="15840"/>
      <w:pgMar w:left="2347" w:right="1253" w:gutter="0" w:header="1080" w:top="1440" w:footer="720" w:bottom="1080"/>
      <w:pgNumType w:start="1"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Palatino Linotyp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fldChar w:fldCharType="begin"/>
    </w:r>
    <w:r>
      <w:rPr/>
      <w:instrText xml:space="preserve"> PAGE </w:instrText>
    </w:r>
    <w:r>
      <w:rPr/>
      <w:fldChar w:fldCharType="separate"/>
    </w:r>
    <w:r>
      <w:rPr/>
      <w:t>4</w:t>
    </w:r>
    <w:r>
      <w:rPr/>
      <w:fldChar w:fldCharType="end"/>
    </w:r>
    <w:r>
      <mc:AlternateContent>
        <mc:Choice Requires="wps">
          <w:drawing>
            <wp:anchor behindDoc="0" distT="114300" distB="114300" distL="114300" distR="114300" simplePos="0" locked="0" layoutInCell="0" allowOverlap="1" relativeHeight="6">
              <wp:simplePos x="0" y="0"/>
              <wp:positionH relativeFrom="page">
                <wp:posOffset>457835</wp:posOffset>
              </wp:positionH>
              <wp:positionV relativeFrom="page">
                <wp:posOffset>9519285</wp:posOffset>
              </wp:positionV>
              <wp:extent cx="1833880"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833880"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wps:txbx>
                    <wps:bodyPr anchor="t" lIns="0" tIns="0" rIns="0" bIns="0">
                      <a:noAutofit/>
                    </wps:bodyPr>
                  </wps:wsp>
                </a:graphicData>
              </a:graphic>
            </wp:anchor>
          </w:drawing>
        </mc:Choice>
        <mc:Fallback>
          <w:pict>
            <v:rect fillcolor="#FFFFFF" style="position:absolute;rotation:-0;width:144.4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114300" distB="114300" distL="114300" distR="114300" simplePos="0" locked="0" layoutInCell="0" allowOverlap="1" relativeHeight="2">
              <wp:simplePos x="0" y="0"/>
              <wp:positionH relativeFrom="page">
                <wp:posOffset>457835</wp:posOffset>
              </wp:positionH>
              <wp:positionV relativeFrom="page">
                <wp:posOffset>9519285</wp:posOffset>
              </wp:positionV>
              <wp:extent cx="1833880" cy="116840"/>
              <wp:effectExtent l="0" t="0" r="0" b="0"/>
              <wp:wrapSquare wrapText="bothSides"/>
              <wp:docPr id="4" name="Frame1"/>
              <a:graphic xmlns:a="http://schemas.openxmlformats.org/drawingml/2006/main">
                <a:graphicData uri="http://schemas.microsoft.com/office/word/2010/wordprocessingShape">
                  <wps:wsp>
                    <wps:cNvSpPr txBox="1"/>
                    <wps:spPr>
                      <a:xfrm>
                        <a:off x="0" y="0"/>
                        <a:ext cx="1833880"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wps:txbx>
                    <wps:bodyPr anchor="t" lIns="0" tIns="0" rIns="0" bIns="0">
                      <a:noAutofit/>
                    </wps:bodyPr>
                  </wps:wsp>
                </a:graphicData>
              </a:graphic>
            </wp:anchor>
          </w:drawing>
        </mc:Choice>
        <mc:Fallback>
          <w:pict>
            <v:rect fillcolor="#FFFFFF" style="position:absolute;rotation:-0;width:144.4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9">
              <wp:simplePos x="0" y="0"/>
              <wp:positionH relativeFrom="page">
                <wp:posOffset>3639185</wp:posOffset>
              </wp:positionH>
              <wp:positionV relativeFrom="page">
                <wp:posOffset>457835</wp:posOffset>
              </wp:positionV>
              <wp:extent cx="3657600" cy="20955"/>
              <wp:effectExtent l="0" t="0" r="0" b="0"/>
              <wp:wrapSquare wrapText="bothSides"/>
              <wp:docPr id="1" name="Frame4"/>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rPr>
        <w:i/>
        <w:i/>
      </w:rPr>
    </w:pPr>
    <w:r>
      <w:rPr>
        <w:i/>
      </w:rPr>
      <w:t>Confidential</w:t>
    </w:r>
    <w:r>
      <mc:AlternateContent>
        <mc:Choice Requires="wps">
          <w:drawing>
            <wp:anchor behindDoc="0" distT="114300" distB="114300" distL="114300" distR="114300" simplePos="0" locked="0" layoutInCell="0" allowOverlap="1" relativeHeight="3">
              <wp:simplePos x="0" y="0"/>
              <wp:positionH relativeFrom="page">
                <wp:posOffset>3639185</wp:posOffset>
              </wp:positionH>
              <wp:positionV relativeFrom="page">
                <wp:posOffset>457835</wp:posOffset>
              </wp:positionV>
              <wp:extent cx="36576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p:/enron/mcconnell LOP 10123 cab.doc</w:t>
                    </w:r>
                    <w: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ind w:start="288" w:hanging="288"/>
      </w:pPr>
      <w:rPr>
        <w:rFonts w:ascii="Times New Roman" w:hAnsi="Times New Roman" w:cs="Times New Roman"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NewDocIDFormat" w:val="True"/>
    <w:docVar w:name="DocIDStyle" w:val="DocumentID-BL"/>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Times" w:hAnsi="Times" w:cs="Times"/>
      <w:b w:val="false"/>
      <w:i w:val="false"/>
      <w:sz w:val="24"/>
    </w:rPr>
  </w:style>
  <w:style w:type="character" w:styleId="WW8Num4z0">
    <w:name w:val="WW8Num4z0"/>
    <w:qFormat/>
    <w:rPr>
      <w:rFonts w:ascii="Times" w:hAnsi="Times" w:cs="Times"/>
      <w:b w:val="false"/>
      <w:i w:val="false"/>
      <w:sz w:val="24"/>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w:hAnsi="Times" w:cs="Times"/>
      <w:b w:val="false"/>
      <w:i w:val="false"/>
      <w:sz w:val="24"/>
    </w:rPr>
  </w:style>
  <w:style w:type="character" w:styleId="WW8Num8z0">
    <w:name w:val="WW8Num8z0"/>
    <w:qFormat/>
    <w:rPr>
      <w:rFonts w:ascii="Times" w:hAnsi="Times" w:cs="Times"/>
      <w:b w:val="false"/>
      <w:i w:val="false"/>
      <w:sz w:val="24"/>
    </w:rPr>
  </w:style>
  <w:style w:type="character" w:styleId="WW8Num9z0">
    <w:name w:val="WW8Num9z0"/>
    <w:qFormat/>
    <w:rPr>
      <w:rFonts w:ascii="Times New Roman" w:hAnsi="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w:hAnsi="Times" w:cs="Times"/>
      <w:b w:val="false"/>
      <w:i w:val="false"/>
      <w:sz w:val="24"/>
    </w:rPr>
  </w:style>
  <w:style w:type="character" w:styleId="WW8Num11z0">
    <w:name w:val="WW8Num11z0"/>
    <w:qFormat/>
    <w:rPr>
      <w:rFonts w:ascii="Palatino" w:hAnsi="Palatino" w:cs="Palatino"/>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1">
    <w:name w:val="WW8Num14z1"/>
    <w:qFormat/>
    <w:rPr>
      <w:rFonts w:ascii="Wingdings" w:hAnsi="Wingdings" w:cs="Wingdings"/>
      <w:sz w:val="28"/>
    </w:rPr>
  </w:style>
  <w:style w:type="character" w:styleId="WW8Num14z2">
    <w:name w:val="WW8Num14z2"/>
    <w:qFormat/>
    <w:rPr>
      <w:rFonts w:ascii="Times New Roman" w:hAnsi="Times New Roman" w:cs="Times New Roman"/>
      <w:sz w:val="24"/>
    </w:rPr>
  </w:style>
  <w:style w:type="character" w:styleId="WW8Num15z0">
    <w:name w:val="WW8Num15z0"/>
    <w:qFormat/>
    <w:rPr>
      <w:rFonts w:ascii="Wingdings" w:hAnsi="Wingdings" w:cs="Wingdings"/>
    </w:rPr>
  </w:style>
  <w:style w:type="character" w:styleId="WW8Num16z0">
    <w:name w:val="WW8Num16z0"/>
    <w:qFormat/>
    <w:rPr>
      <w:rFonts w:ascii="Palatino" w:hAnsi="Palatino" w:cs="Palatino"/>
    </w:rPr>
  </w:style>
  <w:style w:type="character" w:styleId="WW8Num17z0">
    <w:name w:val="WW8Num17z0"/>
    <w:qFormat/>
    <w:rPr>
      <w:rFonts w:ascii="Palatino" w:hAnsi="Palatino" w:cs="Palatino"/>
    </w:rPr>
  </w:style>
  <w:style w:type="character" w:styleId="WW8Num18z0">
    <w:name w:val="WW8Num18z0"/>
    <w:qFormat/>
    <w:rPr>
      <w:rFonts w:ascii="Times New Roman" w:hAnsi="Times New Roman" w:cs="Times New Roman"/>
      <w:b w:val="false"/>
      <w:i w:val="false"/>
    </w:rPr>
  </w:style>
  <w:style w:type="character" w:styleId="WW8Num19z0">
    <w:name w:val="WW8Num19z0"/>
    <w:qFormat/>
    <w:rPr>
      <w:rFonts w:ascii="Times" w:hAnsi="Times" w:cs="Times"/>
      <w:b w:val="false"/>
      <w:i w:val="false"/>
      <w:sz w:val="24"/>
    </w:rPr>
  </w:style>
  <w:style w:type="character" w:styleId="WW8Num20z0">
    <w:name w:val="WW8Num20z0"/>
    <w:qFormat/>
    <w:rPr>
      <w:rFonts w:ascii="Palatino" w:hAnsi="Palatino" w:cs="Palatino"/>
    </w:rPr>
  </w:style>
  <w:style w:type="character" w:styleId="WW8Num21z0">
    <w:name w:val="WW8Num21z0"/>
    <w:qFormat/>
    <w:rPr>
      <w:rFonts w:ascii="Times" w:hAnsi="Times" w:cs="Times"/>
      <w:b w:val="false"/>
      <w:i w:val="false"/>
      <w:sz w:val="24"/>
    </w:rPr>
  </w:style>
  <w:style w:type="character" w:styleId="WW8Num22z0">
    <w:name w:val="WW8Num22z0"/>
    <w:qFormat/>
    <w:rPr>
      <w:rFonts w:ascii="Times" w:hAnsi="Times" w:cs="Times"/>
      <w:b w:val="false"/>
      <w:i w:val="false"/>
      <w:sz w:val="24"/>
    </w:rPr>
  </w:style>
  <w:style w:type="character" w:styleId="WW8Num23z0">
    <w:name w:val="WW8Num23z0"/>
    <w:qFormat/>
    <w:rPr>
      <w:rFonts w:ascii="Times New Roman" w:hAnsi="Times New Roman" w:cs="Times New Roman"/>
    </w:rPr>
  </w:style>
  <w:style w:type="character" w:styleId="WW8Num25z0">
    <w:name w:val="WW8Num25z0"/>
    <w:qFormat/>
    <w:rPr>
      <w:rFonts w:ascii="Times" w:hAnsi="Times" w:cs="Times"/>
      <w:b w:val="false"/>
      <w:i w:val="false"/>
      <w:sz w:val="24"/>
    </w:rPr>
  </w:style>
  <w:style w:type="character" w:styleId="WW8Num26z0">
    <w:name w:val="WW8Num26z0"/>
    <w:qFormat/>
    <w:rPr>
      <w:rFonts w:ascii="Times New Roman" w:hAnsi="Times New Roman" w:cs="Times New Roman"/>
    </w:rPr>
  </w:style>
  <w:style w:type="character" w:styleId="WW8Num27z0">
    <w:name w:val="WW8Num27z0"/>
    <w:qFormat/>
    <w:rPr>
      <w:rFonts w:ascii="Wingdings" w:hAnsi="Wingdings" w:cs="Wingdings"/>
    </w:rPr>
  </w:style>
  <w:style w:type="character" w:styleId="WW8Num29z0">
    <w:name w:val="WW8Num29z0"/>
    <w:qFormat/>
    <w:rPr>
      <w:rFonts w:ascii="Times" w:hAnsi="Times" w:cs="Times"/>
      <w:b w:val="false"/>
      <w:i w:val="false"/>
      <w:sz w:val="24"/>
    </w:rPr>
  </w:style>
  <w:style w:type="character" w:styleId="WW8Num30z0">
    <w:name w:val="WW8Num30z0"/>
    <w:qFormat/>
    <w:rPr>
      <w:rFonts w:ascii="Palatino" w:hAnsi="Palatino" w:cs="Palatino"/>
      <w:b w:val="false"/>
      <w:i w:val="false"/>
    </w:rPr>
  </w:style>
  <w:style w:type="character" w:styleId="WW8Num32z0">
    <w:name w:val="WW8Num32z0"/>
    <w:qFormat/>
    <w:rPr>
      <w:rFonts w:ascii="Wingdings" w:hAnsi="Wingdings" w:cs="Wingdings"/>
    </w:rPr>
  </w:style>
  <w:style w:type="character" w:styleId="WW8Num33z0">
    <w:name w:val="WW8Num33z0"/>
    <w:qFormat/>
    <w:rPr>
      <w:rFonts w:ascii="Times" w:hAnsi="Times" w:cs="Times"/>
      <w:b w:val="false"/>
      <w:i w:val="false"/>
      <w:sz w:val="24"/>
    </w:rPr>
  </w:style>
  <w:style w:type="character" w:styleId="WW8Num34z0">
    <w:name w:val="WW8Num34z0"/>
    <w:qFormat/>
    <w:rPr>
      <w:rFonts w:ascii="Times" w:hAnsi="Times" w:cs="Times"/>
      <w:b w:val="false"/>
      <w:i w:val="false"/>
      <w:sz w:val="24"/>
    </w:rPr>
  </w:style>
  <w:style w:type="character" w:styleId="WW8Num35z0">
    <w:name w:val="WW8Num35z0"/>
    <w:qFormat/>
    <w:rPr>
      <w:rFonts w:ascii="Times" w:hAnsi="Times" w:cs="Times"/>
      <w:b w:val="false"/>
      <w:i w:val="false"/>
      <w:sz w:val="24"/>
    </w:rPr>
  </w:style>
  <w:style w:type="character" w:styleId="WW8Num36z0">
    <w:name w:val="WW8Num36z0"/>
    <w:qFormat/>
    <w:rPr>
      <w:rFonts w:ascii="Times" w:hAnsi="Times" w:cs="Times"/>
      <w:b w:val="false"/>
      <w:i w:val="false"/>
      <w:sz w:val="24"/>
    </w:rPr>
  </w:style>
  <w:style w:type="character" w:styleId="WW8Num37z0">
    <w:name w:val="WW8Num37z0"/>
    <w:qFormat/>
    <w:rPr>
      <w:rFonts w:ascii="Times New Roman" w:hAnsi="Times New Roman" w:cs="Times New Roman"/>
    </w:rPr>
  </w:style>
  <w:style w:type="character" w:styleId="WW8Num38z0">
    <w:name w:val="WW8Num38z0"/>
    <w:qFormat/>
    <w:rPr>
      <w:rFonts w:ascii="Palatino" w:hAnsi="Palatino" w:cs="Palatino"/>
    </w:rPr>
  </w:style>
  <w:style w:type="character" w:styleId="WW8Num39z0">
    <w:name w:val="WW8Num39z0"/>
    <w:qFormat/>
    <w:rPr>
      <w:rFonts w:ascii="Palatino" w:hAnsi="Palatino" w:cs="Palatino"/>
    </w:rPr>
  </w:style>
  <w:style w:type="character" w:styleId="WW8Num40z0">
    <w:name w:val="WW8Num40z0"/>
    <w:qFormat/>
    <w:rPr>
      <w:rFonts w:ascii="Wingdings" w:hAnsi="Wingdings" w:cs="Wingdings"/>
      <w:sz w:val="28"/>
    </w:rPr>
  </w:style>
  <w:style w:type="character" w:styleId="WW8Num41z0">
    <w:name w:val="WW8Num41z0"/>
    <w:qFormat/>
    <w:rPr>
      <w:rFonts w:ascii="Times New Roman" w:hAnsi="Times New Roman" w:cs="Times New Roman"/>
      <w:b w:val="false"/>
      <w:i w:val="false"/>
    </w:rPr>
  </w:style>
  <w:style w:type="character" w:styleId="WW8Num42z0">
    <w:name w:val="WW8Num42z0"/>
    <w:qFormat/>
    <w:rPr>
      <w:rFonts w:ascii="Times" w:hAnsi="Times" w:cs="Times"/>
      <w:b w:val="false"/>
      <w:i w:val="false"/>
      <w:sz w:val="24"/>
    </w:rPr>
  </w:style>
  <w:style w:type="character" w:styleId="WW8Num43z0">
    <w:name w:val="WW8Num43z0"/>
    <w:qFormat/>
    <w:rPr>
      <w:rFonts w:ascii="Palatino Linotype" w:hAnsi="Palatino Linotype" w:cs="Palatino Linotype"/>
    </w:rPr>
  </w:style>
  <w:style w:type="character" w:styleId="WW8Num44z0">
    <w:name w:val="WW8Num44z0"/>
    <w:qFormat/>
    <w:rPr>
      <w:rFonts w:ascii="Wingdings" w:hAnsi="Wingdings" w:cs="Wingdings"/>
    </w:rPr>
  </w:style>
  <w:style w:type="character" w:styleId="WW8Num45z0">
    <w:name w:val="WW8Num45z0"/>
    <w:qFormat/>
    <w:rPr>
      <w:rFonts w:ascii="Palatino" w:hAnsi="Palatino" w:cs="Palatino"/>
    </w:rPr>
  </w:style>
  <w:style w:type="character" w:styleId="WW8Num46z0">
    <w:name w:val="WW8Num46z0"/>
    <w:qFormat/>
    <w:rPr>
      <w:rFonts w:ascii="Times New Roman" w:hAnsi="Times New Roman" w:cs="Times New Roman"/>
    </w:rPr>
  </w:style>
  <w:style w:type="character" w:styleId="WW8Num47z0">
    <w:name w:val="WW8Num47z0"/>
    <w:qFormat/>
    <w:rPr>
      <w:rFonts w:ascii="Times" w:hAnsi="Times" w:cs="Times"/>
      <w:b w:val="false"/>
      <w:i w:val="false"/>
      <w:sz w:val="24"/>
    </w:rPr>
  </w:style>
  <w:style w:type="character" w:styleId="WW8Num49z0">
    <w:name w:val="WW8Num49z0"/>
    <w:qFormat/>
    <w:rPr>
      <w:rFonts w:ascii="Times" w:hAnsi="Times" w:cs="Times"/>
      <w:b w:val="false"/>
      <w:i w:val="false"/>
      <w:sz w:val="24"/>
    </w:rPr>
  </w:style>
  <w:style w:type="character" w:styleId="WW8Num50z0">
    <w:name w:val="WW8Num50z0"/>
    <w:qFormat/>
    <w:rPr>
      <w:rFonts w:ascii="Times" w:hAnsi="Times" w:cs="Times"/>
      <w:b w:val="false"/>
      <w:i w:val="false"/>
      <w:sz w:val="24"/>
    </w:rPr>
  </w:style>
  <w:style w:type="character" w:styleId="WW8Num52z0">
    <w:name w:val="WW8Num52z0"/>
    <w:qFormat/>
    <w:rPr>
      <w:rFonts w:ascii="Times" w:hAnsi="Times" w:cs="Times"/>
      <w:b w:val="false"/>
      <w:i w:val="false"/>
      <w:sz w:val="24"/>
    </w:rPr>
  </w:style>
  <w:style w:type="character" w:styleId="WW8Num53z0">
    <w:name w:val="WW8Num53z0"/>
    <w:qFormat/>
    <w:rPr>
      <w:rFonts w:ascii="Times" w:hAnsi="Times" w:cs="Times"/>
      <w:b w:val="false"/>
      <w:i w:val="false"/>
      <w:sz w:val="24"/>
    </w:rPr>
  </w:style>
  <w:style w:type="character" w:styleId="WW8Num54z0">
    <w:name w:val="WW8Num54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6z0">
    <w:name w:val="WW8Num56z0"/>
    <w:qFormat/>
    <w:rPr>
      <w:rFonts w:ascii="Times" w:hAnsi="Times" w:cs="Times"/>
      <w:b w:val="false"/>
      <w:i w:val="false"/>
      <w:sz w:val="24"/>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St27z0">
    <w:name w:val="WW8NumSt27z0"/>
    <w:qFormat/>
    <w:rPr>
      <w:rFonts w:ascii="Times" w:hAnsi="Times" w:cs="Times"/>
    </w:rPr>
  </w:style>
  <w:style w:type="character" w:styleId="WW8NumSt32z0">
    <w:name w:val="WW8NumSt32z0"/>
    <w:qFormat/>
    <w:rPr>
      <w:rFonts w:ascii="Times" w:hAnsi="Times" w:cs="Times"/>
    </w:rPr>
  </w:style>
  <w:style w:type="character" w:styleId="WW8NumSt37z0">
    <w:name w:val="WW8NumSt37z0"/>
    <w:qFormat/>
    <w:rPr>
      <w:rFonts w:ascii="Times" w:hAnsi="Times" w:cs="Times"/>
      <w:sz w:val="24"/>
    </w:rPr>
  </w:style>
  <w:style w:type="character" w:styleId="WW8NumSt38z0">
    <w:name w:val="WW8NumSt38z0"/>
    <w:qFormat/>
    <w:rPr>
      <w:rFonts w:ascii="Times" w:hAnsi="Times" w:cs="Times"/>
    </w:rPr>
  </w:style>
  <w:style w:type="character" w:styleId="WW8NumSt39z0">
    <w:name w:val="WW8NumSt39z0"/>
    <w:qFormat/>
    <w:rPr>
      <w:rFonts w:ascii="Times" w:hAnsi="Times" w:cs="Times"/>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WW8NumSt93z0">
    <w:name w:val="WW8NumSt93z0"/>
    <w:qFormat/>
    <w:rPr>
      <w:rFonts w:ascii="Palatino" w:hAnsi="Palatino" w:cs="Palatino"/>
    </w:rPr>
  </w:style>
  <w:style w:type="character" w:styleId="WW8NumSt96z0">
    <w:name w:val="WW8NumSt96z0"/>
    <w:qFormat/>
    <w:rPr>
      <w:rFonts w:ascii="Palatino" w:hAnsi="Palatino" w:cs="Palatino"/>
    </w:rPr>
  </w:style>
  <w:style w:type="character" w:styleId="WW8NumSt97z0">
    <w:name w:val="WW8NumSt97z0"/>
    <w:qFormat/>
    <w:rPr>
      <w:rFonts w:ascii="Palatino" w:hAnsi="Palatino" w:cs="Palatino"/>
    </w:rPr>
  </w:style>
  <w:style w:type="character" w:styleId="WW8NumSt100z0">
    <w:name w:val="WW8NumSt100z0"/>
    <w:qFormat/>
    <w:rPr>
      <w:rFonts w:ascii="Palatino" w:hAnsi="Palatino" w:cs="Palatino"/>
    </w:rPr>
  </w:style>
  <w:style w:type="character" w:styleId="WW8NumSt121z0">
    <w:name w:val="WW8NumSt121z0"/>
    <w:qFormat/>
    <w:rPr>
      <w:rFonts w:ascii="Palatino" w:hAnsi="Palatino" w:cs="Palatino"/>
    </w:rPr>
  </w:style>
  <w:style w:type="character" w:styleId="WW8NumSt124z0">
    <w:name w:val="WW8NumSt124z0"/>
    <w:qFormat/>
    <w:rPr>
      <w:rFonts w:ascii="Palatino" w:hAnsi="Palatino" w:cs="Palatino"/>
    </w:rPr>
  </w:style>
  <w:style w:type="character" w:styleId="WW8NumSt137z0">
    <w:name w:val="WW8NumSt137z0"/>
    <w:qFormat/>
    <w:rPr>
      <w:rFonts w:ascii="Palatino Linotype" w:hAnsi="Palatino Linotype" w:cs="Palatino Linotype"/>
    </w:rPr>
  </w:style>
  <w:style w:type="character" w:styleId="WW8NumSt137z1">
    <w:name w:val="WW8NumSt137z1"/>
    <w:qFormat/>
    <w:rPr>
      <w:rFonts w:ascii="Courier New" w:hAnsi="Courier New" w:cs="Courier New"/>
    </w:rPr>
  </w:style>
  <w:style w:type="character" w:styleId="WW8NumSt137z2">
    <w:name w:val="WW8NumSt137z2"/>
    <w:qFormat/>
    <w:rPr>
      <w:rFonts w:ascii="Wingdings" w:hAnsi="Wingdings" w:cs="Wingdings"/>
    </w:rPr>
  </w:style>
  <w:style w:type="character" w:styleId="WW8NumSt137z3">
    <w:name w:val="WW8NumSt137z3"/>
    <w:qFormat/>
    <w:rPr>
      <w:rFonts w:ascii="Symbol" w:hAnsi="Symbol" w:cs="Symbol"/>
    </w:rPr>
  </w:style>
  <w:style w:type="character" w:styleId="WW8NumSt140z0">
    <w:name w:val="WW8NumSt140z0"/>
    <w:qFormat/>
    <w:rPr>
      <w:rFonts w:ascii="Palatino" w:hAnsi="Palatino" w:cs="Palatino"/>
    </w:rPr>
  </w:style>
  <w:style w:type="character" w:styleId="WW8NumSt150z0">
    <w:name w:val="WW8NumSt150z0"/>
    <w:qFormat/>
    <w:rPr>
      <w:rFonts w:ascii="Palatino Linotype" w:hAnsi="Palatino Linotype" w:cs="Palatino Linotype"/>
    </w:rPr>
  </w:style>
  <w:style w:type="character" w:styleId="WW8NumSt150z1">
    <w:name w:val="WW8NumSt150z1"/>
    <w:qFormat/>
    <w:rPr>
      <w:rFonts w:ascii="Courier New" w:hAnsi="Courier New" w:cs="Courier New"/>
    </w:rPr>
  </w:style>
  <w:style w:type="character" w:styleId="WW8NumSt150z2">
    <w:name w:val="WW8NumSt150z2"/>
    <w:qFormat/>
    <w:rPr>
      <w:rFonts w:ascii="Wingdings" w:hAnsi="Wingdings" w:cs="Wingdings"/>
    </w:rPr>
  </w:style>
  <w:style w:type="character" w:styleId="WW8NumSt150z3">
    <w:name w:val="WW8NumSt150z3"/>
    <w:qFormat/>
    <w:rPr>
      <w:rFonts w:ascii="Symbol" w:hAnsi="Symbol" w:cs="Symbol"/>
    </w:rPr>
  </w:style>
  <w:style w:type="character" w:styleId="WW8NumSt155z0">
    <w:name w:val="WW8NumSt155z0"/>
    <w:qFormat/>
    <w:rPr>
      <w:rFonts w:ascii="Times New Roman" w:hAnsi="Times New Roman" w:cs="Times New Roman"/>
    </w:rPr>
  </w:style>
  <w:style w:type="character" w:styleId="WW8NumSt155z1">
    <w:name w:val="WW8NumSt155z1"/>
    <w:qFormat/>
    <w:rPr>
      <w:rFonts w:ascii="Courier New" w:hAnsi="Courier New" w:cs="Courier New"/>
    </w:rPr>
  </w:style>
  <w:style w:type="character" w:styleId="WW8NumSt155z2">
    <w:name w:val="WW8NumSt155z2"/>
    <w:qFormat/>
    <w:rPr>
      <w:rFonts w:ascii="Wingdings" w:hAnsi="Wingdings" w:cs="Wingdings"/>
    </w:rPr>
  </w:style>
  <w:style w:type="character" w:styleId="WW8NumSt155z3">
    <w:name w:val="WW8NumSt155z3"/>
    <w:qFormat/>
    <w:rPr>
      <w:rFonts w:ascii="Symbol" w:hAnsi="Symbol" w:cs="Symbol"/>
    </w:rPr>
  </w:style>
  <w:style w:type="character" w:styleId="WW8NumSt158z0">
    <w:name w:val="WW8NumSt158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1subtitle">
    <w:name w:val="31 subtitle"/>
    <w:basedOn w:val="Normal"/>
    <w:next w:val="Normal"/>
    <w:qFormat/>
    <w:pPr>
      <w:spacing w:before="0" w:after="720"/>
      <w:ind w:hanging="0" w:start="0" w:end="3601"/>
    </w:pPr>
    <w:rPr>
      <w:i/>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39restrictivenote">
    <w:name w:val="39 restrictive note"/>
    <w:basedOn w:val="Normal"/>
    <w:next w:val="40address"/>
    <w:qFormat/>
    <w:pPr/>
    <w:rPr>
      <w:i/>
    </w:rPr>
  </w:style>
  <w:style w:type="paragraph" w:styleId="40address">
    <w:name w:val="40 address"/>
    <w:basedOn w:val="Normal"/>
    <w:qFormat/>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0exhnormal">
    <w:name w:val="60 exh normal"/>
    <w:basedOn w:val="Normal"/>
    <w:qFormat/>
    <w:pPr>
      <w:spacing w:before="0" w:after="0"/>
    </w:pPr>
    <w:rPr>
      <w:rFonts w:ascii="Arial" w:hAnsi="Arial" w:cs="Arial"/>
      <w:sz w:val="24"/>
    </w:rPr>
  </w:style>
  <w:style w:type="paragraph" w:styleId="61exhbullet">
    <w:name w:val="61 exh bullet"/>
    <w:basedOn w:val="Normal"/>
    <w:qFormat/>
    <w:pPr>
      <w:numPr>
        <w:ilvl w:val="0"/>
        <w:numId w:val="11"/>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2"/>
      </w:numPr>
      <w:tabs>
        <w:tab w:val="left" w:pos="360" w:leader="none"/>
      </w:tabs>
    </w:pPr>
    <w:rPr>
      <w:rFonts w:ascii="Arial" w:hAnsi="Arial" w:cs="Arial"/>
      <w:sz w:val="24"/>
    </w:rPr>
  </w:style>
  <w:style w:type="paragraph" w:styleId="64exhddot">
    <w:name w:val="64 exh ddot"/>
    <w:basedOn w:val="04dot"/>
    <w:qFormat/>
    <w:pPr>
      <w:numPr>
        <w:ilvl w:val="0"/>
        <w:numId w:val="10"/>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3"/>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style>
  <w:style w:type="paragraph" w:styleId="DocumentID-TR">
    <w:name w:val="DocumentID-TR"/>
    <w:basedOn w:val="Normal"/>
    <w:next w:val="Header"/>
    <w:qFormat/>
    <w:pPr>
      <w:spacing w:before="0" w:after="0"/>
      <w:jc w:val="end"/>
    </w:pPr>
    <w:rPr>
      <w:vanish/>
      <w:color w:val="FF0000"/>
      <w:sz w:val="16"/>
    </w:rPr>
  </w:style>
  <w:style w:type="paragraph" w:styleId="DocumentID-TRT">
    <w:name w:val="DocumentID-TRT"/>
    <w:basedOn w:val="DocumentID-TR"/>
    <w:qFormat/>
    <w:pPr/>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(Client).dot</Template>
  <TotalTime>606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2001-04-02T21:21:00Z</dcterms:created>
  <dc:creator>Carol Benter</dc:creator>
  <dc:description>p:/enron/mcconnell LOP 10123 cab.doc</dc:description>
  <cp:keywords>txho/</cp:keywords>
  <dc:language>en-CA</dc:language>
  <cp:lastModifiedBy>Eric Bradley</cp:lastModifiedBy>
  <cp:lastPrinted>2001-04-18T18:25:00Z</cp:lastPrinted>
  <dcterms:modified xsi:type="dcterms:W3CDTF">2001-04-18T21:45:00Z</dcterms:modified>
  <cp:revision>23</cp:revision>
  <dc:subject/>
  <dc:title>Memorandum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0</vt:bool>
  </property>
  <property fmtid="{D5CDD505-2E9C-101B-9397-08002B2CF9AE}" pid="3" name="DocIDPos">
    <vt:lpwstr>BL</vt:lpwstr>
  </property>
  <property fmtid="{D5CDD505-2E9C-101B-9397-08002B2CF9AE}" pid="4" name="DocIDinText">
    <vt:bool>1</vt:bool>
  </property>
  <property fmtid="{D5CDD505-2E9C-101B-9397-08002B2CF9AE}" pid="5" name="DocIDinTitle">
    <vt:bool>1</vt:bool>
  </property>
</Properties>
</file>