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UNITED STATES OF AMERICA</w:t>
      </w:r>
    </w:p>
    <w:p>
      <w:pPr>
        <w:pStyle w:val="Normal"/>
        <w:jc w:val="center"/>
        <w:rPr/>
      </w:pPr>
      <w:r>
        <w:rPr/>
        <w:t>BEFORE THE</w:t>
      </w:r>
    </w:p>
    <w:p>
      <w:pPr>
        <w:pStyle w:val="Normal"/>
        <w:jc w:val="center"/>
        <w:rPr/>
      </w:pPr>
      <w:r>
        <w:rPr/>
        <w:t>FEDERAL ENERGY REGULATORY COMMISSION</w:t>
      </w:r>
    </w:p>
    <w:p>
      <w:pPr>
        <w:pStyle w:val="Normal"/>
        <w:jc w:val="center"/>
        <w:rPr/>
      </w:pPr>
      <w:r>
        <w:rPr/>
      </w:r>
    </w:p>
    <w:p>
      <w:pPr>
        <w:pStyle w:val="Normal"/>
        <w:rPr>
          <w:u w:val="single"/>
        </w:rPr>
      </w:pPr>
      <w:r>
        <w:rPr>
          <w:u w:val="single"/>
        </w:rPr>
      </w:r>
    </w:p>
    <w:p>
      <w:pPr>
        <w:pStyle w:val="Normal"/>
        <w:rPr>
          <w:u w:val="single"/>
        </w:rPr>
      </w:pPr>
      <w:r>
        <w:rPr>
          <w:u w:val="single"/>
        </w:rPr>
        <w:tab/>
        <w:tab/>
        <w:tab/>
        <w:tab/>
        <w:tab/>
        <w:tab/>
      </w:r>
    </w:p>
    <w:p>
      <w:pPr>
        <w:pStyle w:val="Normal"/>
        <w:rPr/>
      </w:pPr>
      <w:r>
        <w:rPr/>
        <w:tab/>
        <w:tab/>
        <w:tab/>
        <w:tab/>
        <w:tab/>
        <w:tab/>
        <w:t>)</w:t>
      </w:r>
    </w:p>
    <w:p>
      <w:pPr>
        <w:pStyle w:val="Normal"/>
        <w:rPr/>
      </w:pPr>
      <w:r>
        <w:rPr/>
        <w:t>Regional Transmission Organizations</w:t>
        <w:tab/>
        <w:t>)</w:t>
        <w:tab/>
        <w:tab/>
        <w:t xml:space="preserve">Docket No. </w:t>
        <w:tab/>
        <w:t>RM99-2</w:t>
      </w:r>
    </w:p>
    <w:p>
      <w:pPr>
        <w:pStyle w:val="Normal"/>
        <w:rPr/>
      </w:pPr>
      <w:r>
        <w:rPr>
          <w:u w:val="single"/>
        </w:rPr>
        <w:tab/>
        <w:tab/>
        <w:tab/>
        <w:tab/>
        <w:tab/>
        <w:tab/>
      </w:r>
      <w:r>
        <w:rPr/>
        <w:t>)</w:t>
      </w:r>
    </w:p>
    <w:p>
      <w:pPr>
        <w:pStyle w:val="Normal"/>
        <w:rPr/>
      </w:pPr>
      <w:r>
        <w:rPr/>
      </w:r>
    </w:p>
    <w:p>
      <w:pPr>
        <w:pStyle w:val="Normal"/>
        <w:ind w:hanging="5670" w:start="5670" w:end="0"/>
        <w:rPr/>
      </w:pPr>
      <w:r>
        <w:rPr/>
      </w:r>
    </w:p>
    <w:p>
      <w:pPr>
        <w:pStyle w:val="Normal"/>
        <w:ind w:hanging="5670" w:start="5670" w:end="0"/>
        <w:rPr/>
      </w:pPr>
      <w:r>
        <w:rPr/>
      </w:r>
    </w:p>
    <w:p>
      <w:pPr>
        <w:pStyle w:val="Normal"/>
        <w:ind w:hanging="4147" w:start="4147" w:end="0"/>
        <w:jc w:val="center"/>
        <w:rPr/>
      </w:pPr>
      <w:r>
        <w:rPr/>
        <w:t>JOINT MOTION OF</w:t>
      </w:r>
    </w:p>
    <w:p>
      <w:pPr>
        <w:pStyle w:val="Normal"/>
        <w:ind w:hanging="4147" w:start="4147" w:end="0"/>
        <w:jc w:val="center"/>
        <w:rPr/>
      </w:pPr>
      <w:r>
        <w:rPr/>
        <w:t>ELECTRICITY CONSUMERS RESOURCE COUNCIL (ELCON),</w:t>
      </w:r>
    </w:p>
    <w:p>
      <w:pPr>
        <w:pStyle w:val="Normal"/>
        <w:ind w:hanging="4147" w:start="4147" w:end="0"/>
        <w:jc w:val="center"/>
        <w:rPr/>
      </w:pPr>
      <w:r>
        <w:rPr/>
        <w:t>ELECTRIC POWER SUPPLY ASSOCIATION,</w:t>
      </w:r>
    </w:p>
    <w:p>
      <w:pPr>
        <w:pStyle w:val="Normal"/>
        <w:ind w:hanging="4147" w:start="4147" w:end="0"/>
        <w:jc w:val="center"/>
        <w:rPr/>
      </w:pPr>
      <w:r>
        <w:rPr/>
        <w:t>ENRON POWER MARKETING, INC.,</w:t>
      </w:r>
    </w:p>
    <w:p>
      <w:pPr>
        <w:pStyle w:val="Normal"/>
        <w:ind w:hanging="4147" w:start="4147" w:end="0"/>
        <w:jc w:val="center"/>
        <w:rPr/>
      </w:pPr>
      <w:r>
        <w:rPr/>
        <w:t>RELIANT ENERGY POWER GENERATION, INC.,</w:t>
      </w:r>
    </w:p>
    <w:p>
      <w:pPr>
        <w:pStyle w:val="Normal"/>
        <w:ind w:hanging="4147" w:start="4147" w:end="0"/>
        <w:jc w:val="center"/>
        <w:rPr/>
      </w:pPr>
      <w:r>
        <w:rPr/>
        <w:t>DYNEGY INC.</w:t>
      </w:r>
    </w:p>
    <w:p>
      <w:pPr>
        <w:pStyle w:val="Normal"/>
        <w:ind w:hanging="4147" w:start="4147" w:end="0"/>
        <w:jc w:val="center"/>
        <w:rPr/>
      </w:pPr>
      <w:r>
        <w:rPr/>
        <w:t>TO CONVENE A TECHNICAL CONFERENCE</w:t>
      </w:r>
    </w:p>
    <w:p>
      <w:pPr>
        <w:pStyle w:val="Normal"/>
        <w:ind w:hanging="4147" w:start="4147" w:end="0"/>
        <w:jc w:val="center"/>
        <w:rPr/>
      </w:pPr>
      <w:r>
        <w:rPr/>
        <w:t>ON INTERREGIONAL COORDINATION</w:t>
      </w:r>
    </w:p>
    <w:p>
      <w:pPr>
        <w:pStyle w:val="Normal"/>
        <w:ind w:hanging="4147" w:start="4147" w:end="0"/>
        <w:jc w:val="center"/>
        <w:rPr/>
      </w:pPr>
      <w:r>
        <w:rPr/>
      </w:r>
    </w:p>
    <w:p>
      <w:pPr>
        <w:pStyle w:val="Normal"/>
        <w:ind w:hanging="4147" w:start="4147" w:end="0"/>
        <w:jc w:val="center"/>
        <w:rPr/>
      </w:pPr>
      <w:r>
        <w:rPr/>
      </w:r>
    </w:p>
    <w:p>
      <w:pPr>
        <w:pStyle w:val="Normal"/>
        <w:ind w:hanging="4147" w:start="4147" w:end="0"/>
        <w:jc w:val="center"/>
        <w:rPr/>
      </w:pPr>
      <w:r>
        <w:rPr/>
      </w:r>
    </w:p>
    <w:p>
      <w:pPr>
        <w:pStyle w:val="Normal"/>
        <w:spacing w:lineRule="auto" w:line="480" w:before="0" w:after="240"/>
        <w:ind w:firstLine="1440" w:end="0"/>
        <w:rPr/>
      </w:pPr>
      <w:r>
        <w:rPr/>
        <w:t>Pursuant to Rule 212 of the Commission’s Rules of Practice and Procedure (18 C.F.R. § 385.212), the Electricity Consumers Resource Council (ELCON), Electric Power Supply Association (EPSA), Enron Power Marketing, Inc. (EPMI), Reliant Energy Power Generation, Inc. (Reliant), and Dynegy Inc. (Dynegy) (together, Joint Movants) file this motion requesting that the Commission convene a technical conference to provide guidance on implementation of Function 8 of Order 2000 – Interregional Coordination.</w:t>
      </w:r>
    </w:p>
    <w:p>
      <w:pPr>
        <w:pStyle w:val="Normal"/>
        <w:keepNext w:val="true"/>
        <w:spacing w:lineRule="auto" w:line="480"/>
        <w:ind w:firstLine="720" w:end="0"/>
        <w:rPr/>
      </w:pPr>
      <w:r>
        <w:rPr/>
        <w:tab/>
      </w:r>
      <w:r>
        <w:rPr>
          <w:u w:val="single"/>
        </w:rPr>
        <w:t>NOTICES AND COMMUNICATIONS</w:t>
      </w:r>
    </w:p>
    <w:p>
      <w:pPr>
        <w:pStyle w:val="CG-DblSp1"/>
        <w:keepNext w:val="true"/>
        <w:rPr/>
      </w:pPr>
      <w:r>
        <w:rPr/>
        <w:t>Notices and communications should be addressed to:</w:t>
      </w:r>
    </w:p>
    <w:p>
      <w:pPr>
        <w:pStyle w:val="CG-DblSp1"/>
        <w:keepNext w:val="true"/>
        <w:spacing w:lineRule="auto" w:line="240"/>
        <w:rPr/>
      </w:pPr>
      <w:r>
        <w:rPr/>
        <w:t>Dr. John Anderson</w:t>
      </w:r>
    </w:p>
    <w:p>
      <w:pPr>
        <w:pStyle w:val="CG-DblSp1"/>
        <w:keepNext w:val="true"/>
        <w:spacing w:lineRule="auto" w:line="240"/>
        <w:rPr/>
      </w:pPr>
      <w:r>
        <w:rPr/>
        <w:t>Executive Director</w:t>
      </w:r>
    </w:p>
    <w:p>
      <w:pPr>
        <w:pStyle w:val="CG-DblSp1"/>
        <w:spacing w:lineRule="auto" w:line="240"/>
        <w:rPr/>
      </w:pPr>
      <w:r>
        <w:rPr/>
        <w:t>The Electricity Consumers Resource Council</w:t>
      </w:r>
    </w:p>
    <w:p>
      <w:pPr>
        <w:pStyle w:val="CG-DblSp1"/>
        <w:spacing w:lineRule="auto" w:line="240"/>
        <w:rPr/>
      </w:pPr>
      <w:r>
        <w:rPr/>
        <w:t>1333 H Street, N.W.</w:t>
      </w:r>
    </w:p>
    <w:p>
      <w:pPr>
        <w:pStyle w:val="CG-DblSp1"/>
        <w:spacing w:lineRule="auto" w:line="240"/>
        <w:rPr/>
      </w:pPr>
      <w:r>
        <w:rPr/>
        <w:t>The West Tower, 8th Floor</w:t>
      </w:r>
    </w:p>
    <w:p>
      <w:pPr>
        <w:pStyle w:val="CG-DblSp1"/>
        <w:spacing w:lineRule="auto" w:line="240"/>
        <w:rPr/>
      </w:pPr>
      <w:r>
        <w:rPr/>
        <w:t>Washington, D.C.  20005</w:t>
      </w:r>
    </w:p>
    <w:p>
      <w:pPr>
        <w:pStyle w:val="CG-DblSp1"/>
        <w:spacing w:lineRule="auto" w:line="240"/>
        <w:rPr/>
      </w:pPr>
      <w:r>
        <w:rPr/>
      </w:r>
    </w:p>
    <w:p>
      <w:pPr>
        <w:pStyle w:val="CG-DblSp1"/>
        <w:keepNext w:val="true"/>
        <w:spacing w:lineRule="auto" w:line="240"/>
        <w:rPr/>
      </w:pPr>
      <w:r>
        <w:rPr/>
        <w:t>Sara D. Schotland, Esq.</w:t>
      </w:r>
    </w:p>
    <w:p>
      <w:pPr>
        <w:pStyle w:val="CG-DblSp1"/>
        <w:keepNext w:val="true"/>
        <w:spacing w:lineRule="auto" w:line="240"/>
        <w:rPr/>
      </w:pPr>
      <w:r>
        <w:rPr/>
        <w:t>Cleary, Gottlieb, Steen &amp; Hamilton</w:t>
      </w:r>
    </w:p>
    <w:p>
      <w:pPr>
        <w:pStyle w:val="CG-DblSp1"/>
        <w:spacing w:lineRule="auto" w:line="240"/>
        <w:rPr/>
      </w:pPr>
      <w:r>
        <w:rPr/>
        <w:t>2000 Pennsylvania Avenue, N.W.</w:t>
      </w:r>
    </w:p>
    <w:p>
      <w:pPr>
        <w:pStyle w:val="CG-DblSp1"/>
        <w:spacing w:lineRule="auto" w:line="240"/>
        <w:rPr/>
      </w:pPr>
      <w:r>
        <w:rPr/>
        <w:t>Washington, D.C.  20006</w:t>
      </w:r>
    </w:p>
    <w:p>
      <w:pPr>
        <w:pStyle w:val="CG-DblSp1"/>
        <w:spacing w:lineRule="auto" w:line="240"/>
        <w:rPr/>
      </w:pPr>
      <w:r>
        <w:rPr/>
      </w:r>
    </w:p>
    <w:p>
      <w:pPr>
        <w:pStyle w:val="CG-DblSp1"/>
        <w:spacing w:lineRule="auto" w:line="240"/>
        <w:rPr/>
      </w:pPr>
      <w:r>
        <w:rPr/>
        <w:t>Julie Simon</w:t>
      </w:r>
    </w:p>
    <w:p>
      <w:pPr>
        <w:pStyle w:val="CG-DblSp1"/>
        <w:spacing w:lineRule="auto" w:line="240"/>
        <w:rPr/>
      </w:pPr>
      <w:r>
        <w:rPr/>
        <w:t>Vice President of Policy</w:t>
      </w:r>
    </w:p>
    <w:p>
      <w:pPr>
        <w:pStyle w:val="CG-DblSp1"/>
        <w:spacing w:lineRule="auto" w:line="240"/>
        <w:rPr/>
      </w:pPr>
      <w:r>
        <w:rPr/>
        <w:t>Electric Power Supply Association</w:t>
      </w:r>
    </w:p>
    <w:p>
      <w:pPr>
        <w:pStyle w:val="CG-DblSp1"/>
        <w:spacing w:lineRule="auto" w:line="240"/>
        <w:rPr/>
      </w:pPr>
      <w:r>
        <w:rPr/>
        <w:t>1401 H Street, NW</w:t>
      </w:r>
    </w:p>
    <w:p>
      <w:pPr>
        <w:pStyle w:val="CG-DblSp1"/>
        <w:spacing w:lineRule="auto" w:line="240"/>
        <w:rPr/>
      </w:pPr>
      <w:r>
        <w:rPr/>
        <w:t>Suite 760</w:t>
      </w:r>
    </w:p>
    <w:p>
      <w:pPr>
        <w:pStyle w:val="CG-DblSp1"/>
        <w:spacing w:lineRule="auto" w:line="240"/>
        <w:rPr/>
      </w:pPr>
      <w:r>
        <w:rPr/>
        <w:t>Washington, DC  20005</w:t>
      </w:r>
    </w:p>
    <w:p>
      <w:pPr>
        <w:pStyle w:val="CG-DblSp1"/>
        <w:spacing w:lineRule="auto" w:line="240"/>
        <w:rPr/>
      </w:pPr>
      <w:r>
        <w:rPr/>
      </w:r>
    </w:p>
    <w:p>
      <w:pPr>
        <w:pStyle w:val="Normal"/>
        <w:rPr>
          <w:color w:val="000000"/>
          <w:lang w:eastAsia="en-US"/>
        </w:rPr>
      </w:pPr>
      <w:r>
        <w:rPr>
          <w:color w:val="000000"/>
          <w:lang w:eastAsia="en-US"/>
        </w:rPr>
        <w:tab/>
        <w:tab/>
        <w:t>Sarah G. Novosel</w:t>
      </w:r>
    </w:p>
    <w:p>
      <w:pPr>
        <w:pStyle w:val="Normal"/>
        <w:rPr>
          <w:color w:val="000000"/>
          <w:lang w:eastAsia="en-US"/>
        </w:rPr>
      </w:pPr>
      <w:r>
        <w:rPr>
          <w:color w:val="000000"/>
          <w:lang w:eastAsia="en-US"/>
        </w:rPr>
        <w:tab/>
        <w:tab/>
        <w:t>Senior Director</w:t>
      </w:r>
    </w:p>
    <w:p>
      <w:pPr>
        <w:pStyle w:val="Normal"/>
        <w:rPr>
          <w:color w:val="000000"/>
          <w:lang w:eastAsia="en-US"/>
        </w:rPr>
      </w:pPr>
      <w:r>
        <w:rPr>
          <w:color w:val="000000"/>
          <w:lang w:eastAsia="en-US"/>
        </w:rPr>
        <w:tab/>
        <w:tab/>
        <w:t>Enron Corp.</w:t>
      </w:r>
    </w:p>
    <w:p>
      <w:pPr>
        <w:pStyle w:val="Normal"/>
        <w:rPr>
          <w:color w:val="000000"/>
          <w:lang w:eastAsia="en-US"/>
        </w:rPr>
      </w:pPr>
      <w:r>
        <w:rPr>
          <w:color w:val="000000"/>
          <w:lang w:eastAsia="en-US"/>
        </w:rPr>
        <w:tab/>
        <w:tab/>
        <w:t>1775 Eye Street, N.W.</w:t>
      </w:r>
    </w:p>
    <w:p>
      <w:pPr>
        <w:pStyle w:val="CG-DblSp1"/>
        <w:spacing w:lineRule="auto" w:line="240"/>
        <w:rPr>
          <w:color w:val="000000"/>
          <w:lang w:eastAsia="en-US"/>
        </w:rPr>
      </w:pPr>
      <w:r>
        <w:rPr>
          <w:color w:val="000000"/>
          <w:lang w:eastAsia="en-US"/>
        </w:rPr>
        <w:t>Washington, D.C.  20006</w:t>
      </w:r>
    </w:p>
    <w:p>
      <w:pPr>
        <w:pStyle w:val="CG-DblSp1"/>
        <w:spacing w:lineRule="auto" w:line="240"/>
        <w:rPr/>
      </w:pPr>
      <w:r>
        <w:rPr/>
      </w:r>
    </w:p>
    <w:p>
      <w:pPr>
        <w:pStyle w:val="CG-DblSp1"/>
        <w:spacing w:lineRule="auto" w:line="240"/>
        <w:rPr/>
      </w:pPr>
      <w:r>
        <w:rPr/>
        <w:t>Michael G. Briggs</w:t>
      </w:r>
    </w:p>
    <w:p>
      <w:pPr>
        <w:pStyle w:val="CG-DblSp1"/>
        <w:spacing w:lineRule="auto" w:line="240"/>
        <w:rPr/>
      </w:pPr>
      <w:r>
        <w:rPr/>
        <w:t>Senior Counsel</w:t>
      </w:r>
    </w:p>
    <w:p>
      <w:pPr>
        <w:pStyle w:val="CG-DblSp1"/>
        <w:spacing w:lineRule="auto" w:line="240"/>
        <w:rPr/>
      </w:pPr>
      <w:r>
        <w:rPr/>
        <w:t>Reliant Energy, Incorporated</w:t>
      </w:r>
    </w:p>
    <w:p>
      <w:pPr>
        <w:pStyle w:val="CG-DblSp1"/>
        <w:spacing w:lineRule="auto" w:line="240"/>
        <w:rPr/>
      </w:pPr>
      <w:r>
        <w:rPr/>
        <w:t>801 Pennsylvania Ave., NW</w:t>
      </w:r>
    </w:p>
    <w:p>
      <w:pPr>
        <w:pStyle w:val="CG-DblSp1"/>
        <w:spacing w:lineRule="auto" w:line="240"/>
        <w:rPr/>
      </w:pPr>
      <w:r>
        <w:rPr/>
        <w:t>Suite 620</w:t>
      </w:r>
    </w:p>
    <w:p>
      <w:pPr>
        <w:pStyle w:val="CG-DblSp1"/>
        <w:spacing w:lineRule="auto" w:line="240"/>
        <w:rPr/>
      </w:pPr>
      <w:r>
        <w:rPr/>
        <w:t>Washington, DC  20004-2604</w:t>
      </w:r>
    </w:p>
    <w:p>
      <w:pPr>
        <w:pStyle w:val="CG-DblSp1"/>
        <w:spacing w:lineRule="auto" w:line="240"/>
        <w:rPr/>
      </w:pPr>
      <w:r>
        <w:rPr/>
      </w:r>
    </w:p>
    <w:p>
      <w:pPr>
        <w:pStyle w:val="CG-DblSp1"/>
        <w:spacing w:lineRule="auto" w:line="240"/>
        <w:rPr/>
      </w:pPr>
      <w:r>
        <w:rPr/>
        <w:t>John Stout</w:t>
      </w:r>
    </w:p>
    <w:p>
      <w:pPr>
        <w:pStyle w:val="CG-DblSp1"/>
        <w:spacing w:lineRule="auto" w:line="240"/>
        <w:rPr/>
      </w:pPr>
      <w:r>
        <w:rPr/>
        <w:t>John Simpson</w:t>
      </w:r>
    </w:p>
    <w:p>
      <w:pPr>
        <w:pStyle w:val="CG-DblSp1"/>
        <w:spacing w:lineRule="auto" w:line="240"/>
        <w:rPr/>
      </w:pPr>
      <w:r>
        <w:rPr/>
        <w:t>Reliant Power Generation, Inc.</w:t>
      </w:r>
    </w:p>
    <w:p>
      <w:pPr>
        <w:pStyle w:val="CG-DblSp1"/>
        <w:spacing w:lineRule="auto" w:line="240"/>
        <w:rPr/>
      </w:pPr>
      <w:r>
        <w:rPr/>
        <w:t>P.O. Box 286</w:t>
      </w:r>
    </w:p>
    <w:p>
      <w:pPr>
        <w:pStyle w:val="CG-DblSp1"/>
        <w:spacing w:lineRule="auto" w:line="240"/>
        <w:rPr/>
      </w:pPr>
      <w:r>
        <w:rPr/>
        <w:t>Houston, TX  77001-0286</w:t>
      </w:r>
    </w:p>
    <w:p>
      <w:pPr>
        <w:pStyle w:val="CG-DblSp1"/>
        <w:spacing w:lineRule="auto" w:line="240"/>
        <w:rPr/>
      </w:pPr>
      <w:r>
        <w:rPr/>
      </w:r>
    </w:p>
    <w:p>
      <w:pPr>
        <w:pStyle w:val="CG-DblSp1"/>
        <w:spacing w:lineRule="auto" w:line="240"/>
        <w:rPr/>
      </w:pPr>
      <w:r>
        <w:rPr/>
        <w:t>Mary J. Doyle</w:t>
        <w:br/>
        <w:tab/>
        <w:tab/>
        <w:t>Director of Regulatory Policy</w:t>
        <w:br/>
        <w:tab/>
        <w:tab/>
        <w:t>DYNEGY INC.</w:t>
        <w:br/>
        <w:tab/>
        <w:tab/>
        <w:t>805 15th St., NW, Suite 510-A</w:t>
        <w:br/>
        <w:tab/>
        <w:tab/>
        <w:t>Washington, DC 20005</w:t>
      </w:r>
    </w:p>
    <w:p>
      <w:pPr>
        <w:pStyle w:val="CG-DblSp1"/>
        <w:spacing w:lineRule="auto" w:line="240"/>
        <w:rPr/>
      </w:pPr>
      <w:r>
        <w:rPr/>
      </w:r>
    </w:p>
    <w:p>
      <w:pPr>
        <w:pStyle w:val="Normal"/>
        <w:keepNext w:val="true"/>
        <w:keepLines/>
        <w:spacing w:lineRule="auto" w:line="480" w:before="0" w:after="240"/>
        <w:ind w:firstLine="1440" w:end="0"/>
        <w:rPr>
          <w:u w:val="single"/>
        </w:rPr>
      </w:pPr>
      <w:r>
        <w:rPr>
          <w:u w:val="single"/>
        </w:rPr>
        <w:t>REQUEST FOR TECHNICAL CONFERENCE</w:t>
      </w:r>
    </w:p>
    <w:p>
      <w:pPr>
        <w:pStyle w:val="BodyTextIndent"/>
        <w:keepNext w:val="true"/>
        <w:keepLines/>
        <w:rPr/>
      </w:pPr>
      <w:r>
        <w:rPr/>
        <w:t>Order 2000’s Function 8 addresses the need to rationalize problems at the “seams,” i.e., at or across the boundaries between adjacent RTOs, with the broader objectives of Order 2000 and industry reliability standards:</w:t>
      </w:r>
    </w:p>
    <w:p>
      <w:pPr>
        <w:pStyle w:val="Normal"/>
        <w:ind w:start="1440" w:end="720"/>
        <w:rPr/>
      </w:pPr>
      <w:r>
        <w:rPr>
          <w:u w:val="single"/>
        </w:rPr>
        <w:t>(8)  Interregional Coordination</w:t>
      </w:r>
      <w:r>
        <w:rPr/>
        <w:t>:  The Regional Transmission Organization must ensure the integration of reliability practices within an interconnection and market interface practices among regions.</w:t>
      </w:r>
    </w:p>
    <w:p>
      <w:pPr>
        <w:pStyle w:val="Normal"/>
        <w:ind w:start="1440" w:end="720"/>
        <w:rPr/>
      </w:pPr>
      <w:r>
        <w:rPr/>
      </w:r>
    </w:p>
    <w:p>
      <w:pPr>
        <w:pStyle w:val="Normal"/>
        <w:ind w:start="1440" w:end="720"/>
        <w:rPr/>
      </w:pPr>
      <w:r>
        <w:rPr/>
        <w:t>An RTO proposal must explain how the RTO will ensure the integration of reliability and market interface practices. An RTO may ensure the integration of these practices either by developing integration practices itself or by cooperating in the development of integrated practices with an independent entity that covers all regions or, for reliability practices, covers an entire interconnection . . . .</w:t>
      </w:r>
    </w:p>
    <w:p>
      <w:pPr>
        <w:pStyle w:val="Normal"/>
        <w:ind w:start="1440" w:end="720"/>
        <w:rPr/>
      </w:pPr>
      <w:r>
        <w:rPr/>
      </w:r>
    </w:p>
    <w:p>
      <w:pPr>
        <w:pStyle w:val="Normal"/>
        <w:ind w:start="1440" w:end="720"/>
        <w:rPr/>
      </w:pPr>
      <w:r>
        <w:rPr/>
        <w:t>This provision does not mean that all RTOs necessarily must have a uniform practice, but that RTO reliability and market interface practices must be compatible with each other, especially at the “seams.”  RTOs must coordinate their practices with neighboring regions to ensure that market activity is not limited because of different regional practices. . . .</w:t>
      </w:r>
    </w:p>
    <w:p>
      <w:pPr>
        <w:pStyle w:val="Normal"/>
        <w:ind w:start="1440" w:end="720"/>
        <w:rPr/>
      </w:pPr>
      <w:r>
        <w:rPr/>
      </w:r>
    </w:p>
    <w:p>
      <w:pPr>
        <w:pStyle w:val="Normal"/>
        <w:ind w:start="1440" w:end="720"/>
        <w:rPr/>
      </w:pPr>
      <w:r>
        <w:rPr>
          <w:u w:val="single"/>
        </w:rPr>
        <w:t>The integration of reliability practices</w:t>
      </w:r>
      <w:r>
        <w:rPr/>
        <w:t xml:space="preserve"> involves procedures for coordination of reliability practices and sharing of reliability data among regions in an interconnection, including procedures that address parallel path flows, ancillary service standards, transmission loading relief procedures, among other reliability-related coordination requirements in this Final Rule.</w:t>
      </w:r>
    </w:p>
    <w:p>
      <w:pPr>
        <w:pStyle w:val="Normal"/>
        <w:ind w:start="1440" w:end="720"/>
        <w:rPr/>
      </w:pPr>
      <w:r>
        <w:rPr/>
      </w:r>
    </w:p>
    <w:p>
      <w:pPr>
        <w:pStyle w:val="Normal"/>
        <w:ind w:start="1440" w:end="720"/>
        <w:rPr/>
      </w:pPr>
      <w:r>
        <w:rPr>
          <w:u w:val="single"/>
        </w:rPr>
        <w:t>The integration of market interface practices</w:t>
      </w:r>
      <w:r>
        <w:rPr/>
        <w:t xml:space="preserve"> involves developing some level of standardization of inter-regional market standards and practices, including the coordination and sharing of data necessary for calculation of TTC and ATC, transmission reservation practices, scheduling practices, and congestion management procedures, as well as other market coordination requirements covered elsewhere in this Final Rule.</w:t>
      </w:r>
    </w:p>
    <w:p>
      <w:pPr>
        <w:pStyle w:val="Normal"/>
        <w:ind w:start="1440" w:end="720"/>
        <w:rPr/>
      </w:pPr>
      <w:r>
        <w:rPr/>
      </w:r>
    </w:p>
    <w:p>
      <w:pPr>
        <w:pStyle w:val="Normal"/>
        <w:numPr>
          <w:ilvl w:val="0"/>
          <w:numId w:val="0"/>
        </w:numPr>
        <w:ind w:end="720"/>
        <w:outlineLvl w:val="0"/>
        <w:rPr/>
      </w:pPr>
      <w:r>
        <w:rPr/>
        <w:t>65 Fed. Reg. 810, 911 (Jan. 6, 2000).</w:t>
      </w:r>
    </w:p>
    <w:p>
      <w:pPr>
        <w:pStyle w:val="Normal"/>
        <w:ind w:start="1440" w:end="720"/>
        <w:rPr/>
      </w:pPr>
      <w:r>
        <w:rPr/>
      </w:r>
    </w:p>
    <w:p>
      <w:pPr>
        <w:pStyle w:val="Normal"/>
        <w:keepNext w:val="true"/>
        <w:spacing w:lineRule="auto" w:line="480" w:before="0" w:after="240"/>
        <w:ind w:firstLine="1440" w:end="0"/>
        <w:rPr>
          <w:i/>
          <w:i/>
        </w:rPr>
      </w:pPr>
      <w:r>
        <w:rPr>
          <w:i/>
        </w:rPr>
        <w:t>Need For Technical Conference</w:t>
      </w:r>
    </w:p>
    <w:p>
      <w:pPr>
        <w:pStyle w:val="BodyTextIndent"/>
        <w:rPr/>
      </w:pPr>
      <w:r>
        <w:rPr/>
        <w:t>FERC has recognized the interrelationship between Characteristic 2 and Function 8.  In Order 2000, FERC relied on Function 8 to address the problems of too small RTOs:</w:t>
      </w:r>
    </w:p>
    <w:p>
      <w:pPr>
        <w:pStyle w:val="BlockText"/>
        <w:rPr/>
      </w:pPr>
      <w:r>
        <w:rPr/>
        <w:tab/>
        <w:t>We are receptive to flexible and innovative ways for an RTO to achieve sufficient scope.  Where a proposed regional transmission entity may be of sufficient scope for some RTO purposes, but not others, an RTO may be able to achieve sufficient “effective scope” by coordination and agreements with neighboring entities, or by participating in a group of RTOs with either hierarchical control or a system of very close coordination.  We do not foreclose the possibility than an RTO may satisfy some of the minimum characteristics and functions by itself, while satisfying others through a strong cooperative agreement with neighboring RTOs to create a “seamless trading area.”  The functions of a large RTO may be met by eliminating the affect of seams.</w:t>
      </w:r>
    </w:p>
    <w:p>
      <w:pPr>
        <w:pStyle w:val="BlockText"/>
        <w:rPr/>
      </w:pPr>
      <w:r>
        <w:rPr/>
      </w:r>
    </w:p>
    <w:p>
      <w:pPr>
        <w:pStyle w:val="BlockText"/>
        <w:numPr>
          <w:ilvl w:val="0"/>
          <w:numId w:val="0"/>
        </w:numPr>
        <w:ind w:hanging="0" w:start="0" w:end="720"/>
        <w:outlineLvl w:val="0"/>
        <w:rPr/>
      </w:pPr>
      <w:r>
        <w:rPr/>
        <w:t>65 Fed. Reg. at 863.</w:t>
      </w:r>
    </w:p>
    <w:p>
      <w:pPr>
        <w:pStyle w:val="BlockText"/>
        <w:numPr>
          <w:ilvl w:val="0"/>
          <w:numId w:val="0"/>
        </w:numPr>
        <w:ind w:hanging="0" w:start="0" w:end="720"/>
        <w:outlineLvl w:val="0"/>
        <w:rPr/>
      </w:pPr>
      <w:r>
        <w:rPr/>
      </w:r>
    </w:p>
    <w:p>
      <w:pPr>
        <w:pStyle w:val="BlockText"/>
        <w:numPr>
          <w:ilvl w:val="0"/>
          <w:numId w:val="0"/>
        </w:numPr>
        <w:ind w:hanging="0" w:start="0" w:end="720"/>
        <w:outlineLvl w:val="0"/>
        <w:rPr/>
      </w:pPr>
      <w:r>
        <w:rPr/>
      </w:r>
    </w:p>
    <w:p>
      <w:pPr>
        <w:pStyle w:val="Normal"/>
        <w:spacing w:lineRule="auto" w:line="480" w:before="0" w:after="240"/>
        <w:ind w:firstLine="1440" w:end="0"/>
        <w:rPr/>
      </w:pPr>
      <w:r>
        <w:rPr/>
        <w:t>Given FERC’s decision to date not to mandate RTO boundaries, effective resolution of seams issues is critical:  (i) to increase commercial activity between and among regions; and (ii) to improve reliability without adverse impacts on operations or markets.</w:t>
      </w:r>
    </w:p>
    <w:p>
      <w:pPr>
        <w:pStyle w:val="Normal"/>
        <w:spacing w:lineRule="auto" w:line="480" w:before="0" w:after="240"/>
        <w:ind w:firstLine="1440" w:end="0"/>
        <w:rPr/>
      </w:pPr>
      <w:r>
        <w:rPr/>
        <w:t>There can be little doubt about the need for immediate progress on interregional coordination.</w:t>
      </w:r>
    </w:p>
    <w:p>
      <w:pPr>
        <w:pStyle w:val="Normal"/>
        <w:numPr>
          <w:ilvl w:val="0"/>
          <w:numId w:val="10"/>
        </w:numPr>
        <w:tabs>
          <w:tab w:val="clear" w:pos="720"/>
        </w:tabs>
        <w:spacing w:lineRule="auto" w:line="480" w:before="0" w:after="240"/>
        <w:ind w:firstLine="1440" w:start="0" w:end="0"/>
        <w:rPr/>
      </w:pPr>
      <w:r>
        <w:rPr/>
        <w:t>FERC’s November 1, 2000 Order on the “crisis” in California electricity markets attributes much of the blame to balkanization of the Western grid.</w:t>
      </w:r>
    </w:p>
    <w:p>
      <w:pPr>
        <w:pStyle w:val="Normal"/>
        <w:numPr>
          <w:ilvl w:val="0"/>
          <w:numId w:val="10"/>
        </w:numPr>
        <w:tabs>
          <w:tab w:val="clear" w:pos="720"/>
        </w:tabs>
        <w:spacing w:lineRule="auto" w:line="480" w:before="0" w:after="240"/>
        <w:ind w:firstLine="1440" w:start="0" w:end="0"/>
        <w:rPr/>
      </w:pPr>
      <w:r>
        <w:rPr/>
        <w:t>FERC’s Chairman has deplored the absence of a single Northeast RTO, and the recent FERC Staff investigation report, “Investigation of Bulk Power Markets, Northeast Region,” highlights significant seams issues that are inhibiting commerce in the region, and recommends that the Commission require the northeast ISOs to make certain seams-related filings by June 1, 2001.</w:t>
      </w:r>
    </w:p>
    <w:p>
      <w:pPr>
        <w:pStyle w:val="Normal"/>
        <w:numPr>
          <w:ilvl w:val="0"/>
          <w:numId w:val="10"/>
        </w:numPr>
        <w:tabs>
          <w:tab w:val="clear" w:pos="720"/>
        </w:tabs>
        <w:spacing w:lineRule="auto" w:line="480" w:before="0" w:after="240"/>
        <w:ind w:firstLine="1440" w:start="0" w:end="0"/>
        <w:rPr/>
      </w:pPr>
      <w:r>
        <w:rPr/>
        <w:t>Reliability problems will be  perpetuated or exacerbated by too small RTOs.  FERC has recognized the tradeoff between Function 8 and Characteristic 2—inadequacies in geographic configuration can be mitigated by strong Function 8 compliance.</w:t>
      </w:r>
    </w:p>
    <w:p>
      <w:pPr>
        <w:pStyle w:val="Normal"/>
        <w:numPr>
          <w:ilvl w:val="0"/>
          <w:numId w:val="10"/>
        </w:numPr>
        <w:tabs>
          <w:tab w:val="clear" w:pos="720"/>
        </w:tabs>
        <w:spacing w:lineRule="auto" w:line="480" w:before="0" w:after="240"/>
        <w:ind w:firstLine="1440" w:start="0" w:end="0"/>
        <w:rPr/>
      </w:pPr>
      <w:r>
        <w:rPr/>
        <w:t>Market power and economic efficiency—important goals of Order 2000—cannot be addressed effectively if RTOs charge transmission tolls at their borders.  The geographic area for electricity trading must be broadened by either broadening the geographical reach of RTO tariffs or by rate reciprocity.</w:t>
      </w:r>
    </w:p>
    <w:p>
      <w:pPr>
        <w:pStyle w:val="Normal"/>
        <w:spacing w:lineRule="auto" w:line="480" w:before="0" w:after="240"/>
        <w:ind w:firstLine="1440" w:end="0"/>
        <w:rPr/>
      </w:pPr>
      <w:r>
        <w:rPr/>
        <w:t>While the goal of Function 8 is laudable, Function 8 does not spell out how interregional coordination is to be achieved.  As a result, few of the RTO compliance filings showed meaningful steps towards interregional coordination.  Most of the RTO proposals filed on October 16, 2000 reflect a failure either to expand geographic scope or to go beyond inchoate cooperative agreements.  FERC cannot rely on vague promises to cooperate in the development of solutions to seams issues.  In the October RTO filings, transmission owners commit to little more than promises to get together to discuss cooperation but there are no milestones for accomplishment of concrete objectives.  Furthermore, while PJM is the only northeast ISO to file an RTO proposal to date, it is clear that the northeast MOU process has also proven to be ineffective as a means to achieving a “seamless trading area” in a timely manner.  This “push” must come from FERC.  And FERC should insist that all stakeholders – not just transmission-owning utilities sit at the table when elimination of seams issues is discussed.  It is important that the Conference have a forward-looking focus: It is necessary to address what will be done to eliminate seams issues rather than re-hash efforts to date.</w:t>
      </w:r>
    </w:p>
    <w:p>
      <w:pPr>
        <w:pStyle w:val="Normal"/>
        <w:spacing w:lineRule="auto" w:line="480" w:before="0" w:after="240"/>
        <w:ind w:firstLine="1440" w:end="0"/>
        <w:rPr>
          <w:i/>
          <w:i/>
        </w:rPr>
      </w:pPr>
      <w:r>
        <w:rPr>
          <w:i/>
        </w:rPr>
        <w:t>Topics To Be Addressed At A Technical Conference Or Workshop</w:t>
      </w:r>
    </w:p>
    <w:p>
      <w:pPr>
        <w:pStyle w:val="Normal"/>
        <w:spacing w:lineRule="auto" w:line="480" w:before="0" w:after="240"/>
        <w:ind w:firstLine="1440" w:end="0"/>
        <w:rPr/>
      </w:pPr>
      <w:r>
        <w:rPr/>
        <w:t>At a minimum issues to be addressed would include:</w:t>
      </w:r>
    </w:p>
    <w:p>
      <w:pPr>
        <w:pStyle w:val="Normal"/>
        <w:spacing w:lineRule="auto" w:line="480" w:before="0" w:after="240"/>
        <w:ind w:firstLine="1440" w:end="0"/>
        <w:rPr/>
      </w:pPr>
      <w:r>
        <w:rPr/>
        <w:t>(i)</w:t>
        <w:tab/>
        <w:t>What are the substantive seams issues that must be addressed to assure Function 8 compliance?  At a minimum, these would seem to include:</w:t>
      </w:r>
    </w:p>
    <w:p>
      <w:pPr>
        <w:pStyle w:val="Normal"/>
        <w:numPr>
          <w:ilvl w:val="0"/>
          <w:numId w:val="7"/>
        </w:numPr>
        <w:spacing w:lineRule="auto" w:line="480" w:before="0" w:after="240"/>
        <w:rPr/>
      </w:pPr>
      <w:r>
        <w:rPr/>
        <w:t>Scheduling and reserving transmission (e.g. scheduling protocols, emergency procedures, curtailment, market closing times)</w:t>
      </w:r>
    </w:p>
    <w:p>
      <w:pPr>
        <w:pStyle w:val="Normal"/>
        <w:numPr>
          <w:ilvl w:val="0"/>
          <w:numId w:val="7"/>
        </w:numPr>
        <w:spacing w:lineRule="auto" w:line="480" w:before="0" w:after="240"/>
        <w:rPr/>
      </w:pPr>
      <w:r>
        <w:rPr/>
        <w:t>Operational practices (e.g. ramp rates, definition of proxy buses)</w:t>
      </w:r>
    </w:p>
    <w:p>
      <w:pPr>
        <w:pStyle w:val="Normal"/>
        <w:numPr>
          <w:ilvl w:val="0"/>
          <w:numId w:val="7"/>
        </w:numPr>
        <w:spacing w:lineRule="auto" w:line="480" w:before="0" w:after="240"/>
        <w:rPr/>
      </w:pPr>
      <w:r>
        <w:rPr/>
        <w:t>ATC calculation (including TTC, CBM)</w:t>
      </w:r>
    </w:p>
    <w:p>
      <w:pPr>
        <w:pStyle w:val="Normal"/>
        <w:numPr>
          <w:ilvl w:val="0"/>
          <w:numId w:val="7"/>
        </w:numPr>
        <w:spacing w:lineRule="auto" w:line="480" w:before="0" w:after="240"/>
        <w:rPr/>
      </w:pPr>
      <w:r>
        <w:rPr/>
        <w:t>Transmission rights</w:t>
      </w:r>
    </w:p>
    <w:p>
      <w:pPr>
        <w:pStyle w:val="Normal"/>
        <w:numPr>
          <w:ilvl w:val="0"/>
          <w:numId w:val="7"/>
        </w:numPr>
        <w:spacing w:lineRule="auto" w:line="480" w:before="0" w:after="240"/>
        <w:rPr/>
      </w:pPr>
      <w:r>
        <w:rPr/>
        <w:t>Congestion Management</w:t>
      </w:r>
    </w:p>
    <w:p>
      <w:pPr>
        <w:pStyle w:val="Normal"/>
        <w:numPr>
          <w:ilvl w:val="0"/>
          <w:numId w:val="7"/>
        </w:numPr>
        <w:spacing w:lineRule="auto" w:line="480" w:before="0" w:after="240"/>
        <w:rPr/>
      </w:pPr>
      <w:r>
        <w:rPr/>
        <w:t>Interconnection Issues</w:t>
      </w:r>
    </w:p>
    <w:p>
      <w:pPr>
        <w:pStyle w:val="Normal"/>
        <w:numPr>
          <w:ilvl w:val="0"/>
          <w:numId w:val="7"/>
        </w:numPr>
        <w:spacing w:lineRule="auto" w:line="480" w:before="0" w:after="240"/>
        <w:rPr/>
      </w:pPr>
      <w:r>
        <w:rPr/>
        <w:t>Ancillary services standards</w:t>
      </w:r>
    </w:p>
    <w:p>
      <w:pPr>
        <w:pStyle w:val="Normal"/>
        <w:numPr>
          <w:ilvl w:val="0"/>
          <w:numId w:val="7"/>
        </w:numPr>
        <w:spacing w:lineRule="auto" w:line="480" w:before="0" w:after="240"/>
        <w:rPr/>
      </w:pPr>
      <w:r>
        <w:rPr/>
        <w:t>Transmission pricing (rate reciprocity, pricing for wheeling-through and wheeling-out)</w:t>
      </w:r>
    </w:p>
    <w:p>
      <w:pPr>
        <w:pStyle w:val="Normal"/>
        <w:spacing w:lineRule="auto" w:line="480" w:before="0" w:after="240"/>
        <w:ind w:firstLine="1440" w:end="0"/>
        <w:rPr/>
      </w:pPr>
      <w:r>
        <w:rPr/>
        <w:t>(ii)</w:t>
        <w:tab/>
        <w:t>Should FERC establish more stringent Function 8 requirements for smaller RTOs?</w:t>
      </w:r>
    </w:p>
    <w:p>
      <w:pPr>
        <w:pStyle w:val="Normal"/>
        <w:spacing w:lineRule="auto" w:line="480" w:before="0" w:after="240"/>
        <w:ind w:firstLine="1440" w:end="0"/>
        <w:rPr/>
      </w:pPr>
      <w:r>
        <w:rPr/>
        <w:t>(iii)</w:t>
        <w:tab/>
        <w:t>Should FERC establish a supplemental timetable for Function 8 compliance?</w:t>
      </w:r>
    </w:p>
    <w:p>
      <w:pPr>
        <w:pStyle w:val="Normal"/>
        <w:spacing w:lineRule="auto" w:line="480" w:before="0" w:after="240"/>
        <w:ind w:firstLine="1440" w:end="0"/>
        <w:rPr/>
      </w:pPr>
      <w:r>
        <w:rPr/>
        <w:t>(iv)</w:t>
        <w:tab/>
        <w:t>Should FERC require RTOs to adopt stakeholder processes to assure broad input from all segments of the industry concerning barriers to trading?</w:t>
      </w:r>
    </w:p>
    <w:p>
      <w:pPr>
        <w:pStyle w:val="Normal"/>
        <w:spacing w:lineRule="auto" w:line="480" w:before="0" w:after="240"/>
        <w:ind w:firstLine="1440" w:end="0"/>
        <w:rPr/>
      </w:pPr>
      <w:r>
        <w:rPr/>
        <w:t>(v)</w:t>
        <w:tab/>
        <w:t>Have individual RTOs found interregional solutions which would be promising models for other RTOs to adopt?</w:t>
      </w:r>
    </w:p>
    <w:p>
      <w:pPr>
        <w:pStyle w:val="BodyTextIndent"/>
        <w:rPr/>
      </w:pPr>
      <w:r>
        <w:rPr/>
        <w:t>FERC should convene a technical conference to develop a specific template for seams resolution which RTOs would be required to meet.  FERC has established technical conferences and workshops on other topics of importance especially where the Commission designed to foster an exchange of views.  Examples include regional workshops on RTO formation and technical conferences on calculation of (i) capacity benefit margins; (ii) electronic filing; (iii) Y2K readiness; and (iv) revision to Oil Pipeline FERC Form 6.</w:t>
      </w:r>
    </w:p>
    <w:p>
      <w:pPr>
        <w:pStyle w:val="Normal"/>
        <w:spacing w:lineRule="auto" w:line="480" w:before="0" w:after="240"/>
        <w:ind w:firstLine="1440" w:end="0"/>
        <w:rPr/>
      </w:pPr>
      <w:r>
        <w:rPr/>
        <w:t>WHEREFORE, the Joint Movants respectfully request that FERC convene a technical conference or workshop to address “seams” issues and appropriate implementation of Function 8.</w:t>
      </w:r>
    </w:p>
    <w:p>
      <w:pPr>
        <w:pStyle w:val="Normal"/>
        <w:keepNext w:val="true"/>
        <w:keepLines/>
        <w:spacing w:before="0" w:after="240"/>
        <w:ind w:firstLine="4320" w:end="0"/>
        <w:rPr/>
      </w:pPr>
      <w:r>
        <w:rPr/>
        <w:t>Respectfully submitted,</w:t>
      </w:r>
    </w:p>
    <w:p>
      <w:pPr>
        <w:pStyle w:val="Normal"/>
        <w:keepNext w:val="true"/>
        <w:keepLines/>
        <w:ind w:firstLine="4320" w:end="0"/>
        <w:rPr/>
      </w:pPr>
      <w:r>
        <w:rPr/>
        <w:t>_________________________________</w:t>
      </w:r>
    </w:p>
    <w:p>
      <w:pPr>
        <w:pStyle w:val="Normal"/>
        <w:keepNext w:val="true"/>
        <w:keepLines/>
        <w:numPr>
          <w:ilvl w:val="0"/>
          <w:numId w:val="0"/>
        </w:numPr>
        <w:ind w:start="4320" w:end="0"/>
        <w:outlineLvl w:val="0"/>
        <w:rPr/>
      </w:pPr>
      <w:r>
        <w:rPr/>
        <w:t>Sara D. Schotland</w:t>
      </w:r>
    </w:p>
    <w:p>
      <w:pPr>
        <w:pStyle w:val="Normal"/>
        <w:keepNext w:val="true"/>
        <w:keepLines/>
        <w:ind w:start="4320" w:end="0"/>
        <w:rPr/>
      </w:pPr>
      <w:r>
        <w:rPr/>
        <w:t>CLEARY, GOTTLIEB, STEEN &amp;</w:t>
      </w:r>
    </w:p>
    <w:p>
      <w:pPr>
        <w:pStyle w:val="Normal"/>
        <w:numPr>
          <w:ilvl w:val="0"/>
          <w:numId w:val="0"/>
        </w:numPr>
        <w:ind w:start="4320" w:end="0"/>
        <w:outlineLvl w:val="0"/>
        <w:rPr/>
      </w:pPr>
      <w:r>
        <w:rPr/>
        <w:t>HAMILTON</w:t>
        <w:br/>
        <w:t>Counsel for ELCON</w:t>
      </w:r>
    </w:p>
    <w:p>
      <w:pPr>
        <w:pStyle w:val="Normal"/>
        <w:numPr>
          <w:ilvl w:val="0"/>
          <w:numId w:val="0"/>
        </w:numPr>
        <w:ind w:start="4320" w:end="0"/>
        <w:outlineLvl w:val="0"/>
        <w:rPr/>
      </w:pPr>
      <w:r>
        <w:rPr/>
        <w:t>2000 Pennsylvania Avenue, N.W.</w:t>
      </w:r>
    </w:p>
    <w:p>
      <w:pPr>
        <w:pStyle w:val="Normal"/>
        <w:numPr>
          <w:ilvl w:val="0"/>
          <w:numId w:val="0"/>
        </w:numPr>
        <w:ind w:start="4320" w:end="0"/>
        <w:outlineLvl w:val="0"/>
        <w:rPr/>
      </w:pPr>
      <w:r>
        <w:rPr/>
        <w:t>Washington, D.C.  20006-1801</w:t>
      </w:r>
    </w:p>
    <w:p>
      <w:pPr>
        <w:pStyle w:val="Normal"/>
        <w:spacing w:before="0" w:after="240"/>
        <w:ind w:start="4320" w:end="0"/>
        <w:rPr/>
      </w:pPr>
      <w:r>
        <w:rPr/>
        <w:t>202-974-1500</w:t>
      </w:r>
    </w:p>
    <w:p>
      <w:pPr>
        <w:pStyle w:val="Normal"/>
        <w:keepNext w:val="true"/>
        <w:keepLines/>
        <w:ind w:firstLine="4320" w:end="0"/>
        <w:rPr/>
      </w:pPr>
      <w:r>
        <w:rPr/>
        <w:t>_________________________________</w:t>
      </w:r>
    </w:p>
    <w:p>
      <w:pPr>
        <w:pStyle w:val="Normal"/>
        <w:keepNext w:val="true"/>
        <w:keepLines/>
        <w:numPr>
          <w:ilvl w:val="0"/>
          <w:numId w:val="0"/>
        </w:numPr>
        <w:ind w:start="4320" w:end="0"/>
        <w:outlineLvl w:val="0"/>
        <w:rPr/>
      </w:pPr>
      <w:r>
        <w:rPr/>
        <w:t>Julie Simon</w:t>
      </w:r>
    </w:p>
    <w:p>
      <w:pPr>
        <w:pStyle w:val="Normal"/>
        <w:keepNext w:val="true"/>
        <w:keepLines/>
        <w:numPr>
          <w:ilvl w:val="0"/>
          <w:numId w:val="0"/>
        </w:numPr>
        <w:ind w:start="4320" w:end="0"/>
        <w:outlineLvl w:val="0"/>
        <w:rPr/>
      </w:pPr>
      <w:r>
        <w:rPr/>
        <w:t>Vice President of Policy</w:t>
      </w:r>
    </w:p>
    <w:p>
      <w:pPr>
        <w:pStyle w:val="Normal"/>
        <w:spacing w:before="0" w:after="240"/>
        <w:ind w:start="4320" w:end="0"/>
        <w:rPr/>
      </w:pPr>
      <w:r>
        <w:rPr/>
        <w:t>ELECTRIC POWER SUPPLY ASSOCIATION</w:t>
        <w:br/>
        <w:t>1401 H Street, NW, Suite 760</w:t>
        <w:br/>
        <w:t>Washington, DC  20005</w:t>
        <w:br/>
        <w:t>202-789-7201</w:t>
      </w:r>
    </w:p>
    <w:p>
      <w:pPr>
        <w:pStyle w:val="Normal"/>
        <w:keepNext w:val="true"/>
        <w:keepLines/>
        <w:ind w:firstLine="4320" w:end="0"/>
        <w:rPr/>
      </w:pPr>
      <w:r>
        <w:rPr/>
        <w:t>_________________________________</w:t>
      </w:r>
    </w:p>
    <w:p>
      <w:pPr>
        <w:pStyle w:val="Normal"/>
        <w:rPr>
          <w:color w:val="000000"/>
          <w:lang w:eastAsia="en-US"/>
        </w:rPr>
      </w:pPr>
      <w:r>
        <w:rPr>
          <w:color w:val="000000"/>
          <w:lang w:eastAsia="en-US"/>
        </w:rPr>
        <w:tab/>
        <w:tab/>
        <w:tab/>
        <w:tab/>
        <w:tab/>
        <w:tab/>
        <w:t>Sarah G. Novosel</w:t>
      </w:r>
    </w:p>
    <w:p>
      <w:pPr>
        <w:pStyle w:val="Normal"/>
        <w:rPr>
          <w:color w:val="000000"/>
          <w:lang w:eastAsia="en-US"/>
        </w:rPr>
      </w:pPr>
      <w:r>
        <w:rPr>
          <w:color w:val="000000"/>
          <w:lang w:eastAsia="en-US"/>
        </w:rPr>
        <w:tab/>
        <w:tab/>
        <w:tab/>
        <w:tab/>
        <w:tab/>
        <w:tab/>
        <w:t>Senior Director</w:t>
      </w:r>
    </w:p>
    <w:p>
      <w:pPr>
        <w:pStyle w:val="Normal"/>
        <w:rPr>
          <w:color w:val="000000"/>
          <w:lang w:eastAsia="en-US"/>
        </w:rPr>
      </w:pPr>
      <w:r>
        <w:rPr>
          <w:color w:val="000000"/>
          <w:lang w:eastAsia="en-US"/>
        </w:rPr>
        <w:tab/>
        <w:tab/>
        <w:tab/>
        <w:tab/>
        <w:tab/>
        <w:tab/>
        <w:t>ENRON CORP.</w:t>
      </w:r>
    </w:p>
    <w:p>
      <w:pPr>
        <w:pStyle w:val="Normal"/>
        <w:rPr>
          <w:color w:val="000000"/>
          <w:lang w:eastAsia="en-US"/>
        </w:rPr>
      </w:pPr>
      <w:r>
        <w:rPr>
          <w:color w:val="000000"/>
          <w:lang w:eastAsia="en-US"/>
        </w:rPr>
        <w:tab/>
        <w:tab/>
        <w:tab/>
        <w:tab/>
        <w:tab/>
        <w:tab/>
        <w:t>1775 Eye Street, N.W.</w:t>
        <w:br/>
        <w:tab/>
        <w:tab/>
        <w:tab/>
        <w:tab/>
        <w:tab/>
        <w:tab/>
        <w:t>Washington, D.C.  20006</w:t>
        <w:br/>
        <w:tab/>
        <w:tab/>
        <w:tab/>
        <w:tab/>
        <w:tab/>
        <w:tab/>
        <w:t>202-466-9160</w:t>
      </w:r>
    </w:p>
    <w:p>
      <w:pPr>
        <w:pStyle w:val="Normal"/>
        <w:keepNext w:val="true"/>
        <w:keepLines/>
        <w:ind w:firstLine="4320" w:end="0"/>
        <w:rPr/>
      </w:pPr>
      <w:r>
        <w:rPr/>
        <w:br/>
        <w:tab/>
        <w:tab/>
        <w:tab/>
        <w:tab/>
        <w:tab/>
        <w:tab/>
        <w:t>_________________________________</w:t>
      </w:r>
    </w:p>
    <w:p>
      <w:pPr>
        <w:pStyle w:val="Normal"/>
        <w:spacing w:before="0" w:after="240"/>
        <w:ind w:start="4320" w:end="0"/>
        <w:rPr/>
      </w:pPr>
      <w:r>
        <w:rPr/>
        <w:t>Michael G. Briggs</w:t>
        <w:br/>
        <w:t>Senior Counsel</w:t>
        <w:br/>
        <w:t>RELIANT ENERGY</w:t>
        <w:br/>
        <w:t>801 Pennsylvania Avenue N.W.</w:t>
        <w:br/>
        <w:t>Suite 620</w:t>
        <w:br/>
        <w:t>Washington, DC  20004-2604</w:t>
        <w:br/>
        <w:t>202-783-7220</w:t>
      </w:r>
    </w:p>
    <w:p>
      <w:pPr>
        <w:pStyle w:val="Normal"/>
        <w:spacing w:before="0" w:after="240"/>
        <w:ind w:start="4320" w:end="0"/>
        <w:rPr/>
      </w:pPr>
      <w:r>
        <w:rPr/>
      </w:r>
    </w:p>
    <w:p>
      <w:pPr>
        <w:pStyle w:val="Normal"/>
        <w:keepNext w:val="true"/>
        <w:keepLines/>
        <w:ind w:firstLine="4320" w:end="0"/>
        <w:rPr/>
      </w:pPr>
      <w:r>
        <w:rPr/>
        <w:t>_________________________________</w:t>
      </w:r>
    </w:p>
    <w:p>
      <w:pPr>
        <w:pStyle w:val="Normal"/>
        <w:spacing w:before="0" w:after="240"/>
        <w:ind w:start="4320" w:end="0"/>
        <w:rPr/>
      </w:pPr>
      <w:r>
        <w:rPr/>
        <w:t>Mary J. Doyle</w:t>
        <w:br/>
        <w:t>Director of Regulatory Policy</w:t>
        <w:br/>
        <w:t>DYNEGY INC.</w:t>
        <w:br/>
        <w:t xml:space="preserve">805 15th St., NW </w:t>
        <w:br/>
        <w:t>Suite 510-A</w:t>
        <w:br/>
        <w:t>Washington, DC 20005</w:t>
        <w:br/>
        <w:t>202-216-1121</w:t>
      </w:r>
    </w:p>
    <w:p>
      <w:pPr>
        <w:pStyle w:val="Normal"/>
        <w:spacing w:before="0" w:after="240"/>
        <w:ind w:start="432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296" w:footer="720" w:bottom="1296"/>
          <w:pgNumType w:fmt="decimal"/>
          <w:formProt w:val="false"/>
          <w:titlePg/>
          <w:textDirection w:val="lrTb"/>
          <w:docGrid w:type="default" w:linePitch="360" w:charSpace="0"/>
        </w:sectPr>
        <w:pStyle w:val="CG-SingleSp"/>
        <w:spacing w:lineRule="auto" w:line="480" w:before="0" w:after="0"/>
        <w:rPr/>
      </w:pPr>
      <w:r>
        <w:rPr/>
        <w:t>Dated:  December 15, 2000</w:t>
      </w:r>
    </w:p>
    <w:p>
      <w:pPr>
        <w:pStyle w:val="CG-SingleSp"/>
        <w:spacing w:lineRule="auto" w:line="480" w:before="0" w:after="0"/>
        <w:jc w:val="center"/>
        <w:rPr/>
      </w:pPr>
      <w:r>
        <w:rPr/>
        <w:t>CERTIFICATE OF SERVICE</w:t>
      </w:r>
    </w:p>
    <w:p>
      <w:pPr>
        <w:pStyle w:val="Normal"/>
        <w:rPr/>
      </w:pPr>
      <w:r>
        <w:rPr/>
      </w:r>
    </w:p>
    <w:p>
      <w:pPr>
        <w:pStyle w:val="Normal"/>
        <w:spacing w:lineRule="auto" w:line="480"/>
        <w:ind w:firstLine="1080" w:end="0"/>
        <w:rPr/>
      </w:pPr>
      <w:r>
        <w:rPr/>
        <w:t>I hereby certify that a copy of the foregoing Motion to Convene a Technical Conference was today mailed to parties on the service list of this proceeding by U.S. mail, postage prepaid.</w:t>
      </w:r>
    </w:p>
    <w:p>
      <w:pPr>
        <w:pStyle w:val="Normal"/>
        <w:spacing w:lineRule="auto" w:line="480" w:before="0" w:after="240"/>
        <w:ind w:firstLine="1080" w:end="0"/>
        <w:rPr/>
      </w:pPr>
      <w:r>
        <w:rPr/>
        <w:t>Dated at Washington, D.C., this 15</w:t>
      </w:r>
      <w:r>
        <w:rPr>
          <w:vertAlign w:val="superscript"/>
        </w:rPr>
        <w:t>th</w:t>
      </w:r>
      <w:r>
        <w:rPr/>
        <w:t xml:space="preserve"> day of December, 2000.</w:t>
      </w:r>
    </w:p>
    <w:p>
      <w:pPr>
        <w:pStyle w:val="Normal"/>
        <w:ind w:firstLine="720" w:start="3960" w:end="0"/>
        <w:rPr/>
      </w:pPr>
      <w:r>
        <w:rPr/>
        <w:t>__________________________________</w:t>
      </w:r>
    </w:p>
    <w:p>
      <w:pPr>
        <w:pStyle w:val="Normal"/>
        <w:ind w:firstLine="4680" w:end="0"/>
        <w:rPr/>
      </w:pPr>
      <w:r>
        <w:rPr/>
        <w:t>John Winter</w:t>
      </w:r>
    </w:p>
    <w:p>
      <w:pPr>
        <w:pStyle w:val="Normal"/>
        <w:ind w:firstLine="4680" w:end="0"/>
        <w:rPr/>
      </w:pPr>
      <w:r>
        <w:rPr/>
        <w:t>Law Clerk</w:t>
      </w:r>
    </w:p>
    <w:p>
      <w:pPr>
        <w:pStyle w:val="Normal"/>
        <w:ind w:firstLine="4680" w:end="0"/>
        <w:rPr/>
      </w:pPr>
      <w:r>
        <w:rPr/>
        <w:t>Cleary, Gottlieb, Steen &amp; Hamilton</w:t>
      </w:r>
    </w:p>
    <w:p>
      <w:pPr>
        <w:pStyle w:val="Normal"/>
        <w:ind w:firstLine="4680" w:end="0"/>
        <w:rPr/>
      </w:pPr>
      <w:r>
        <w:rPr/>
        <w:t>2000 Pennsylvania Avenue, N.W.</w:t>
      </w:r>
    </w:p>
    <w:p>
      <w:pPr>
        <w:pStyle w:val="Normal"/>
        <w:ind w:firstLine="4680" w:end="0"/>
        <w:rPr/>
      </w:pPr>
      <w:r>
        <w:rPr/>
        <w:t>Washington, D.C.  20006-1801</w:t>
      </w:r>
    </w:p>
    <w:p>
      <w:pPr>
        <w:pStyle w:val="Normal"/>
        <w:ind w:firstLine="4680" w:end="0"/>
        <w:rPr/>
      </w:pPr>
      <w:r>
        <w:rPr/>
        <w:t>(202) 974-1500</w:t>
      </w:r>
    </w:p>
    <w:sectPr>
      <w:headerReference w:type="default" r:id="rId6"/>
      <w:headerReference w:type="first" r:id="rId7"/>
      <w:footerReference w:type="default" r:id="rId8"/>
      <w:footerReference w:type="first" r:id="rId9"/>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rStyle w:val="iManageFooter"/>
            </w:rPr>
          </w:pPr>
          <w:r>
            <w:rPr/>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rPr>
        <w:rStyle w:val="FooterRightSideTex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192" w:type="dxa"/>
          <w:tcBorders/>
        </w:tcPr>
        <w:p>
          <w:pPr>
            <w:pStyle w:val="Footer"/>
            <w:jc w:val="end"/>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rPr>
        <w:rStyle w:val="FooterRightSideTex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rStyle w:val="iManageFooter"/>
            </w:rPr>
          </w:pPr>
          <w:r>
            <w:rPr/>
          </w:r>
        </w:p>
      </w:tc>
      <w:tc>
        <w:tcPr>
          <w:tcW w:w="3192" w:type="dxa"/>
          <w:tcBorders/>
        </w:tcPr>
        <w:p>
          <w:pPr>
            <w:pStyle w:val="Footer"/>
            <w:snapToGrid w:val="false"/>
            <w:jc w:val="center"/>
            <w:rPr>
              <w:rStyle w:val="iManageFooter"/>
            </w:rPr>
          </w:pPr>
          <w:r>
            <w:rPr/>
          </w:r>
        </w:p>
      </w:tc>
      <w:tc>
        <w:tcPr>
          <w:tcW w:w="3192" w:type="dxa"/>
          <w:tcBorders/>
        </w:tcPr>
        <w:p>
          <w:pPr>
            <w:pStyle w:val="Footer"/>
            <w:jc w:val="end"/>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8"/>
      <w:numFmt w:val="bullet"/>
      <w:lvlText w:val="–"/>
      <w:lvlJc w:val="start"/>
      <w:pPr>
        <w:tabs>
          <w:tab w:val="num" w:pos="1800"/>
        </w:tabs>
        <w:ind w:start="1800" w:hanging="360"/>
      </w:pPr>
      <w:rPr>
        <w:rFonts w:ascii="Liberation Serif" w:hAnsi="Liberation Serif" w:cs="Liberation Serif" w:hint="default"/>
      </w:r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upperRoman"/>
      <w:lvlText w:val="%1."/>
      <w:lvlJc w:val="start"/>
      <w:pPr>
        <w:tabs>
          <w:tab w:val="num" w:pos="720"/>
        </w:tabs>
        <w:ind w:start="720" w:hanging="72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style>
  <w:style w:type="paragraph" w:styleId="Heading2">
    <w:name w:val="heading 2"/>
    <w:basedOn w:val="Normal"/>
    <w:next w:val="Normal"/>
    <w:qFormat/>
    <w:pPr>
      <w:keepNext w:val="true"/>
      <w:numPr>
        <w:ilvl w:val="1"/>
        <w:numId w:val="1"/>
      </w:numPr>
      <w:spacing w:before="240" w:after="240"/>
      <w:ind w:hanging="0" w:start="720" w:end="0"/>
      <w:outlineLvl w:val="1"/>
    </w:pPr>
    <w:rPr/>
  </w:style>
  <w:style w:type="paragraph" w:styleId="Heading3">
    <w:name w:val="heading 3"/>
    <w:basedOn w:val="Normal"/>
    <w:next w:val="Normal"/>
    <w:qFormat/>
    <w:pPr>
      <w:keepNext w:val="true"/>
      <w:numPr>
        <w:ilvl w:val="2"/>
        <w:numId w:val="1"/>
      </w:numPr>
      <w:spacing w:before="240" w:after="240"/>
      <w:ind w:hanging="0" w:start="1440" w:end="0"/>
      <w:outlineLvl w:val="2"/>
    </w:pPr>
    <w:rPr/>
  </w:style>
  <w:style w:type="paragraph" w:styleId="Heading4">
    <w:name w:val="heading 4"/>
    <w:basedOn w:val="Normal"/>
    <w:next w:val="Normal"/>
    <w:qFormat/>
    <w:pPr>
      <w:keepNext w:val="true"/>
      <w:numPr>
        <w:ilvl w:val="3"/>
        <w:numId w:val="1"/>
      </w:numPr>
      <w:spacing w:before="240" w:after="240"/>
      <w:ind w:hanging="0" w:start="2160" w:end="0"/>
      <w:outlineLvl w:val="3"/>
    </w:pPr>
    <w:rPr/>
  </w:style>
  <w:style w:type="paragraph" w:styleId="Heading5">
    <w:name w:val="heading 5"/>
    <w:basedOn w:val="Normal"/>
    <w:next w:val="Normal"/>
    <w:qFormat/>
    <w:pPr>
      <w:numPr>
        <w:ilvl w:val="4"/>
        <w:numId w:val="1"/>
      </w:numPr>
      <w:spacing w:before="240" w:after="240"/>
      <w:ind w:hanging="0" w:start="2880" w:end="0"/>
      <w:outlineLvl w:val="4"/>
    </w:pPr>
    <w:rPr/>
  </w:style>
  <w:style w:type="paragraph" w:styleId="Heading6">
    <w:name w:val="heading 6"/>
    <w:basedOn w:val="Normal"/>
    <w:next w:val="Normal"/>
    <w:qFormat/>
    <w:pPr>
      <w:numPr>
        <w:ilvl w:val="5"/>
        <w:numId w:val="1"/>
      </w:numPr>
      <w:spacing w:before="240" w:after="240"/>
      <w:ind w:hanging="0" w:start="3600" w:end="0"/>
      <w:outlineLvl w:val="5"/>
    </w:pPr>
    <w:rPr/>
  </w:style>
  <w:style w:type="paragraph" w:styleId="Heading7">
    <w:name w:val="heading 7"/>
    <w:basedOn w:val="Normal"/>
    <w:next w:val="Normal"/>
    <w:qFormat/>
    <w:pPr>
      <w:numPr>
        <w:ilvl w:val="6"/>
        <w:numId w:val="1"/>
      </w:numPr>
      <w:spacing w:before="240" w:after="240"/>
      <w:ind w:hanging="0" w:start="4320" w:end="0"/>
      <w:outlineLvl w:val="6"/>
    </w:pPr>
    <w:rPr/>
  </w:style>
  <w:style w:type="paragraph" w:styleId="Heading8">
    <w:name w:val="heading 8"/>
    <w:basedOn w:val="Normal"/>
    <w:next w:val="Normal"/>
    <w:qFormat/>
    <w:pPr>
      <w:numPr>
        <w:ilvl w:val="7"/>
        <w:numId w:val="1"/>
      </w:numPr>
      <w:spacing w:before="240" w:after="240"/>
      <w:ind w:hanging="0" w:start="4320" w:end="0"/>
      <w:outlineLvl w:val="7"/>
    </w:pPr>
    <w:rPr/>
  </w:style>
  <w:style w:type="paragraph" w:styleId="Heading9">
    <w:name w:val="heading 9"/>
    <w:basedOn w:val="Normal"/>
    <w:next w:val="Normal"/>
    <w:qFormat/>
    <w:pPr>
      <w:numPr>
        <w:ilvl w:val="8"/>
        <w:numId w:val="1"/>
      </w:numPr>
      <w:spacing w:before="240" w:after="240"/>
      <w:ind w:hanging="0" w:start="4320" w:end="0"/>
      <w:outlineLvl w:val="8"/>
    </w:pPr>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8z0">
    <w:name w:val="WW8Num8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8"/>
      </w:numPr>
      <w:ind w:hanging="720" w:start="1440" w:end="0"/>
    </w:pPr>
    <w:rPr>
      <w:sz w:val="24"/>
    </w:rPr>
  </w:style>
  <w:style w:type="paragraph" w:styleId="CG-NumberR">
    <w:name w:val="CG-Number R"/>
    <w:basedOn w:val="Normal"/>
    <w:qFormat/>
    <w:pPr>
      <w:numPr>
        <w:ilvl w:val="0"/>
        <w:numId w:val="9"/>
      </w:numPr>
      <w:ind w:hanging="0" w:start="1440" w:end="0"/>
    </w:pPr>
    <w:rPr>
      <w:sz w:val="24"/>
    </w:rPr>
  </w:style>
  <w:style w:type="paragraph" w:styleId="CG-Numberr1">
    <w:name w:val="CG-Number r1"/>
    <w:basedOn w:val="Normal"/>
    <w:qFormat/>
    <w:pPr>
      <w:numPr>
        <w:ilvl w:val="0"/>
        <w:numId w:val="6"/>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BlockText">
    <w:name w:val="Block Text"/>
    <w:basedOn w:val="Normal"/>
    <w:qFormat/>
    <w:pPr>
      <w:ind w:hanging="0" w:start="1440" w:end="720"/>
    </w:pPr>
    <w:rPr>
      <w:color w:val="000000"/>
      <w:lang w:eastAsia="en-US"/>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Indent">
    <w:name w:val="Body Text Indent"/>
    <w:basedOn w:val="Normal"/>
    <w:pPr>
      <w:spacing w:lineRule="auto" w:line="480"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Washington DC.dot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2001-01-18T11:38:00Z</dcterms:created>
  <dc:creator>Information Services</dc:creator>
  <dc:description/>
  <dc:language>en-CA</dc:language>
  <cp:lastModifiedBy>Jackie Gallagher</cp:lastModifiedBy>
  <cp:lastPrinted>2000-12-15T14:43:00Z</cp:lastPrinted>
  <dcterms:modified xsi:type="dcterms:W3CDTF">2001-01-18T11:38:00Z</dcterms:modified>
  <cp:revision>2</cp:revision>
  <dc:subject/>
  <dc:title>SDS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property>
  <property fmtid="{D5CDD505-2E9C-101B-9397-08002B2CF9AE}" pid="3" name="DocName">
    <vt:lpwstr/>
  </property>
  <property fmtid="{D5CDD505-2E9C-101B-9397-08002B2CF9AE}" pid="4" name="DocNumber">
    <vt:lpwstr/>
  </property>
  <property fmtid="{D5CDD505-2E9C-101B-9397-08002B2CF9AE}" pid="5" name="DocVersion">
    <vt:lpwstr/>
  </property>
  <property fmtid="{D5CDD505-2E9C-101B-9397-08002B2CF9AE}" pid="6" name="FooterRightSideText">
    <vt:lpwstr/>
  </property>
  <property fmtid="{D5CDD505-2E9C-101B-9397-08002B2CF9AE}" pid="7" name="SaveDocLibrary">
    <vt:lpwstr>[Washington DC</vt:lpwstr>
  </property>
  <property fmtid="{D5CDD505-2E9C-101B-9397-08002B2CF9AE}" pid="8" name="SaveDocName">
    <vt:lpwstr/>
  </property>
  <property fmtid="{D5CDD505-2E9C-101B-9397-08002B2CF9AE}" pid="9" name="SaveDocNumber">
    <vt:lpwstr> #167340</vt:lpwstr>
  </property>
  <property fmtid="{D5CDD505-2E9C-101B-9397-08002B2CF9AE}" pid="10" name="SaveDocVersion">
    <vt:lpwstr> v2]</vt:lpwstr>
  </property>
  <property fmtid="{D5CDD505-2E9C-101B-9397-08002B2CF9AE}" pid="11" name="SaveFooterRightSideText">
    <vt:lpwstr/>
  </property>
  <property fmtid="{D5CDD505-2E9C-101B-9397-08002B2CF9AE}" pid="12" name="iManageFooter">
    <vt:lpwstr>None</vt:lpwstr>
  </property>
</Properties>
</file>