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926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3240"/>
        <w:gridCol w:w="2430"/>
        <w:gridCol w:w="3510"/>
        <w:gridCol w:w="2340"/>
        <w:gridCol w:w="3060"/>
        <w:gridCol w:w="2790"/>
        <w:gridCol w:w="1440"/>
      </w:tblGrid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24"/>
              </w:rPr>
              <w:t>Arbitration Options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Arbitrate our right to terminate - we seek </w:t>
            </w:r>
            <w:r>
              <w:rPr>
                <w:rFonts w:cs="Arial" w:ascii="Arial" w:hAnsi="Arial"/>
                <w:i/>
                <w:sz w:val="16"/>
              </w:rPr>
              <w:t xml:space="preserve">only the confirmation </w:t>
            </w:r>
            <w:r>
              <w:rPr>
                <w:rFonts w:cs="Arial" w:ascii="Arial" w:hAnsi="Arial"/>
                <w:sz w:val="16"/>
              </w:rPr>
              <w:t>that we have the right to terminate given Furnas’ past actions.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-Suspends right to terminate during arbitration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-Default continues until cured or contract terminated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-It is preemptive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-Furthers default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-Avoids appearance of weakness evident in default extensions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-Buys time to refine region’s Cuiaba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-Will Save time if we terminate because Furnas will elect this option as their initial defense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Will allow us to see Furnas’ perceived defenses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if we lose, may have no other remedies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If we lose could not pursue strategy of putting EPE to Furnas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sign Consent &amp; Aditivo 4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-Furnas may proceed to arbitrate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-Per PPA  clause 103: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Send Registered Letter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30 days to respond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15 days - appoint 3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rd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90 days to arbitrate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-Final step is litigate to enforce arbitration result.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Furnas may respond to heightened threat of termination and thus sign consent.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sz w:val="16"/>
              </w:rPr>
              <w:t>Arbitrate to force specific performance by Furnas to sign current consent; and request imposition of penalty for further delay.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-Default continues until Consent signed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-Termination would remain remedy if Furnas fails to honor positive judgement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Avoids appearance of weakness evident in default extensions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-Buys time to refine region’s Cuiaba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Would force Furnas to address our issue without inserting theirs into discussion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Would clarify key legal concept for all options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-may cause consent to become uncoupled from Eletrobras Guar issue (Additivo 4)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sign Consent &amp; Aditivo 4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-Furnas may proceed to arbitrate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alleges our repeated revisions caused delay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asserts other factors inhibited financing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-Per PPA  clause 103: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Send Registered Letter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30 days to respond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15 days – appoint 3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rd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90 days to arbitrate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 Final step is litigate to enforce arbitration result.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Threat of penalty could result in signed consent.</w:t>
            </w:r>
          </w:p>
        </w:tc>
      </w:tr>
      <w:tr>
        <w:trPr>
          <w:trHeight w:val="1565" w:hRule="atLeast"/>
        </w:trPr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Arbitrate to force specific performance by Furnas to sign the original consent from Assumption Agreement; and request imposition of penalty for further delay.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-Default continues until Consent signed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-Termination would remain remedy if Furnas fails to honor positive judgement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Would force Furnas to address our issue without inserting theirs into discussion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Would clarify key legal concept for all options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Eliminates argument that repeated revisions caused delay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-may cause consent to become uncoupled from Eletrobras Guar issue (Additivo 4)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Lenders lose desirable provisions negotiated in interim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-Furnas may  sign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proceed to arbitrate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asserts other factors inhibited financing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-Per PPA  clause 103: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Send Registered Letter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30 days to respond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15 days – appoint 3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rd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90 days to arbitrate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 Final step is litigate to enforce arbitration result.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Threat of penalty could result in signed consent.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Arbitrate our right to damages; and request imposition of penalty for further delay.</w:t>
            </w:r>
            <w:r>
              <w:rPr>
                <w:rFonts w:cs="Arial" w:ascii="Arial" w:hAnsi="Arial"/>
                <w:color w:val="FF0000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-Seeks economic compensation 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-Default continues in interim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-Termination could occur without resolution.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Clarifies that there is a cost associated with delay in providing Consent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Avoids appearance of weakness evident in default extensions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Determines Compensation  for increased legal and capital costs </w:t>
            </w:r>
          </w:p>
          <w:p>
            <w:pPr>
              <w:pStyle w:val="BodyText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-does not address lender issues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Eliminates strategy of putting EPE to Furnas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sign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proceed with arbitration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asserts other factors inhibited financing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-Per PPA  clause 103: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Send Registered Letter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30 days to respond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15 days – appoint 3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rd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90 days to arbitrate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 Final step is litigate to enforce arbitration result.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Threat of penalty could result in signed consent.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24"/>
              </w:rPr>
              <w:t>Litigation Option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Litigate to force specific performance by Furnas to sign the original consent from Assumption Agreement; and request imposition of penalty for further delay.</w:t>
            </w:r>
            <w:r>
              <w:rPr>
                <w:rFonts w:cs="Arial" w:ascii="Arial" w:hAnsi="Arial"/>
                <w:color w:val="FF0000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-Default continues until consent signed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-Termination would remain remedy if Furnas fails to honor positive judgement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Would force Furnas to address our issue without inserting theirs into discussion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-Would clarify key legal concept for all options (affirmative obligation to provide Consent)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-Could be speediest approach if injunctive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may cause consent to become uncoupled from Eletrobras Guar issue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Lenders lose desirable provisions negotiated in interim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sign Consent &amp; Aditivo 4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could demand arbitration first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  <w:sz w:val="16"/>
              </w:rPr>
              <w:t>-We believe that we have right to litigate as 1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st</w:t>
            </w:r>
            <w:r>
              <w:rPr>
                <w:rFonts w:cs="Arial" w:ascii="Arial" w:hAnsi="Arial"/>
                <w:color w:val="FF0000"/>
                <w:sz w:val="16"/>
              </w:rPr>
              <w:t xml:space="preserve"> course of action: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Seek injunctive relief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2. Two weeks to see if judgment in Enron’s favor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Otherwise, timing unknown under protracted litigation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Counter-suit possible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Threat of penalty could result in signed consent.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24"/>
              </w:rPr>
              <w:t>Economic Equilibrium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Submit economic equilibrium claim* to compensate for extended use of Sponsor equity capital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-Seeks economic compensation  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-Default continues in interim and Termination could occur without resolution.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-Clarifies that there is a cost associated with delay in providing Consent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Avoids appearance of weakness evident in default extensions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-Time consuming if only option pursued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will act only thru arbitration or litigation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ignores us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reviews claim and says “NO”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alleges our repeated revisions caused delay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asserts other factors inhibited financing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-Arbiter may rule that this is a claim for damages and throw out  (although Tozzini believes low probability)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-Under PPA EE provision: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Submit request w/ damage calculation;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Timing unknown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We would seek either:</w:t>
            </w:r>
          </w:p>
          <w:p>
            <w:pPr>
              <w:pStyle w:val="BodyText"/>
              <w:rPr/>
            </w:pPr>
            <w:r>
              <w:rPr/>
              <w:t>(a) indemnification for additional expenses due to no financing; or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(b) tariff increase for past costs and for compensation for no financing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Threat of EE claim could result in signed consent.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24"/>
              </w:rPr>
              <w:t>Other Options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Discontinue default notice and continue negotiations with Furnas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Contributes to amicable long term relationship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May achieve other contractual benefits such as converting to a financial contract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-EPE Foregoes right to terminate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May introduce spot market liability as additional impediment to financing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negotiate in earnest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drag out or wait on responses from ANEEL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PPA provisions relating to EE do not specify times for response or resolution.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Furnas not under threat; however may still sign.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Extend default period/delay termination notice (monthly, up to 6 months)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-Buys time to refine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-Does not impact our ability to terminate if &lt; 6 mos.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-appearance of weakness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-may lose our credibility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continue to ignore us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Extend monthly, up to 6 months.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Maintains threat of termination; thus may sign.</w:t>
            </w:r>
          </w:p>
        </w:tc>
      </w:tr>
    </w:tbl>
    <w:p>
      <w:pPr>
        <w:pStyle w:val="Normal"/>
        <w:rPr/>
      </w:pPr>
      <w:r>
        <w:rPr/>
        <w:t xml:space="preserve">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288" w:top="720" w:footer="144" w:bottom="28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  <w:tab/>
      <w:tab/>
      <w:tab/>
      <w:tab/>
      <w:tab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858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9260" w:type="dxa"/>
      <w:jc w:val="start"/>
      <w:tblInd w:w="-88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50"/>
      <w:gridCol w:w="3240"/>
      <w:gridCol w:w="2430"/>
      <w:gridCol w:w="3510"/>
      <w:gridCol w:w="2340"/>
      <w:gridCol w:w="3060"/>
      <w:gridCol w:w="2790"/>
      <w:gridCol w:w="1440"/>
    </w:tblGrid>
    <w:tr>
      <w:trPr/>
      <w:tc>
        <w:tcPr>
          <w:tcW w:w="45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18"/>
            </w:rPr>
          </w:pPr>
          <w:r>
            <w:rPr>
              <w:rFonts w:cs="Arial" w:ascii="Arial" w:hAnsi="Arial"/>
              <w:sz w:val="18"/>
            </w:rPr>
            <w:t>#</w:t>
          </w:r>
        </w:p>
      </w:tc>
      <w:tc>
        <w:tcPr>
          <w:tcW w:w="32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Action</w:t>
          </w:r>
        </w:p>
      </w:tc>
      <w:tc>
        <w:tcPr>
          <w:tcW w:w="243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Impact on Default &amp; Termination</w:t>
          </w:r>
        </w:p>
      </w:tc>
      <w:tc>
        <w:tcPr>
          <w:tcW w:w="351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Benefits</w:t>
          </w:r>
        </w:p>
      </w:tc>
      <w:tc>
        <w:tcPr>
          <w:tcW w:w="23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Downsides</w:t>
          </w:r>
        </w:p>
      </w:tc>
      <w:tc>
        <w:tcPr>
          <w:tcW w:w="306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 xml:space="preserve">Possible Furnas Reactions </w:t>
          </w:r>
        </w:p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&amp; Defenses</w:t>
          </w:r>
        </w:p>
      </w:tc>
      <w:tc>
        <w:tcPr>
          <w:tcW w:w="279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Timing and Process</w:t>
          </w:r>
        </w:p>
      </w:tc>
      <w:tc>
        <w:tcPr>
          <w:tcW w:w="14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Impact on Financing</w:t>
          </w:r>
        </w:p>
      </w:tc>
    </w:tr>
  </w:tbl>
  <w:p>
    <w:pPr>
      <w:pStyle w:val="Header"/>
      <w:rPr>
        <w:rFonts w:ascii="Arial" w:hAnsi="Arial" w:cs="Arial"/>
        <w:b/>
        <w:color w:val="FF0000"/>
      </w:rPr>
    </w:pPr>
    <w:r>
      <w:rPr>
        <w:rFonts w:cs="Arial" w:ascii="Arial" w:hAnsi="Arial"/>
        <w:b/>
        <w:color w:val="FF0000"/>
      </w:rPr>
      <w:t>Note: Items in Red are Opinion of Local Council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9260" w:type="dxa"/>
      <w:jc w:val="start"/>
      <w:tblInd w:w="-88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50"/>
      <w:gridCol w:w="3240"/>
      <w:gridCol w:w="2430"/>
      <w:gridCol w:w="3510"/>
      <w:gridCol w:w="2340"/>
      <w:gridCol w:w="3060"/>
      <w:gridCol w:w="2790"/>
      <w:gridCol w:w="1440"/>
    </w:tblGrid>
    <w:tr>
      <w:trPr/>
      <w:tc>
        <w:tcPr>
          <w:tcW w:w="45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18"/>
            </w:rPr>
          </w:pPr>
          <w:r>
            <w:rPr>
              <w:rFonts w:cs="Arial" w:ascii="Arial" w:hAnsi="Arial"/>
              <w:sz w:val="18"/>
            </w:rPr>
            <w:t>#</w:t>
          </w:r>
        </w:p>
      </w:tc>
      <w:tc>
        <w:tcPr>
          <w:tcW w:w="32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Action</w:t>
          </w:r>
        </w:p>
      </w:tc>
      <w:tc>
        <w:tcPr>
          <w:tcW w:w="243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Impact on Default &amp; Termination</w:t>
          </w:r>
        </w:p>
      </w:tc>
      <w:tc>
        <w:tcPr>
          <w:tcW w:w="351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Benefits</w:t>
          </w:r>
        </w:p>
      </w:tc>
      <w:tc>
        <w:tcPr>
          <w:tcW w:w="23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Downsides</w:t>
          </w:r>
        </w:p>
      </w:tc>
      <w:tc>
        <w:tcPr>
          <w:tcW w:w="306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 xml:space="preserve">Possible Furnas Reactions </w:t>
          </w:r>
        </w:p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&amp; Defenses</w:t>
          </w:r>
        </w:p>
      </w:tc>
      <w:tc>
        <w:tcPr>
          <w:tcW w:w="279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Timing and Process</w:t>
          </w:r>
        </w:p>
      </w:tc>
      <w:tc>
        <w:tcPr>
          <w:tcW w:w="14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Impact on Financing</w:t>
          </w:r>
        </w:p>
      </w:tc>
    </w:tr>
  </w:tbl>
  <w:p>
    <w:pPr>
      <w:pStyle w:val="Header"/>
      <w:rPr>
        <w:rFonts w:ascii="Arial" w:hAnsi="Arial" w:cs="Arial"/>
        <w:b/>
        <w:color w:val="FF0000"/>
      </w:rPr>
    </w:pPr>
    <w:r>
      <w:rPr>
        <w:rFonts w:cs="Arial" w:ascii="Arial" w:hAnsi="Arial"/>
        <w:b/>
        <w:color w:val="FF0000"/>
      </w:rPr>
      <w:t>Note: Items in Red are Opinion of Local Council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i w:val="false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b w:val="false"/>
      <w:i w:val="false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FF0000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2001-01-24T12:51:00Z</dcterms:created>
  <dc:creator>EI</dc:creator>
  <dc:description/>
  <dc:language>en-CA</dc:language>
  <cp:lastModifiedBy>EI</cp:lastModifiedBy>
  <cp:lastPrinted>2001-01-22T17:55:00Z</cp:lastPrinted>
  <dcterms:modified xsi:type="dcterms:W3CDTF">2001-01-24T12:51:00Z</dcterms:modified>
  <cp:revision>2</cp:revision>
  <dc:subject/>
  <dc:title>Decision Analysis</dc:title>
</cp:coreProperties>
</file>