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64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3240"/>
        <w:gridCol w:w="1530"/>
        <w:gridCol w:w="3870"/>
        <w:gridCol w:w="1980"/>
        <w:gridCol w:w="2430"/>
        <w:gridCol w:w="3060"/>
        <w:gridCol w:w="540"/>
        <w:gridCol w:w="540"/>
      </w:tblGrid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Arbitration Options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Arbitrate our right to terminate - we seek </w:t>
            </w:r>
            <w:r>
              <w:rPr>
                <w:rFonts w:cs="Arial" w:ascii="Arial" w:hAnsi="Arial"/>
                <w:i/>
                <w:sz w:val="16"/>
              </w:rPr>
              <w:t xml:space="preserve">only the confirmation </w:t>
            </w:r>
            <w:r>
              <w:rPr>
                <w:rFonts w:cs="Arial" w:ascii="Arial" w:hAnsi="Arial"/>
                <w:sz w:val="16"/>
              </w:rPr>
              <w:t>that we have the right to terminate given Furnas’ past actions.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Suspends right to terminate during Arb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Default continues until cured or contract terminated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-It is preemptive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-Furthers default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-Buys time to refine region’s Cuiaba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-Will Save time if we terminate because Furnas will elect this option as their initial defense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Will allow us to see Furnas’ perceived defenses</w:t>
            </w:r>
          </w:p>
          <w:p>
            <w:pPr>
              <w:pStyle w:val="Normal"/>
              <w:rPr>
                <w:rFonts w:ascii="Arial" w:hAnsi="Arial" w:eastAsia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if we lose, may have no other remedies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If we lose could not pursue strategy of putting EPE to Furnas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sign Consent &amp; Additivo #4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Furnas may proceed to arbitrate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-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-Final step is litigate to enforce arbitration result.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YES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Arbitrate to force specific performance by Furnas to sign current Consent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Default continues until Consent signed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Termination would remain remedy if Furnas fails to honor positive judgement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-Buys time to refine region’s Cuiaba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Would force Furnas to address our issue without inserting theirs into discussion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Would clarify key legal concept for all options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-may cause consent to become uncoupled from Eletrobras Guar issue (Additivo 4)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sign Consent &amp; Additivo #4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Furnas may proceed to arbitrate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alleges our repeated revisions caused delay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Furnas asserts other factors inhibited financing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–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 Final step is litigate to enforce arbitration result.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(?)</w:t>
            </w:r>
          </w:p>
        </w:tc>
      </w:tr>
      <w:tr>
        <w:trPr>
          <w:trHeight w:val="1565" w:hRule="atLeast"/>
        </w:trPr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Arbitrate to force specific performance by Furnas to sign the original consent from Assumption Agreement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Default continues until Consent signed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Termination would remain remedy if Furnas fails to honor positive judgement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Would force Furnas to address our issue without inserting theirs into discussion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Would clarify key legal concept for all options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Eliminates argument that repeated revisions caused delay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-may cause consent to become uncoupled from Eletrobras Guar issue (Additivo 4)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Lenders lose desirable provisions negotiated in interim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-Furnas may  sign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proceed to arbitrate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Furnas asserts other factors inhibited financing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–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 Final step is litigate to enforce arbitration result.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YES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Arbitrate our right to damages</w:t>
            </w:r>
            <w:r>
              <w:rPr>
                <w:rFonts w:cs="Arial" w:ascii="Arial" w:hAnsi="Arial"/>
                <w:color w:val="FF0000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Seeks economic compensation  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Default continues in interim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Termination could occur without resolution.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Clarifies that there is a cost associated with delay in providing Consent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Determines Compensation  for increased legal and capital costs </w:t>
            </w:r>
          </w:p>
          <w:p>
            <w:pPr>
              <w:pStyle w:val="BodyText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-does not address lender issues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Eliminates strategy of putting EPE to Furnas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-Furnas may sign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proceed with arbitration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Furnas asserts other factors inhibited financing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-Per PPA  clause 103: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Send Registered Letter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30 days to respond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15 days - appoint 3</w:t>
            </w:r>
            <w:r>
              <w:rPr>
                <w:rFonts w:cs="Arial" w:ascii="Arial" w:hAnsi="Arial"/>
                <w:color w:val="FF0000"/>
                <w:sz w:val="16"/>
                <w:vertAlign w:val="superscript"/>
              </w:rPr>
              <w:t>rd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4. 90 days to arbitrate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 Final step is litigate to enforce arbitration result.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NO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Litigation Option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Litigate to force specific performance by Furnas to sign the original consent from Assumption Agreement</w:t>
            </w:r>
            <w:r>
              <w:rPr>
                <w:rFonts w:cs="Arial" w:ascii="Arial" w:hAnsi="Arial"/>
                <w:color w:val="FF0000"/>
                <w:sz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Default continues until Consent signed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Termination would remain remedy if Furnas fails to honor positive judgement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Would force Furnas to address our issue without inserting theirs into discussion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Would clarify key legal concept for all options (affirmative obligation to provide Consent)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Could be speediest approach if injunctive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 may cause consent to become uncoupled from Eletrobras Guar issue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Lenders lose desirable provisions negotiated in interim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color w:val="FF0000"/>
                <w:sz w:val="16"/>
              </w:rPr>
              <w:t>-</w:t>
            </w:r>
            <w:r>
              <w:rPr>
                <w:rFonts w:cs="Arial" w:ascii="Arial" w:hAnsi="Arial"/>
                <w:sz w:val="16"/>
              </w:rPr>
              <w:t>-Furnas may sign Consent &amp; Additivo #4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color w:val="FF0000"/>
                <w:sz w:val="16"/>
              </w:rPr>
              <w:t xml:space="preserve"> </w:t>
            </w:r>
            <w:r>
              <w:rPr>
                <w:rFonts w:cs="Arial" w:ascii="Arial" w:hAnsi="Arial"/>
                <w:color w:val="FF0000"/>
                <w:sz w:val="16"/>
              </w:rPr>
              <w:t>-</w:t>
            </w:r>
            <w:r>
              <w:rPr>
                <w:rFonts w:cs="Arial" w:ascii="Arial" w:hAnsi="Arial"/>
                <w:sz w:val="16"/>
              </w:rPr>
              <w:t>Furnas could demand arbitration first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-Under PPA Arbitration Provision, litigation may not be immediate option.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-If Furnas agrees: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Submit injunctive relief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 xml:space="preserve">2. 2 weeks to see if works 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3. Otherwise, timing unknown.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YES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Economic Equilibrium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Submit economic equilibrium claim* to compensate for extended use of Sponsor equity capital </w:t>
            </w:r>
            <w:r>
              <w:rPr>
                <w:rFonts w:cs="Arial" w:ascii="Arial" w:hAnsi="Arial"/>
                <w:color w:val="FF0000"/>
                <w:sz w:val="16"/>
              </w:rPr>
              <w:t>without interrupting termination procedure.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Seeks economic compensation  in lieu of termination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Default continues in interim and Termination could occur without resolution.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-Clarifies that there is a cost associated with delay in providing Consent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Avoids appearance of weakness evident in default extensions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-Time consuming if only option pursued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will act only thru arbitration or litigation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ignores us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reviews claim and says “NO”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alleges our repeated revisions caused delay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Furnas asserts other factors inhibited financing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Arbiter may rule that this is a claim for damages and throw out  (although Tozzini believes low probability)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-Under PPA EE provision: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1. Submit request w/ damage calculation</w:t>
            </w:r>
          </w:p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2. Timing unknown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Maybe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24"/>
              </w:rPr>
              <w:t>Other Options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Discontinue default notice and continue negotiations with Furnas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Contributes to amicable long term relationship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May achieve other contractual benefits such as converting to a financial contract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  <w:t>-EPE Foregoes right to terminate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 May introduce spot market liability as additional impediment to financing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Furnas may negotiate in earnest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Furnas may drag out or wait on responses from ANEEL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PPA provisions relating to EE do not specify times for response or resolution.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YES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Extend default period/delay termination notice (monthly, up to 6 months)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-Buys time to refine strategy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-Does not impact our ability to terminate if &lt; 6 mos.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-appearance of weakness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-may lose our credibility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-Furnas may continue to ignore us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Extend monthly, up to 6 months.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?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?</w:t>
            </w:r>
          </w:p>
        </w:tc>
      </w:tr>
    </w:tbl>
    <w:p>
      <w:pPr>
        <w:pStyle w:val="Normal"/>
        <w:rPr/>
      </w:pPr>
      <w:r>
        <w:rPr/>
        <w:t xml:space="preserve">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288" w:top="720" w:footer="144" w:bottom="2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  <w:tab/>
      <w:tab/>
      <w:tab/>
      <w:tab/>
      <w:tab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858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7640" w:type="dxa"/>
      <w:jc w:val="start"/>
      <w:tblInd w:w="-88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50"/>
      <w:gridCol w:w="3240"/>
      <w:gridCol w:w="1530"/>
      <w:gridCol w:w="3870"/>
      <w:gridCol w:w="1980"/>
      <w:gridCol w:w="2520"/>
      <w:gridCol w:w="2970"/>
      <w:gridCol w:w="1080"/>
    </w:tblGrid>
    <w:tr>
      <w:trPr/>
      <w:tc>
        <w:tcPr>
          <w:tcW w:w="45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18"/>
            </w:rPr>
          </w:pPr>
          <w:r>
            <w:rPr>
              <w:rFonts w:cs="Arial" w:ascii="Arial" w:hAnsi="Arial"/>
              <w:sz w:val="18"/>
            </w:rPr>
            <w:t>#</w:t>
          </w:r>
        </w:p>
      </w:tc>
      <w:tc>
        <w:tcPr>
          <w:tcW w:w="32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Action</w:t>
          </w:r>
        </w:p>
      </w:tc>
      <w:tc>
        <w:tcPr>
          <w:tcW w:w="153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snapToGrid w:val="false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</w:r>
        </w:p>
      </w:tc>
      <w:tc>
        <w:tcPr>
          <w:tcW w:w="387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Benefits</w:t>
          </w:r>
        </w:p>
      </w:tc>
      <w:tc>
        <w:tcPr>
          <w:tcW w:w="198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Downsides</w:t>
          </w:r>
        </w:p>
      </w:tc>
      <w:tc>
        <w:tcPr>
          <w:tcW w:w="252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Possible Furnas Reactions &amp; Defences</w:t>
          </w:r>
        </w:p>
      </w:tc>
      <w:tc>
        <w:tcPr>
          <w:tcW w:w="297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Timing and Process</w:t>
          </w:r>
        </w:p>
      </w:tc>
      <w:tc>
        <w:tcPr>
          <w:tcW w:w="108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Heading3"/>
            <w:ind w:hanging="0" w:start="0"/>
            <w:rPr>
              <w:b w:val="false"/>
              <w:sz w:val="18"/>
            </w:rPr>
          </w:pPr>
          <w:r>
            <w:rPr>
              <w:b w:val="false"/>
              <w:sz w:val="18"/>
            </w:rPr>
            <w:t xml:space="preserve">Leads to financing? </w:t>
          </w:r>
        </w:p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ST     LT</w:t>
          </w:r>
        </w:p>
      </w:tc>
    </w:tr>
  </w:tbl>
  <w:p>
    <w:pPr>
      <w:pStyle w:val="Header"/>
      <w:rPr>
        <w:rFonts w:ascii="Arial" w:hAnsi="Arial" w:cs="Arial"/>
        <w:b/>
        <w:color w:val="FF0000"/>
      </w:rPr>
    </w:pPr>
    <w:r>
      <w:rPr>
        <w:rFonts w:cs="Arial" w:ascii="Arial" w:hAnsi="Arial"/>
        <w:b/>
        <w:color w:val="FF0000"/>
      </w:rPr>
      <w:t>Note: Items in Red are Opinion of Local Council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7640" w:type="dxa"/>
      <w:jc w:val="start"/>
      <w:tblInd w:w="-88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50"/>
      <w:gridCol w:w="3240"/>
      <w:gridCol w:w="1530"/>
      <w:gridCol w:w="3870"/>
      <w:gridCol w:w="1980"/>
      <w:gridCol w:w="2520"/>
      <w:gridCol w:w="2970"/>
      <w:gridCol w:w="1080"/>
    </w:tblGrid>
    <w:tr>
      <w:trPr/>
      <w:tc>
        <w:tcPr>
          <w:tcW w:w="45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18"/>
            </w:rPr>
          </w:pPr>
          <w:r>
            <w:rPr>
              <w:rFonts w:cs="Arial" w:ascii="Arial" w:hAnsi="Arial"/>
              <w:sz w:val="18"/>
            </w:rPr>
            <w:t>#</w:t>
          </w:r>
        </w:p>
      </w:tc>
      <w:tc>
        <w:tcPr>
          <w:tcW w:w="324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Action</w:t>
          </w:r>
        </w:p>
      </w:tc>
      <w:tc>
        <w:tcPr>
          <w:tcW w:w="153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Impact on Default &amp; Termination</w:t>
          </w:r>
        </w:p>
      </w:tc>
      <w:tc>
        <w:tcPr>
          <w:tcW w:w="387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Benefits</w:t>
          </w:r>
        </w:p>
      </w:tc>
      <w:tc>
        <w:tcPr>
          <w:tcW w:w="198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Downsides</w:t>
          </w:r>
        </w:p>
      </w:tc>
      <w:tc>
        <w:tcPr>
          <w:tcW w:w="252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Possible Furnas Reactions &amp; Defenses</w:t>
          </w:r>
        </w:p>
      </w:tc>
      <w:tc>
        <w:tcPr>
          <w:tcW w:w="297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Timing and Process</w:t>
          </w:r>
        </w:p>
      </w:tc>
      <w:tc>
        <w:tcPr>
          <w:tcW w:w="108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CCCCCC" w:val="clear"/>
        </w:tcPr>
        <w:p>
          <w:pPr>
            <w:pStyle w:val="Heading3"/>
            <w:ind w:hanging="0" w:start="0"/>
            <w:rPr>
              <w:b w:val="false"/>
              <w:sz w:val="18"/>
            </w:rPr>
          </w:pPr>
          <w:r>
            <w:rPr>
              <w:b w:val="false"/>
              <w:sz w:val="18"/>
            </w:rPr>
            <w:t xml:space="preserve">Leads to financing? </w:t>
          </w:r>
        </w:p>
        <w:p>
          <w:pPr>
            <w:pStyle w:val="Normal"/>
            <w:rPr>
              <w:rFonts w:ascii="Arial" w:hAnsi="Arial" w:cs="Arial"/>
              <w:sz w:val="22"/>
            </w:rPr>
          </w:pPr>
          <w:r>
            <w:rPr>
              <w:rFonts w:cs="Arial" w:ascii="Arial" w:hAnsi="Arial"/>
              <w:sz w:val="22"/>
            </w:rPr>
            <w:t>ST     LT</w:t>
          </w:r>
        </w:p>
      </w:tc>
    </w:tr>
  </w:tbl>
  <w:p>
    <w:pPr>
      <w:pStyle w:val="Header"/>
      <w:rPr>
        <w:rFonts w:ascii="Arial" w:hAnsi="Arial" w:cs="Arial"/>
        <w:b/>
        <w:color w:val="FF0000"/>
      </w:rPr>
    </w:pPr>
    <w:r>
      <w:rPr>
        <w:rFonts w:cs="Arial" w:ascii="Arial" w:hAnsi="Arial"/>
        <w:b/>
        <w:color w:val="FF0000"/>
      </w:rPr>
      <w:t>Note: Items in Red are Opinion of Local Council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i w:val="fals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b w:val="false"/>
      <w:i w:val="false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FF0000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2001-01-19T14:26:00Z</dcterms:created>
  <dc:creator>EI</dc:creator>
  <dc:description/>
  <dc:language>en-CA</dc:language>
  <cp:lastModifiedBy>Enron Technology</cp:lastModifiedBy>
  <cp:lastPrinted>2001-01-22T15:02:00Z</cp:lastPrinted>
  <dcterms:modified xsi:type="dcterms:W3CDTF">2001-01-22T19:16:00Z</dcterms:modified>
  <cp:revision>37</cp:revision>
  <dc:subject/>
  <dc:title>Decision Analysis</dc:title>
</cp:coreProperties>
</file>