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2" w:color="000000"/>
          <w:bottom w:val="single" w:sz="6" w:space="12" w:color="000000"/>
        </w:pBdr>
        <w:tabs>
          <w:tab w:val="clear" w:pos="720"/>
          <w:tab w:val="right" w:pos="8910" w:leader="none"/>
        </w:tabs>
        <w:rPr>
          <w:b/>
          <w:sz w:val="28"/>
        </w:rPr>
      </w:pPr>
      <w:r>
        <w:rPr>
          <w:b/>
          <w:sz w:val="28"/>
        </w:rPr>
        <w:t>Greater Houston Partnership                                                      April 3, 2001</w:t>
        <w:tab/>
      </w:r>
    </w:p>
    <w:p>
      <w:pPr>
        <w:pStyle w:val="Normal"/>
        <w:rPr>
          <w:b/>
          <w:sz w:val="28"/>
        </w:rPr>
      </w:pPr>
      <w:r>
        <w:rPr>
          <w:b/>
          <w:sz w:val="28"/>
        </w:rPr>
      </w:r>
    </w:p>
    <w:p>
      <w:pPr>
        <w:pStyle w:val="Normal"/>
        <w:jc w:val="center"/>
        <w:rPr>
          <w:b/>
          <w:sz w:val="28"/>
        </w:rPr>
      </w:pPr>
      <w:r>
        <w:rPr>
          <w:b/>
          <w:sz w:val="28"/>
        </w:rPr>
        <w:t xml:space="preserve">Resolution of the Board of Directors </w:t>
      </w:r>
    </w:p>
    <w:p>
      <w:pPr>
        <w:pStyle w:val="Normal"/>
        <w:jc w:val="center"/>
        <w:rPr>
          <w:b/>
          <w:sz w:val="28"/>
        </w:rPr>
      </w:pPr>
      <w:r>
        <w:rPr>
          <w:b/>
          <w:sz w:val="28"/>
        </w:rPr>
        <w:t>In Support of Full Formula Funding</w:t>
      </w:r>
    </w:p>
    <w:p>
      <w:pPr>
        <w:pStyle w:val="Normal"/>
        <w:jc w:val="center"/>
        <w:rPr>
          <w:b/>
          <w:sz w:val="28"/>
        </w:rPr>
      </w:pPr>
      <w:r>
        <w:rPr>
          <w:b/>
          <w:sz w:val="28"/>
        </w:rPr>
        <w:t xml:space="preserve"> </w:t>
      </w:r>
      <w:r>
        <w:rPr>
          <w:b/>
          <w:sz w:val="28"/>
        </w:rPr>
        <w:t>for Community College Systems</w:t>
      </w:r>
    </w:p>
    <w:p>
      <w:pPr>
        <w:pStyle w:val="Normal"/>
        <w:pBdr>
          <w:bottom w:val="single" w:sz="6" w:space="1" w:color="000000"/>
        </w:pBdr>
        <w:jc w:val="center"/>
        <w:rPr>
          <w:b/>
          <w:sz w:val="28"/>
        </w:rPr>
      </w:pPr>
      <w:r>
        <w:rPr>
          <w:b/>
          <w:sz w:val="28"/>
        </w:rPr>
      </w:r>
    </w:p>
    <w:p>
      <w:pPr>
        <w:pStyle w:val="Normal"/>
        <w:rPr/>
      </w:pPr>
      <w:r>
        <w:rPr/>
      </w:r>
    </w:p>
    <w:p>
      <w:pPr>
        <w:pStyle w:val="Normal"/>
        <w:rPr/>
      </w:pPr>
      <w:r>
        <w:rPr/>
        <w:t>The Greater Houston Partnership supports full formula funding for community colleges in Texas.  Public community colleges are funded primarily from state appropriations and local tax revenues.  Thus when state funds are restricted, local taxes must increase.  Currently, state appropriations are not sufficient to fund community colleges at 100% of the formula developed by the Coordinating Board.  Appropriately funding of our community colleges is important for regional and state economic development.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bottom w:val="single" w:sz="6" w:space="0" w:color="000000"/>
            </w:tcBorders>
          </w:tcPr>
          <w:p>
            <w:pPr>
              <w:pStyle w:val="Normal"/>
              <w:snapToGrid w:val="false"/>
              <w:rPr/>
            </w:pPr>
            <w:r>
              <w:rPr/>
            </w:r>
          </w:p>
        </w:tc>
      </w:tr>
      <w:tr>
        <w:trPr/>
        <w:tc>
          <w:tcPr>
            <w:tcW w:w="4334" w:type="dxa"/>
            <w:tcBorders/>
          </w:tcPr>
          <w:p>
            <w:pPr>
              <w:pStyle w:val="Normal"/>
              <w:rPr/>
            </w:pPr>
            <w:r>
              <w:rPr/>
              <w:t>R. Bruce LaBoon,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bl>
    <w:p>
      <w:pPr>
        <w:pStyle w:val="Normal"/>
        <w:rPr/>
      </w:pPr>
      <w:r>
        <w:rPr/>
      </w:r>
    </w:p>
    <w:p>
      <w:pPr>
        <w:pStyle w:val="Normal"/>
        <w:rPr/>
      </w:pPr>
      <w:r>
        <w:rPr/>
      </w:r>
    </w:p>
    <w:p>
      <w:pPr>
        <w:pStyle w:val="Normal"/>
        <w:rPr/>
      </w:pPr>
      <w:r>
        <w:rPr/>
      </w:r>
    </w:p>
    <w:tbl>
      <w:tblPr>
        <w:tblW w:w="9288" w:type="dxa"/>
        <w:jc w:val="start"/>
        <w:tblInd w:w="0" w:type="dxa"/>
        <w:tblLayout w:type="fixed"/>
        <w:tblCellMar>
          <w:top w:w="0" w:type="dxa"/>
          <w:start w:w="108" w:type="dxa"/>
          <w:bottom w:w="0" w:type="dxa"/>
          <w:end w:w="108" w:type="dxa"/>
        </w:tblCellMar>
      </w:tblPr>
      <w:tblGrid>
        <w:gridCol w:w="4334"/>
        <w:gridCol w:w="648"/>
        <w:gridCol w:w="4306"/>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06" w:type="dxa"/>
            <w:tcBorders/>
          </w:tcPr>
          <w:p>
            <w:pPr>
              <w:pStyle w:val="Normal"/>
              <w:snapToGrid w:val="false"/>
              <w:rPr/>
            </w:pPr>
            <w:r>
              <w:rPr/>
            </w:r>
          </w:p>
        </w:tc>
      </w:tr>
      <w:tr>
        <w:trPr/>
        <w:tc>
          <w:tcPr>
            <w:tcW w:w="4334" w:type="dxa"/>
            <w:tcBorders/>
          </w:tcPr>
          <w:p>
            <w:pPr>
              <w:pStyle w:val="Normal"/>
              <w:rPr/>
            </w:pPr>
            <w:r>
              <w:rPr/>
              <w:t>Steven L. Miller, Secretary</w:t>
            </w:r>
          </w:p>
        </w:tc>
        <w:tc>
          <w:tcPr>
            <w:tcW w:w="648" w:type="dxa"/>
            <w:tcBorders/>
          </w:tcPr>
          <w:p>
            <w:pPr>
              <w:pStyle w:val="Normal"/>
              <w:snapToGrid w:val="false"/>
              <w:rPr/>
            </w:pPr>
            <w:r>
              <w:rPr/>
            </w:r>
          </w:p>
        </w:tc>
        <w:tc>
          <w:tcPr>
            <w:tcW w:w="4306" w:type="dxa"/>
            <w:tcBorders/>
          </w:tcPr>
          <w:p>
            <w:pPr>
              <w:pStyle w:val="Normal"/>
              <w:snapToGrid w:val="false"/>
              <w:rPr/>
            </w:pPr>
            <w:r>
              <w:rPr/>
            </w:r>
          </w:p>
        </w:tc>
      </w:tr>
    </w:tbl>
    <w:p>
      <w:pPr>
        <w:pStyle w:val="Normal"/>
        <w:rPr/>
      </w:pPr>
      <w:r>
        <w:rPr/>
      </w:r>
      <w:r>
        <w:br w:type="page"/>
      </w:r>
    </w:p>
    <w:p>
      <w:pPr>
        <w:pStyle w:val="Normal"/>
        <w:spacing w:before="480" w:after="240"/>
        <w:rPr/>
      </w:pPr>
      <w:r>
        <w:rPr/>
        <w:t>MEMORANDUM</w:t>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b/>
              </w:rPr>
            </w:pPr>
            <w:r>
              <w:rPr>
                <w:b/>
              </w:rPr>
              <w:t>DATE:</w:t>
            </w:r>
          </w:p>
        </w:tc>
        <w:tc>
          <w:tcPr>
            <w:tcW w:w="7656" w:type="dxa"/>
            <w:tcBorders/>
          </w:tcPr>
          <w:p>
            <w:pPr>
              <w:pStyle w:val="Heading2"/>
              <w:ind w:hanging="0" w:start="0"/>
              <w:rPr>
                <w:b w:val="false"/>
                <w:bCs w:val="false"/>
              </w:rPr>
            </w:pPr>
            <w:bookmarkStart w:id="0" w:name="memodate"/>
            <w:bookmarkEnd w:id="0"/>
            <w:r>
              <w:rPr>
                <w:b w:val="false"/>
                <w:bCs w:val="false"/>
              </w:rPr>
              <w:t>April 3, 2001</w:t>
            </w:r>
          </w:p>
        </w:tc>
      </w:tr>
      <w:tr>
        <w:trPr/>
        <w:tc>
          <w:tcPr>
            <w:tcW w:w="1440" w:type="dxa"/>
            <w:tcBorders/>
          </w:tcPr>
          <w:p>
            <w:pPr>
              <w:pStyle w:val="Normal"/>
              <w:snapToGrid w:val="false"/>
              <w:rPr>
                <w:b w:val="false"/>
                <w:bCs w:val="false"/>
              </w:rPr>
            </w:pPr>
            <w:r>
              <w:rPr>
                <w:b w:val="false"/>
                <w:bCs w:val="false"/>
              </w:rPr>
            </w:r>
          </w:p>
        </w:tc>
        <w:tc>
          <w:tcPr>
            <w:tcW w:w="7656" w:type="dxa"/>
            <w:tcBorders/>
          </w:tcPr>
          <w:p>
            <w:pPr>
              <w:pStyle w:val="Normal"/>
              <w:snapToGrid w:val="false"/>
              <w:rPr/>
            </w:pPr>
            <w:r>
              <w:rPr/>
            </w:r>
          </w:p>
        </w:tc>
      </w:tr>
      <w:tr>
        <w:trPr/>
        <w:tc>
          <w:tcPr>
            <w:tcW w:w="1440" w:type="dxa"/>
            <w:tcBorders/>
          </w:tcPr>
          <w:p>
            <w:pPr>
              <w:pStyle w:val="Normal"/>
              <w:rPr>
                <w:b/>
              </w:rPr>
            </w:pPr>
            <w:r>
              <w:rPr>
                <w:b/>
              </w:rPr>
              <w:t>TO:</w:t>
            </w:r>
          </w:p>
        </w:tc>
        <w:tc>
          <w:tcPr>
            <w:tcW w:w="7656" w:type="dxa"/>
            <w:tcBorders/>
          </w:tcPr>
          <w:p>
            <w:pPr>
              <w:pStyle w:val="Normal"/>
              <w:rPr/>
            </w:pPr>
            <w:bookmarkStart w:id="1" w:name="Distribution"/>
            <w:bookmarkEnd w:id="1"/>
            <w:r>
              <w:rPr/>
              <w:t>Board of Directors</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FROM:</w:t>
            </w:r>
          </w:p>
        </w:tc>
        <w:tc>
          <w:tcPr>
            <w:tcW w:w="7656" w:type="dxa"/>
            <w:tcBorders/>
          </w:tcPr>
          <w:p>
            <w:pPr>
              <w:pStyle w:val="Normal"/>
              <w:rPr/>
            </w:pPr>
            <w:bookmarkStart w:id="2" w:name="Source"/>
            <w:bookmarkEnd w:id="2"/>
            <w:r>
              <w:rPr/>
              <w:t>Robert Mosbacher, Jr.</w:t>
            </w:r>
          </w:p>
          <w:p>
            <w:pPr>
              <w:pStyle w:val="Normal"/>
              <w:rPr/>
            </w:pPr>
            <w:r>
              <w:rPr/>
              <w:t>Chairman, Education and Workforce Advisory Committee</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SUBJECT:</w:t>
            </w:r>
          </w:p>
        </w:tc>
        <w:tc>
          <w:tcPr>
            <w:tcW w:w="7656" w:type="dxa"/>
            <w:tcBorders/>
          </w:tcPr>
          <w:p>
            <w:pPr>
              <w:pStyle w:val="Normal"/>
              <w:rPr/>
            </w:pPr>
            <w:bookmarkStart w:id="3" w:name="Subject"/>
            <w:bookmarkEnd w:id="3"/>
            <w:r>
              <w:rPr/>
              <w:t>Resolution of the Board of Directors In Support of Full Formula Funding for Community College Systems</w:t>
            </w:r>
          </w:p>
        </w:tc>
      </w:tr>
    </w:tbl>
    <w:p>
      <w:pPr>
        <w:pStyle w:val="Normal"/>
        <w:tabs>
          <w:tab w:val="clear" w:pos="720"/>
          <w:tab w:val="left" w:pos="1440" w:leader="none"/>
        </w:tabs>
        <w:jc w:val="both"/>
        <w:rPr/>
      </w:pPr>
      <w:r>
        <w:rPr/>
      </w:r>
    </w:p>
    <w:p>
      <w:pPr>
        <w:pStyle w:val="Normal"/>
        <w:pBdr>
          <w:bottom w:val="single" w:sz="6" w:space="1" w:color="000000"/>
        </w:pBdr>
        <w:tabs>
          <w:tab w:val="clear" w:pos="720"/>
          <w:tab w:val="left" w:pos="1440" w:leader="none"/>
        </w:tabs>
        <w:jc w:val="both"/>
        <w:rPr/>
      </w:pPr>
      <w:r>
        <w:rPr/>
      </w:r>
    </w:p>
    <w:p>
      <w:pPr>
        <w:pStyle w:val="Normal"/>
        <w:tabs>
          <w:tab w:val="clear" w:pos="720"/>
          <w:tab w:val="left" w:pos="1440" w:leader="none"/>
        </w:tabs>
        <w:jc w:val="both"/>
        <w:rPr/>
      </w:pPr>
      <w:r>
        <w:rPr/>
      </w:r>
    </w:p>
    <w:p>
      <w:pPr>
        <w:pStyle w:val="Normal"/>
        <w:rPr/>
      </w:pPr>
      <w:r>
        <w:rPr/>
        <w:t>The Greater Houston Partnership supports full formula funding for community colleges in Texas.  Public community colleges are funded primarily from state appropriations and local tax revenues.  Thus when state funds are restricted, local taxes must increase.  Currently, state appropriations are not sufficient to fund community colleges at 100% of the formula developed by the Coordinating Board.  Appropriately funding of our community colleges is important for regional and state economic development.</w:t>
      </w:r>
    </w:p>
    <w:p>
      <w:pPr>
        <w:pStyle w:val="Normal"/>
        <w:rPr/>
      </w:pPr>
      <w:r>
        <w:rPr/>
      </w:r>
    </w:p>
    <w:p>
      <w:pPr>
        <w:pStyle w:val="Normal"/>
        <w:jc w:val="center"/>
        <w:rPr/>
      </w:pPr>
      <w:r>
        <w:rPr/>
      </w:r>
    </w:p>
    <w:p>
      <w:pPr>
        <w:pStyle w:val="Normal"/>
        <w:jc w:val="center"/>
        <w:rPr>
          <w:b/>
        </w:rPr>
      </w:pPr>
      <w:r>
        <w:rPr>
          <w:b/>
        </w:rPr>
        <w:t>COMMUNITY COLLEGE FULL FORMULA FUNDING</w:t>
      </w:r>
    </w:p>
    <w:p>
      <w:pPr>
        <w:pStyle w:val="Normal"/>
        <w:jc w:val="center"/>
        <w:rPr>
          <w:b/>
        </w:rPr>
      </w:pPr>
      <w:r>
        <w:rPr>
          <w:b/>
        </w:rPr>
      </w:r>
    </w:p>
    <w:p>
      <w:pPr>
        <w:pStyle w:val="Normal"/>
        <w:rPr/>
      </w:pPr>
      <w:r>
        <w:rPr/>
      </w:r>
    </w:p>
    <w:p>
      <w:pPr>
        <w:pStyle w:val="Normal"/>
        <w:rPr/>
      </w:pPr>
      <w:r>
        <w:rPr/>
        <w:t>Providing for community colleges has been a shared responsibility between the state, local taxpayers, community college students, and the federal government.  State and local funds are the main sources of revenue for Texas' public community colleges.  State funds are appropriated by the Legislature based on the community and technical college funding formula.  This differs from four-year higher education institutions, which are individual line items in the state budget.  Community college boards raise local funds through tuition and fees and property taxes to defray the expenses associated with construction and maintenance of the physical plant.</w:t>
      </w:r>
    </w:p>
    <w:p>
      <w:pPr>
        <w:pStyle w:val="Normal"/>
        <w:rPr/>
      </w:pPr>
      <w:r>
        <w:rPr/>
      </w:r>
    </w:p>
    <w:p>
      <w:pPr>
        <w:pStyle w:val="Normal"/>
        <w:rPr/>
      </w:pPr>
      <w:r>
        <w:rPr/>
        <w:t xml:space="preserve">The community and technical college funding formula determines instructional and administrative costs for community colleges.  Each college completes a cost survey, known as the All Funds Expenditure Report, which determines the institution's instructional and administrative expenses for 26 funding disciplines.  The Texas Higher Education Coordinating Board compiles the results and determines the median cost per student contact hour for each of the 26 instructional fields.  The total cost of instruction is determined by multiplying the median cost for each instructional field with the total number of contact hours generated for each field. </w:t>
      </w:r>
    </w:p>
    <w:p>
      <w:pPr>
        <w:pStyle w:val="Normal"/>
        <w:rPr/>
      </w:pPr>
      <w:r>
        <w:rPr/>
      </w:r>
    </w:p>
    <w:p>
      <w:pPr>
        <w:pStyle w:val="Normal"/>
        <w:rPr/>
      </w:pPr>
      <w:r>
        <w:rPr/>
        <w:t xml:space="preserve">Historically, the Legislature has not appropriated an amount that would fully fund instructional costs.  The gap between the cost of instruction and the funds provided by the state must be absorbed by the community colleges and can result in deferred maintenance of infrastructure, increased local taxes and increased student tuition and fees.  Full formula funding is needed to eliminate shifting the costs of education from the state to local taxpayers and students.  </w:t>
      </w:r>
    </w:p>
    <w:p>
      <w:pPr>
        <w:pStyle w:val="Normal"/>
        <w:rPr/>
      </w:pPr>
      <w:r>
        <w:rPr/>
      </w:r>
    </w:p>
    <w:p>
      <w:pPr>
        <w:pStyle w:val="Normal"/>
        <w:rPr/>
      </w:pPr>
      <w:r>
        <w:rPr/>
        <w:t xml:space="preserve">In an effort to address this situation in a fair and reasonable way, most of the state's community colleges and the Texas Association of Community Colleges support a plan to achieve full formula funding in five biennia.  Only 71 percent of the instructional formula was appropriated by the 76th Legislature.  The 77th Legislature should increase the community and technical college formula appropriation to 81 percent of the cost of instruction and administration.              </w:t>
      </w:r>
    </w:p>
    <w:p>
      <w:pPr>
        <w:pStyle w:val="Normal"/>
        <w:tabs>
          <w:tab w:val="clear" w:pos="720"/>
          <w:tab w:val="left" w:pos="1440" w:leader="none"/>
        </w:tabs>
        <w:jc w:val="both"/>
        <w:rPr/>
      </w:pPr>
      <w:r>
        <w:rPr/>
      </w:r>
    </w:p>
    <w:p>
      <w:pPr>
        <w:pStyle w:val="Heading1"/>
        <w:ind w:hanging="0" w:start="0"/>
        <w:rPr/>
      </w:pPr>
      <w:r>
        <w:rPr/>
        <w:t>IMPLEMENTATION</w:t>
      </w:r>
    </w:p>
    <w:p>
      <w:pPr>
        <w:pStyle w:val="Normal"/>
        <w:tabs>
          <w:tab w:val="clear" w:pos="720"/>
          <w:tab w:val="left" w:pos="1440" w:leader="none"/>
        </w:tabs>
        <w:jc w:val="both"/>
        <w:rPr>
          <w:b/>
        </w:rPr>
      </w:pPr>
      <w:r>
        <w:rPr>
          <w:b/>
        </w:rPr>
      </w:r>
    </w:p>
    <w:p>
      <w:pPr>
        <w:pStyle w:val="Normal"/>
        <w:tabs>
          <w:tab w:val="clear" w:pos="720"/>
          <w:tab w:val="left" w:pos="1440" w:leader="none"/>
        </w:tabs>
        <w:jc w:val="both"/>
        <w:rPr/>
      </w:pPr>
      <w:r>
        <w:rPr/>
        <w:t>Communicate and advocate this position statement to the State Legislature.</w:t>
      </w:r>
    </w:p>
    <w:p>
      <w:pPr>
        <w:pStyle w:val="Normal"/>
        <w:tabs>
          <w:tab w:val="clear" w:pos="720"/>
          <w:tab w:val="left" w:pos="1440" w:leader="none"/>
        </w:tabs>
        <w:jc w:val="both"/>
        <w:rPr/>
      </w:pPr>
      <w:r>
        <w:rPr/>
      </w:r>
    </w:p>
    <w:p>
      <w:pPr>
        <w:pStyle w:val="Heading1"/>
        <w:ind w:hanging="0" w:start="0"/>
        <w:rPr/>
      </w:pPr>
      <w:r>
        <w:rPr/>
        <w:t>RESOURCES REQUIRED</w:t>
      </w:r>
    </w:p>
    <w:p>
      <w:pPr>
        <w:pStyle w:val="Normal"/>
        <w:tabs>
          <w:tab w:val="clear" w:pos="720"/>
          <w:tab w:val="left" w:pos="1440" w:leader="none"/>
        </w:tabs>
        <w:jc w:val="both"/>
        <w:rPr/>
      </w:pPr>
      <w:r>
        <w:rPr/>
      </w:r>
    </w:p>
    <w:p>
      <w:pPr>
        <w:pStyle w:val="Normal"/>
        <w:tabs>
          <w:tab w:val="clear" w:pos="720"/>
          <w:tab w:val="left" w:pos="1440" w:leader="none"/>
        </w:tabs>
        <w:jc w:val="both"/>
        <w:rPr/>
      </w:pPr>
      <w:r>
        <w:rPr/>
        <w:t>This position can be implemented within current budgetary constraints.</w:t>
      </w:r>
    </w:p>
    <w:p>
      <w:pPr>
        <w:pStyle w:val="Normal"/>
        <w:rPr/>
      </w:pPr>
      <w:r>
        <w:rPr/>
      </w:r>
    </w:p>
    <w:sectPr>
      <w:footerReference w:type="default" r:id="rId2"/>
      <w:type w:val="nextPage"/>
      <w:pgSz w:w="12240" w:h="15840"/>
      <w:pgMar w:left="1680" w:right="1680" w:gutter="0" w:header="0" w:top="1440" w:footer="9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s>
      <w:jc w:val="both"/>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2001 Resolution.dot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2001-03-23T16:16:00Z</dcterms:created>
  <dc:creator>Advocate for Houston Business</dc:creator>
  <dc:description/>
  <dc:language>en-CA</dc:language>
  <cp:lastModifiedBy>Arlene McCarty</cp:lastModifiedBy>
  <cp:lastPrinted>2001-03-22T11:03:00Z</cp:lastPrinted>
  <dcterms:modified xsi:type="dcterms:W3CDTF">2001-03-23T16:16:00Z</dcterms:modified>
  <cp:revision>2</cp:revision>
  <dc:subject/>
  <dc:title>Greater Houston Partnership							February 4, 1997</dc:title>
</cp:coreProperties>
</file>