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4"/>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r>
        <w:rPr>
          <w:sz w:val="24"/>
        </w:rPr>
        <w:tab/>
      </w:r>
      <w:r>
        <w:rPr>
          <w:rFonts w:cs="Arial Black" w:ascii="Arial Black" w:hAnsi="Arial Black"/>
          <w:sz w:val="24"/>
        </w:rPr>
        <w:t>Enron Transportation &amp; Storage</w:t>
      </w:r>
    </w:p>
    <w:p>
      <w:pPr>
        <w:pStyle w:val="Normal"/>
        <w:rPr>
          <w:rFonts w:ascii="Arial Black" w:hAnsi="Arial Black" w:cs="Arial Black"/>
          <w:sz w:val="24"/>
        </w:rPr>
      </w:pPr>
      <w:r>
        <w:rPr>
          <w:rFonts w:cs="Arial Black" w:ascii="Arial Black" w:hAnsi="Arial Black"/>
          <w:sz w:val="24"/>
        </w:rPr>
      </w:r>
    </w:p>
    <w:p>
      <w:pPr>
        <w:pStyle w:val="Normal"/>
        <w:rPr>
          <w:sz w:val="24"/>
        </w:rPr>
      </w:pPr>
      <w:r>
        <w:rPr>
          <w:sz w:val="24"/>
        </w:rPr>
      </w:r>
    </w:p>
    <w:p>
      <w:pPr>
        <w:pStyle w:val="Normal"/>
        <w:rPr>
          <w:sz w:val="24"/>
        </w:rPr>
      </w:pPr>
      <w:r>
        <w:rPr>
          <w:sz w:val="24"/>
        </w:rPr>
        <w:t xml:space="preserve">To:  </w:t>
        <w:tab/>
        <w:tab/>
        <w:t>Lindy Donoho, Steve Harris</w:t>
      </w:r>
    </w:p>
    <w:p>
      <w:pPr>
        <w:pStyle w:val="Normal"/>
        <w:rPr>
          <w:sz w:val="24"/>
        </w:rPr>
      </w:pPr>
      <w:r>
        <w:rPr>
          <w:sz w:val="24"/>
        </w:rPr>
      </w:r>
    </w:p>
    <w:p>
      <w:pPr>
        <w:pStyle w:val="Normal"/>
        <w:rPr>
          <w:sz w:val="24"/>
        </w:rPr>
      </w:pPr>
      <w:r>
        <w:rPr>
          <w:sz w:val="24"/>
        </w:rPr>
        <w:t>From:</w:t>
        <w:tab/>
        <w:tab/>
        <w:t>Susan Scott</w:t>
      </w:r>
    </w:p>
    <w:p>
      <w:pPr>
        <w:pStyle w:val="Normal"/>
        <w:rPr>
          <w:sz w:val="24"/>
        </w:rPr>
      </w:pPr>
      <w:r>
        <w:rPr>
          <w:sz w:val="24"/>
        </w:rPr>
      </w:r>
    </w:p>
    <w:p>
      <w:pPr>
        <w:pStyle w:val="Normal"/>
        <w:rPr>
          <w:sz w:val="24"/>
        </w:rPr>
      </w:pPr>
      <w:r>
        <w:rPr>
          <w:sz w:val="24"/>
        </w:rPr>
        <w:t>Subject:</w:t>
        <w:tab/>
        <w:t>Fuel Charge on Transwestern</w:t>
      </w:r>
    </w:p>
    <w:p>
      <w:pPr>
        <w:pStyle w:val="Normal"/>
        <w:rPr>
          <w:sz w:val="24"/>
        </w:rPr>
      </w:pPr>
      <w:r>
        <w:rPr>
          <w:sz w:val="24"/>
        </w:rPr>
      </w:r>
    </w:p>
    <w:p>
      <w:pPr>
        <w:pStyle w:val="Normal"/>
        <w:rPr>
          <w:sz w:val="24"/>
        </w:rPr>
      </w:pPr>
      <w:r>
        <w:rPr>
          <w:sz w:val="24"/>
        </w:rPr>
        <w:t>Date:</w:t>
        <w:tab/>
        <w:tab/>
        <w:t>March 7, 2000</w:t>
      </w:r>
    </w:p>
    <w:p>
      <w:pPr>
        <w:pStyle w:val="Normal"/>
        <w:rPr>
          <w:sz w:val="24"/>
        </w:rPr>
      </w:pPr>
      <w:r>
        <w:rPr>
          <w:sz w:val="24"/>
        </w:rPr>
      </w:r>
    </w:p>
    <w:p>
      <w:pPr>
        <w:pStyle w:val="BodyText"/>
        <w:jc w:val="both"/>
        <w:rPr>
          <w:sz w:val="24"/>
        </w:rPr>
      </w:pPr>
      <w:r>
        <w:rPr>
          <w:sz w:val="24"/>
        </w:rPr>
      </w:r>
    </w:p>
    <w:p>
      <w:pPr>
        <w:pStyle w:val="BodyText"/>
        <w:jc w:val="both"/>
        <w:rPr/>
      </w:pPr>
      <w:r>
        <w:rPr/>
        <w:tab/>
        <w:t>At your request, I have done some research on revising TW's tariff to provide for cash reimbursement by shippers for fuel.  The primary goal of such a provision would be to help alleviate the constraint on TW's San Juan lateral; in other words, to free up capacity that is normally used to transport gas provided by shippers to be used as compressor fuel.  While it would be fairly simple to make cash payment an option in TW's tariff, requiring cash payment without allowing shippers the option of providing gas in-kind would be more problematic.</w:t>
      </w:r>
    </w:p>
    <w:p>
      <w:pPr>
        <w:pStyle w:val="Normal"/>
        <w:rPr>
          <w:sz w:val="24"/>
        </w:rPr>
      </w:pPr>
      <w:r>
        <w:rPr>
          <w:sz w:val="24"/>
        </w:rPr>
      </w:r>
    </w:p>
    <w:p>
      <w:pPr>
        <w:pStyle w:val="BodyText2"/>
        <w:rPr/>
      </w:pPr>
      <w:r>
        <w:rPr/>
        <w:tab/>
        <w:t xml:space="preserve">Koch Gateway and NGPL both have tariff provisions allowing shippers the option to reimburse the pipeline for fuel used, as an alternative to the pipeline retaining fuel gas in-kind. A summary of FERC's rationale for approving the tariff provisions appears below.  Williston Basin also has a cash payment option in its tariff and I have attached copies of the relevant tariff sheets.  I have not found any examples of pipeline tariffs in which cash payment for gas is mandatory.  </w:t>
      </w:r>
    </w:p>
    <w:p>
      <w:pPr>
        <w:pStyle w:val="Normal"/>
        <w:rPr>
          <w:sz w:val="24"/>
        </w:rPr>
      </w:pPr>
      <w:r>
        <w:rPr>
          <w:sz w:val="24"/>
        </w:rPr>
      </w:r>
    </w:p>
    <w:p>
      <w:pPr>
        <w:pStyle w:val="Normal"/>
        <w:jc w:val="both"/>
        <w:rPr/>
      </w:pPr>
      <w:r>
        <w:rPr>
          <w:sz w:val="24"/>
        </w:rPr>
        <w:tab/>
        <w:t>In the context of its Order 636 compliance filing, NGPL proposed to provide shippers with more flexibility by including the option that on mutual agreement NGPL will provide shippers with gas for fuel and lost and unaccounted-for gas.</w:t>
      </w:r>
      <w:r>
        <w:rPr>
          <w:rStyle w:val="FootnoteCharacters"/>
          <w:rStyle w:val="FootnoteReference"/>
          <w:sz w:val="24"/>
        </w:rPr>
        <w:footnoteReference w:id="2"/>
      </w:r>
      <w:r>
        <w:rPr>
          <w:sz w:val="24"/>
        </w:rPr>
        <w:t xml:space="preserve">  FERC approved the proposal as analogous to a cash-out program in which a pipeline would buy gas to make up for a shipper's shortfall in a month and recoup the cost from the shipper.  Central to FERC's acceptance of the proposal was the fact that it is an optional provision, and shippers are still free to supply their own gas in-kind.  Addressing protestors' concerns, FERC stipulated that sale of gas must be nondiscriminatory in availability and price, and sale should be made at the wellhead, and also required NGPL to file tariff language specifying price (or how price will be determined) and its availability.</w:t>
      </w:r>
      <w:r>
        <w:rPr>
          <w:rStyle w:val="FootnoteCharacters"/>
          <w:rStyle w:val="FootnoteReference"/>
          <w:sz w:val="24"/>
        </w:rPr>
        <w:footnoteReference w:id="3"/>
      </w:r>
      <w:r>
        <w:rPr>
          <w:sz w:val="24"/>
        </w:rPr>
        <w:t xml:space="preserve">  NGPL's current tariff page with regard to fuel gas is attached hereto (there is currently no price for fuel gas posted on NGPL's EBB).</w:t>
      </w:r>
    </w:p>
    <w:p>
      <w:pPr>
        <w:pStyle w:val="Normal"/>
        <w:jc w:val="both"/>
        <w:rPr>
          <w:sz w:val="24"/>
        </w:rPr>
      </w:pPr>
      <w:r>
        <w:rPr>
          <w:sz w:val="24"/>
        </w:rPr>
      </w:r>
    </w:p>
    <w:p>
      <w:pPr>
        <w:pStyle w:val="Normal"/>
        <w:jc w:val="both"/>
        <w:rPr/>
      </w:pPr>
      <w:r>
        <w:rPr>
          <w:sz w:val="24"/>
        </w:rPr>
        <w:tab/>
        <w:t>FERC also approved a provision in Koch's tariff allowing shippers the option of reimbursing Koch in cash for fuel gas as an alternative to supplying gas in-kind.</w:t>
      </w:r>
      <w:r>
        <w:rPr>
          <w:rStyle w:val="FootnoteCharacters"/>
          <w:rStyle w:val="FootnoteReference"/>
          <w:sz w:val="24"/>
        </w:rPr>
        <w:footnoteReference w:id="4"/>
      </w:r>
      <w:r>
        <w:rPr>
          <w:sz w:val="24"/>
        </w:rPr>
        <w:t xml:space="preserve">  As its basis for approving the filing, FERC cited </w:t>
      </w:r>
      <w:r>
        <w:rPr>
          <w:sz w:val="24"/>
          <w:u w:val="single"/>
        </w:rPr>
        <w:t>NGPL</w:t>
      </w:r>
      <w:r>
        <w:rPr>
          <w:sz w:val="24"/>
        </w:rPr>
        <w:t xml:space="preserve"> and </w:t>
      </w:r>
      <w:r>
        <w:rPr>
          <w:sz w:val="24"/>
          <w:u w:val="single"/>
        </w:rPr>
        <w:t>Transco</w:t>
      </w:r>
      <w:r>
        <w:rPr>
          <w:sz w:val="24"/>
        </w:rPr>
        <w:t xml:space="preserve"> (discussed below), explaining that it has allowed similar provisions in the past because they are analogous to cashout programs, and also cited its general policy of allowing pipelines flexibility in making decisions whether to purchase or sell gas to satisfy fuel and use requirements.</w:t>
      </w:r>
      <w:r>
        <w:rPr>
          <w:rStyle w:val="FootnoteCharacters"/>
          <w:rStyle w:val="FootnoteReference"/>
          <w:sz w:val="24"/>
        </w:rPr>
        <w:footnoteReference w:id="5"/>
      </w:r>
      <w:r>
        <w:rPr>
          <w:sz w:val="24"/>
        </w:rPr>
        <w:t xml:space="preserve">  Further, the Commission found that customers would benefit from the additional flexibility. Dismissing protestors' claims, FERC confirmed that the sale of fuel gas to shippers was not a marketing service but rather an extension of transportation service, and there is no need for the sale to be made by a marketing affiliate.  FERC also held that the tariff provisions contained sufficient protection against discrimination by requiring the posting of prices, and the method used to determine the prices, on Koch's EBB; also, the purchase of fuel gas is optional, meaning that if the posted price is not competitive, the shipper may choose to provide fuel gas in-kind.  I have attached the relevant provisions of Koch's tariff, and its current EBB posting.</w:t>
      </w:r>
    </w:p>
    <w:p>
      <w:pPr>
        <w:pStyle w:val="Normal"/>
        <w:rPr>
          <w:sz w:val="24"/>
        </w:rPr>
      </w:pPr>
      <w:r>
        <w:rPr>
          <w:sz w:val="24"/>
        </w:rPr>
      </w:r>
    </w:p>
    <w:p>
      <w:pPr>
        <w:pStyle w:val="Normal"/>
        <w:jc w:val="both"/>
        <w:rPr/>
      </w:pPr>
      <w:r>
        <w:rPr>
          <w:sz w:val="24"/>
        </w:rPr>
        <w:tab/>
        <w:t>The Commission commented on sale of fuel gas by a pipeline in the context of Transco's conversion to Part 284 service in connection with Order 636.</w:t>
      </w:r>
      <w:r>
        <w:rPr>
          <w:rStyle w:val="FootnoteCharacters"/>
          <w:rStyle w:val="FootnoteReference"/>
          <w:sz w:val="24"/>
        </w:rPr>
        <w:footnoteReference w:id="6"/>
      </w:r>
      <w:r>
        <w:rPr>
          <w:sz w:val="24"/>
        </w:rPr>
        <w:t xml:space="preserve">  The Commission upheld Transco's new tariff provisions notwithstanding protestors' assertions that Transco's requirement that shippers provide fuel gas in-kind would result in a degradation of service and have an adverse effect on contractual entitlements.  The Commission agreed with the protestors that pipelines are not prohibited from selling fuel gas, but declined to require Transco to offer fuel gas for sale:  "Transco is free to propose modifying its tariff to allow for the sale of fuel gas when providing these services, but it has not done so."</w:t>
      </w:r>
      <w:r>
        <w:rPr>
          <w:rStyle w:val="FootnoteCharacters"/>
          <w:rStyle w:val="FootnoteReference"/>
          <w:sz w:val="24"/>
        </w:rPr>
        <w:footnoteReference w:id="7"/>
      </w:r>
      <w:r>
        <w:rPr>
          <w:sz w:val="24"/>
        </w:rPr>
        <w:t xml:space="preserve">  Therefore, service must be provided under the terms of Transco's tariff, which at present only provides for fuel retention.</w:t>
      </w:r>
    </w:p>
    <w:p>
      <w:pPr>
        <w:pStyle w:val="Normal"/>
        <w:rPr>
          <w:sz w:val="24"/>
        </w:rPr>
      </w:pPr>
      <w:r>
        <w:rPr>
          <w:sz w:val="24"/>
        </w:rPr>
      </w:r>
    </w:p>
    <w:p>
      <w:pPr>
        <w:pStyle w:val="Normal"/>
        <w:jc w:val="both"/>
        <w:rPr/>
      </w:pPr>
      <w:r>
        <w:rPr>
          <w:sz w:val="24"/>
        </w:rPr>
        <w:tab/>
        <w:t xml:space="preserve">Modifying TW's tariff to allow shippers the option to purchase fuel gas from TW is supported by sound precedent at FERC.  However, it is less clear whether FERC sould approve a provision requiring shippers to purchase gas without the option of in-kind reimbursement.  In both </w:t>
      </w:r>
      <w:r>
        <w:rPr>
          <w:sz w:val="24"/>
          <w:u w:val="single"/>
        </w:rPr>
        <w:t>Koch</w:t>
      </w:r>
      <w:r>
        <w:rPr>
          <w:sz w:val="24"/>
        </w:rPr>
        <w:t xml:space="preserve"> and </w:t>
      </w:r>
      <w:r>
        <w:rPr>
          <w:sz w:val="24"/>
          <w:u w:val="single"/>
        </w:rPr>
        <w:t>NGPL</w:t>
      </w:r>
      <w:r>
        <w:rPr>
          <w:sz w:val="24"/>
        </w:rPr>
        <w:t xml:space="preserve"> the Commission cited the fact that fuel purchase was </w:t>
      </w:r>
      <w:r>
        <w:rPr>
          <w:i/>
          <w:sz w:val="24"/>
        </w:rPr>
        <w:t>optional</w:t>
      </w:r>
      <w:r>
        <w:rPr>
          <w:sz w:val="24"/>
        </w:rPr>
        <w:t xml:space="preserve"> as a reason for approving the pipelines' proposed fuel provisions.  Making the purchase of fuel mandatory is likely to draw protests from shippers, especially producers, unless the proposed tariff provisions assure shippers of a very favorable rate.   Please let me know how you wish to proceed.</w:t>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u w:val="single"/>
        </w:rPr>
        <w:t>Natural Gas Pipeline of America</w:t>
      </w:r>
      <w:r>
        <w:rPr/>
        <w:t>, 64 FERC ¶ 61,295 (1994) (Docket Nos. RS92-45-000, 001, 004, 006).</w:t>
      </w:r>
    </w:p>
  </w:footnote>
  <w:footnote w:id="3">
    <w:p>
      <w:pPr>
        <w:pStyle w:val="FootnoteText"/>
        <w:rPr/>
      </w:pPr>
      <w:r>
        <w:rPr>
          <w:rStyle w:val="FootnoteCharacters"/>
        </w:rPr>
        <w:footnoteRef/>
      </w:r>
      <w:r>
        <w:rPr/>
        <w:t xml:space="preserve"> </w:t>
      </w:r>
      <w:r>
        <w:rPr>
          <w:u w:val="single"/>
        </w:rPr>
        <w:t>Id.</w:t>
      </w:r>
      <w:r>
        <w:rPr/>
        <w:t xml:space="preserve"> at 63,072.</w:t>
      </w:r>
    </w:p>
  </w:footnote>
  <w:footnote w:id="4">
    <w:p>
      <w:pPr>
        <w:pStyle w:val="FootnoteText"/>
        <w:rPr/>
      </w:pPr>
      <w:r>
        <w:rPr>
          <w:rStyle w:val="FootnoteCharacters"/>
        </w:rPr>
        <w:footnoteRef/>
      </w:r>
      <w:r>
        <w:rPr/>
        <w:t xml:space="preserve"> </w:t>
      </w:r>
      <w:r>
        <w:rPr>
          <w:u w:val="single"/>
        </w:rPr>
        <w:t>Koch Gateway Pipeline Company</w:t>
      </w:r>
      <w:r>
        <w:rPr/>
        <w:t>, 73 FERC ¶ 61,375 (1995) (Docket No. RP96-58-000).</w:t>
      </w:r>
    </w:p>
  </w:footnote>
  <w:footnote w:id="5">
    <w:p>
      <w:pPr>
        <w:pStyle w:val="FootnoteText"/>
        <w:spacing w:before="240" w:after="0"/>
        <w:rPr/>
      </w:pPr>
      <w:r>
        <w:rPr>
          <w:rStyle w:val="FootnoteCharacters"/>
        </w:rPr>
        <w:footnoteRef/>
      </w:r>
      <w:r>
        <w:rPr/>
        <w:t xml:space="preserve"> </w:t>
      </w:r>
      <w:r>
        <w:rPr>
          <w:u w:val="single"/>
        </w:rPr>
        <w:t>Id.</w:t>
      </w:r>
      <w:r>
        <w:rPr/>
        <w:t xml:space="preserve"> at 62,166, citing </w:t>
      </w:r>
      <w:r>
        <w:rPr>
          <w:u w:val="single"/>
        </w:rPr>
        <w:t>Texas Eastern Transmission Corporation</w:t>
      </w:r>
      <w:r>
        <w:rPr/>
        <w:t xml:space="preserve">,  71 FERC ¶ 61,308 (1995).  In </w:t>
      </w:r>
      <w:r>
        <w:rPr>
          <w:u w:val="single"/>
        </w:rPr>
        <w:t>Texas Eastern</w:t>
      </w:r>
      <w:r>
        <w:rPr/>
        <w:t>, which involved the Applicable Shrinkage Adjustment provision in Texas Eastern's tariff, FERC declined to require the pipeline to identify in its tariff the criteria it uses to determine when to purchase or sell gas for fuel and use requirements, stating that Texas Eastern should have flexibility in making such decisions.</w:t>
      </w:r>
    </w:p>
  </w:footnote>
  <w:footnote w:id="6">
    <w:p>
      <w:pPr>
        <w:pStyle w:val="FootnoteText"/>
        <w:rPr/>
      </w:pPr>
      <w:r>
        <w:rPr>
          <w:rStyle w:val="FootnoteCharacters"/>
        </w:rPr>
        <w:footnoteRef/>
      </w:r>
      <w:r>
        <w:rPr/>
        <w:t xml:space="preserve"> </w:t>
      </w:r>
      <w:r>
        <w:rPr>
          <w:u w:val="single"/>
        </w:rPr>
        <w:t>Transcontinental Gas Pipe Line Corporation</w:t>
      </w:r>
      <w:r>
        <w:rPr/>
        <w:t>, 71 FERC ¶ 61,213 (1995).</w:t>
      </w:r>
    </w:p>
  </w:footnote>
  <w:footnote w:id="7">
    <w:p>
      <w:pPr>
        <w:pStyle w:val="FootnoteText"/>
        <w:rPr/>
      </w:pPr>
      <w:r>
        <w:rPr>
          <w:rStyle w:val="FootnoteCharacters"/>
        </w:rPr>
        <w:footnoteRef/>
      </w:r>
      <w:r>
        <w:rPr/>
        <w:t xml:space="preserve"> </w:t>
      </w:r>
      <w:r>
        <w:rPr>
          <w:u w:val="single"/>
        </w:rPr>
        <w:t>Id.</w:t>
      </w:r>
      <w:r>
        <w:rPr/>
        <w:t xml:space="preserve"> at 61,781.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i/>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2000-03-06T21:23:00Z</dcterms:created>
  <dc:creator>Susan Scott</dc:creator>
  <dc:description/>
  <dc:language>en-CA</dc:language>
  <cp:lastModifiedBy>Susan Scott</cp:lastModifiedBy>
  <cp:lastPrinted>2000-03-07T11:10:00Z</cp:lastPrinted>
  <dcterms:modified xsi:type="dcterms:W3CDTF">2000-03-07T14:45:00Z</dcterms:modified>
  <cp:revision>5</cp:revision>
  <dc:subject/>
  <dc:title>You have asked me to look into options for TW to revise its tariff to provide for shippers to reimburse TW in cash for fuel used</dc:title>
</cp:coreProperties>
</file>