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 5/15/00</w:t>
      </w:r>
    </w:p>
    <w:p>
      <w:pPr>
        <w:pStyle w:val="Normal"/>
        <w:jc w:val="center"/>
        <w:rPr/>
      </w:pPr>
      <w:r>
        <w:rPr/>
      </w:r>
    </w:p>
    <w:p>
      <w:pPr>
        <w:pStyle w:val="Normal"/>
        <w:jc w:val="center"/>
        <w:rPr/>
      </w:pPr>
      <w:r>
        <w:rPr/>
        <w:t>June 1, 2000</w:t>
      </w:r>
    </w:p>
    <w:p>
      <w:pPr>
        <w:pStyle w:val="Normal"/>
        <w:jc w:val="center"/>
        <w:rPr/>
      </w:pPr>
      <w:r>
        <w:rPr/>
      </w:r>
    </w:p>
    <w:p>
      <w:pPr>
        <w:pStyle w:val="Normal"/>
        <w:jc w:val="center"/>
        <w:rPr/>
      </w:pPr>
      <w:r>
        <w:rPr/>
      </w:r>
    </w:p>
    <w:p>
      <w:pPr>
        <w:pStyle w:val="Normal"/>
        <w:rPr/>
      </w:pPr>
      <w:r>
        <w:rPr/>
        <w:t>Mr. David P. Boergers, Secretary</w:t>
      </w:r>
    </w:p>
    <w:p>
      <w:pPr>
        <w:pStyle w:val="Normal"/>
        <w:rPr/>
      </w:pPr>
      <w:r>
        <w:rPr/>
        <w:t>Federal Energy Regulatory Commission</w:t>
      </w:r>
    </w:p>
    <w:p>
      <w:pPr>
        <w:pStyle w:val="Heading1"/>
        <w:widowControl/>
        <w:ind w:hanging="0" w:start="0"/>
        <w:rPr/>
      </w:pPr>
      <w:r>
        <w:rPr/>
        <w:t>888 First Street, N.E., Room 1A</w:t>
      </w:r>
    </w:p>
    <w:p>
      <w:pPr>
        <w:pStyle w:val="Normal"/>
        <w:rPr/>
      </w:pPr>
      <w:r>
        <w:rPr/>
        <w:t>Washington, D.C.  20426</w:t>
      </w:r>
    </w:p>
    <w:p>
      <w:pPr>
        <w:pStyle w:val="Normal"/>
        <w:rPr/>
      </w:pPr>
      <w:r>
        <w:rPr/>
      </w:r>
    </w:p>
    <w:p>
      <w:pPr>
        <w:pStyle w:val="Normal"/>
        <w:rPr/>
      </w:pPr>
      <w:r>
        <w:rPr/>
        <w:t>Re:</w:t>
        <w:tab/>
        <w:t>Transwestern Pipeline Company</w:t>
      </w:r>
    </w:p>
    <w:p>
      <w:pPr>
        <w:pStyle w:val="Normal"/>
        <w:rPr/>
      </w:pPr>
      <w:r>
        <w:rPr/>
        <w:tab/>
        <w:t>Docket No. RP00-</w:t>
      </w:r>
    </w:p>
    <w:p>
      <w:pPr>
        <w:pStyle w:val="Normal"/>
        <w:rPr/>
      </w:pPr>
      <w:r>
        <w:rPr/>
      </w:r>
    </w:p>
    <w:p>
      <w:pPr>
        <w:pStyle w:val="Normal"/>
        <w:rPr/>
      </w:pPr>
      <w:r>
        <w:rPr/>
        <w:t>Dear Mr. Boergers:</w:t>
      </w:r>
    </w:p>
    <w:p>
      <w:pPr>
        <w:pStyle w:val="Normal"/>
        <w:rPr/>
      </w:pPr>
      <w:r>
        <w:rPr/>
      </w:r>
    </w:p>
    <w:p>
      <w:pPr>
        <w:pStyle w:val="Normal"/>
        <w:ind w:firstLine="720" w:end="0"/>
        <w:jc w:val="start"/>
        <w:rPr/>
      </w:pPr>
      <w:r>
        <w:rPr/>
        <w:t>Transwestern Pipeline Company (“Transwestern”) submits for filing and acceptance an original and five (5) copies of the following tariff sheets as part of its F.E.R.C. Gas Tariff, Second Revised Volume No. 1 to become effective July 1, 2000:</w:t>
      </w:r>
    </w:p>
    <w:p>
      <w:pPr>
        <w:pStyle w:val="Normal"/>
        <w:ind w:firstLine="720" w:end="0"/>
        <w:rPr/>
      </w:pPr>
      <w:r>
        <w:rPr/>
      </w:r>
    </w:p>
    <w:p>
      <w:pPr>
        <w:pStyle w:val="Normal"/>
        <w:jc w:val="center"/>
        <w:rPr>
          <w:u w:val="single"/>
        </w:rPr>
      </w:pPr>
      <w:r>
        <w:rPr>
          <w:u w:val="single"/>
        </w:rPr>
        <w:t>Second Revised Volume No. 1</w:t>
      </w:r>
    </w:p>
    <w:p>
      <w:pPr>
        <w:pStyle w:val="Normal"/>
        <w:jc w:val="center"/>
        <w:rPr>
          <w:b/>
        </w:rPr>
      </w:pPr>
      <w:r>
        <w:rPr>
          <w:b/>
        </w:rPr>
        <w:t>[list sheets]</w:t>
      </w:r>
    </w:p>
    <w:p>
      <w:pPr>
        <w:pStyle w:val="Normal"/>
        <w:rPr>
          <w:b/>
        </w:rPr>
      </w:pPr>
      <w:r>
        <w:rPr>
          <w:b/>
        </w:rPr>
      </w:r>
    </w:p>
    <w:p>
      <w:pPr>
        <w:pStyle w:val="Normal"/>
        <w:jc w:val="start"/>
        <w:rPr/>
      </w:pPr>
      <w:r>
        <w:rPr/>
        <w:tab/>
        <w:t xml:space="preserve">With the referenced tariff sheets Transwestern proposes language allowing shippers the option to reimburse Transwestern in cash for fuel provided by Transwestern, as an alternative to Transwestern retaining fuel gas in kind under its transportation rate schedules.  This proposal will provide shippers with more flexibility as well as economic certainty on certain transactions.  All shippers are still free to reimburse Transwestern for fuel by supplying gas in kind.  The cash reimbursement option is similar to those approved by the Commission in </w:t>
      </w:r>
      <w:r>
        <w:rPr>
          <w:u w:val="single"/>
        </w:rPr>
        <w:t>Natural</w:t>
      </w:r>
      <w:r>
        <w:rPr>
          <w:rStyle w:val="FootnoteCharacters"/>
          <w:rStyle w:val="FootnoteReference"/>
        </w:rPr>
        <w:footnoteReference w:id="2"/>
      </w:r>
      <w:r>
        <w:rPr/>
        <w:t xml:space="preserve"> and </w:t>
      </w:r>
      <w:r>
        <w:rPr>
          <w:u w:val="single"/>
        </w:rPr>
        <w:t>Koch Gateway</w:t>
      </w:r>
      <w:r>
        <w:rPr/>
        <w:t>.</w:t>
      </w:r>
      <w:r>
        <w:rPr>
          <w:rStyle w:val="FootnoteCharacters"/>
          <w:rStyle w:val="FootnoteReference"/>
        </w:rPr>
        <w:footnoteReference w:id="3"/>
      </w:r>
    </w:p>
    <w:p>
      <w:pPr>
        <w:pStyle w:val="Normal"/>
        <w:rPr/>
      </w:pPr>
      <w:r>
        <w:rPr/>
      </w:r>
    </w:p>
    <w:p>
      <w:pPr>
        <w:pStyle w:val="Normal"/>
        <w:jc w:val="start"/>
        <w:rPr/>
      </w:pPr>
      <w:r>
        <w:rPr/>
        <w:tab/>
        <w:t xml:space="preserve">A benefit to shippers of the proposed cash-for-fuel alternative is elimination of economic uncertainty created by in-kind fuel retention.  As spot prices change daily, the economics of each transaction also change for the shipper purchasing gas to provide in-kind fuel.  Because the price for cash reimbursement will be posted on Transwestern's EBB, the shipper will know the total price of the transaction for the entire month and its cost of delivering gas to its customer.  Moreover, from time to time shippers' use of the cash-for-fuel option on constrained portions of Transwestern's pipeline may free up additional capacity by eliminating the need for fuel gas to be shipped on the pipeline. </w:t>
      </w:r>
      <w:r>
        <w:rPr>
          <w:i/>
        </w:rPr>
        <w:t>[really want to say this?  extra flexibility is probably enough reason for FERC to approve the service.]</w:t>
      </w:r>
    </w:p>
    <w:p>
      <w:pPr>
        <w:pStyle w:val="Normal"/>
        <w:rPr>
          <w:i/>
          <w:i/>
        </w:rPr>
      </w:pPr>
      <w:r>
        <w:rPr>
          <w:i/>
        </w:rPr>
      </w:r>
    </w:p>
    <w:p>
      <w:pPr>
        <w:pStyle w:val="Normal"/>
        <w:jc w:val="start"/>
        <w:rPr/>
      </w:pPr>
      <w:r>
        <w:rPr/>
        <w:tab/>
        <w:t>The cash-for-fuel option will be made available on a non-discriminatory basis. Before nominations are due, Transwestern will electronically post the price at which shippers may choose to reimburse Transwestern for fuel gas and the method or basis used by Transwestern to determine the price.  A shipper may request the cash reimbursement option by notifying Transwestern</w:t>
      </w:r>
      <w:r>
        <w:rPr>
          <w:b/>
        </w:rPr>
        <w:t xml:space="preserve"> [how?  when?]  </w:t>
      </w:r>
      <w:r>
        <w:rPr/>
        <w:t xml:space="preserve">This price will be multiplied by the applicable fuel reimbursement percentage set forth in Transwestern's tariff.  </w:t>
      </w:r>
    </w:p>
    <w:p>
      <w:pPr>
        <w:pStyle w:val="Normal"/>
        <w:rPr/>
      </w:pPr>
      <w:r>
        <w:rPr/>
      </w:r>
    </w:p>
    <w:p>
      <w:pPr>
        <w:pStyle w:val="BodyText"/>
        <w:rPr/>
      </w:pPr>
      <w:r>
        <w:rPr/>
        <w:t>Transwestern will separately record revenue from cash fuel reimbursement in Account No. ___.  Transwestern will be responsible for any underrecovery due to fluctuation in fuel gas prices throughout any given month.</w:t>
      </w:r>
    </w:p>
    <w:p>
      <w:pPr>
        <w:pStyle w:val="Normal"/>
        <w:rPr/>
      </w:pPr>
      <w:r>
        <w:rPr/>
      </w:r>
    </w:p>
    <w:p>
      <w:pPr>
        <w:pStyle w:val="Heading6"/>
        <w:ind w:hanging="0" w:start="0"/>
        <w:rPr/>
      </w:pPr>
      <w:r>
        <w:rPr/>
        <w:t>Service</w:t>
      </w:r>
    </w:p>
    <w:p>
      <w:pPr>
        <w:pStyle w:val="Normal"/>
        <w:rPr/>
      </w:pPr>
      <w:r>
        <w:rPr/>
      </w:r>
    </w:p>
    <w:p>
      <w:pPr>
        <w:pStyle w:val="BodyText"/>
        <w:rPr/>
      </w:pPr>
      <w:r>
        <w:rPr/>
        <w:t>A copy of this transmittal letter and the proposed tariff sheets has been served upon all of Transwestern's customers and upon interested state regulatory commissions. A copy of this filing is also available for public inspection in Transwestern's office in Omaha, Nebraska during regular business hours.</w:t>
      </w:r>
    </w:p>
    <w:p>
      <w:pPr>
        <w:pStyle w:val="Normal"/>
        <w:rPr/>
      </w:pPr>
      <w:r>
        <w:rPr/>
      </w:r>
    </w:p>
    <w:p>
      <w:pPr>
        <w:pStyle w:val="Normal"/>
        <w:jc w:val="start"/>
        <w:rPr>
          <w:u w:val="single"/>
        </w:rPr>
      </w:pPr>
      <w:r>
        <w:rPr>
          <w:u w:val="single"/>
        </w:rPr>
        <w:t>Marked Version</w:t>
      </w:r>
    </w:p>
    <w:p>
      <w:pPr>
        <w:pStyle w:val="Normal"/>
        <w:jc w:val="start"/>
        <w:rPr/>
      </w:pPr>
      <w:r>
        <w:rPr/>
      </w:r>
    </w:p>
    <w:p>
      <w:pPr>
        <w:pStyle w:val="Normal"/>
        <w:rPr/>
      </w:pPr>
      <w:r>
        <w:rPr/>
        <w:tab/>
        <w:t>In accordance with Section 154.201 of the Commission's Regulations, a marked version of the proposed tariff sheets that highlights the additions is enclosed.</w:t>
      </w:r>
    </w:p>
    <w:p>
      <w:pPr>
        <w:pStyle w:val="Normal"/>
        <w:rPr>
          <w:u w:val="single"/>
        </w:rPr>
      </w:pPr>
      <w:r>
        <w:rPr>
          <w:u w:val="single"/>
        </w:rPr>
      </w:r>
    </w:p>
    <w:p>
      <w:pPr>
        <w:pStyle w:val="Heading6"/>
        <w:ind w:hanging="0" w:start="0"/>
        <w:rPr/>
      </w:pPr>
      <w:r>
        <w:rPr/>
        <w:t>Waiver</w:t>
      </w:r>
    </w:p>
    <w:p>
      <w:pPr>
        <w:pStyle w:val="Normal"/>
        <w:rPr/>
      </w:pPr>
      <w:r>
        <w:rPr/>
      </w:r>
    </w:p>
    <w:p>
      <w:pPr>
        <w:pStyle w:val="Normal"/>
        <w:ind w:firstLine="720" w:end="0"/>
        <w:jc w:val="start"/>
        <w:rPr/>
      </w:pPr>
      <w:r>
        <w:rPr/>
        <w:t>Transwestern respectfully requests that the Commission grant any and all waivers of its Regulations that it deems necessary to allow this filing to become effective July 1, 2000</w:t>
      </w:r>
      <w:r>
        <w:rPr>
          <w:i/>
        </w:rPr>
        <w:t>.</w:t>
      </w:r>
    </w:p>
    <w:p>
      <w:pPr>
        <w:pStyle w:val="Normal"/>
        <w:rPr>
          <w:i/>
          <w:i/>
        </w:rPr>
      </w:pPr>
      <w:r>
        <w:rPr>
          <w:i/>
        </w:rPr>
      </w:r>
    </w:p>
    <w:p>
      <w:pPr>
        <w:pStyle w:val="Normal"/>
        <w:rPr>
          <w:u w:val="single"/>
        </w:rPr>
      </w:pPr>
      <w:r>
        <w:rPr>
          <w:u w:val="single"/>
        </w:rPr>
        <w:t>Notice</w:t>
      </w:r>
    </w:p>
    <w:p>
      <w:pPr>
        <w:pStyle w:val="Normal"/>
        <w:rPr/>
      </w:pPr>
      <w:r>
        <w:rPr/>
      </w:r>
    </w:p>
    <w:p>
      <w:pPr>
        <w:pStyle w:val="BodyTextIndent"/>
        <w:rPr/>
      </w:pPr>
      <w:r>
        <w:rPr/>
        <w:t>In accordance with Section 154.209 of the Commission's Regulations, Transwestern hereby encloses a Notice of Filing suitable for publication in the Federal Register.</w:t>
      </w:r>
    </w:p>
    <w:p>
      <w:pPr>
        <w:pStyle w:val="Normal"/>
        <w:rPr>
          <w:u w:val="single"/>
        </w:rPr>
      </w:pPr>
      <w:r>
        <w:rPr>
          <w:u w:val="single"/>
        </w:rPr>
      </w:r>
    </w:p>
    <w:p>
      <w:pPr>
        <w:pStyle w:val="Normal"/>
        <w:rPr>
          <w:u w:val="single"/>
        </w:rPr>
      </w:pPr>
      <w:r>
        <w:rPr>
          <w:u w:val="single"/>
        </w:rPr>
        <w:t>Motion</w:t>
      </w:r>
    </w:p>
    <w:p>
      <w:pPr>
        <w:pStyle w:val="Normal"/>
        <w:rPr/>
      </w:pPr>
      <w:r>
        <w:rPr/>
      </w:r>
    </w:p>
    <w:p>
      <w:pPr>
        <w:pStyle w:val="BodyTextIndent"/>
        <w:rPr/>
      </w:pPr>
      <w:r>
        <w:rPr/>
        <w:t>Transwestern hereby reserves the right to file a motion to place the tariff sheets referenced herein in effect as of the end of any suspension period ordered by the Commission.</w:t>
      </w:r>
    </w:p>
    <w:p>
      <w:pPr>
        <w:pStyle w:val="Normal"/>
        <w:rPr/>
      </w:pPr>
      <w:r>
        <w:rPr/>
      </w:r>
    </w:p>
    <w:p>
      <w:pPr>
        <w:pStyle w:val="Normal"/>
        <w:rPr>
          <w:u w:val="single"/>
        </w:rPr>
      </w:pPr>
      <w:r>
        <w:rPr>
          <w:u w:val="single"/>
        </w:rPr>
        <w:t>Data Processing Requirements</w:t>
      </w:r>
    </w:p>
    <w:p>
      <w:pPr>
        <w:pStyle w:val="Normal"/>
        <w:rPr/>
      </w:pPr>
      <w:r>
        <w:rPr/>
      </w:r>
    </w:p>
    <w:p>
      <w:pPr>
        <w:pStyle w:val="Normal"/>
        <w:ind w:firstLine="720" w:end="0"/>
        <w:rPr/>
      </w:pPr>
      <w:r>
        <w:rPr/>
        <w:t>Transwestern has also submitted a diskette reflecting the information contained in the above-referenced tariff sheets and a separate diskette reflecting the attached Notice.</w:t>
      </w:r>
    </w:p>
    <w:p>
      <w:pPr>
        <w:pStyle w:val="Normal"/>
        <w:rPr/>
      </w:pPr>
      <w:r>
        <w:rPr/>
      </w:r>
      <w:r>
        <w:br w:type="page"/>
      </w:r>
    </w:p>
    <w:p>
      <w:pPr>
        <w:pStyle w:val="Heading2"/>
        <w:widowControl/>
        <w:ind w:hanging="0" w:start="0"/>
        <w:jc w:val="both"/>
        <w:rPr/>
      </w:pPr>
      <w:r>
        <w:rPr/>
        <w:t>Communication</w:t>
      </w:r>
    </w:p>
    <w:p>
      <w:pPr>
        <w:pStyle w:val="Normal"/>
        <w:rPr/>
      </w:pPr>
      <w:r>
        <w:rPr/>
      </w:r>
    </w:p>
    <w:p>
      <w:pPr>
        <w:pStyle w:val="BodyTextIndent"/>
        <w:rPr/>
      </w:pPr>
      <w:r>
        <w:rPr/>
        <w:t>It is requested that all correspondence and communications concerning this filing be served upon each of the following:</w:t>
      </w:r>
    </w:p>
    <w:p>
      <w:pPr>
        <w:pStyle w:val="Normal"/>
        <w:rPr/>
      </w:pPr>
      <w:r>
        <w:rPr/>
      </w:r>
    </w:p>
    <w:p>
      <w:pPr>
        <w:pStyle w:val="Normal"/>
        <w:ind w:firstLine="720" w:start="720" w:end="0"/>
        <w:rPr/>
      </w:pPr>
      <w:r>
        <w:rPr/>
        <w:t>Mary Kay Miller</w:t>
      </w:r>
    </w:p>
    <w:p>
      <w:pPr>
        <w:pStyle w:val="Normal"/>
        <w:rPr/>
      </w:pPr>
      <w:r>
        <w:rPr/>
        <w:tab/>
        <w:tab/>
        <w:t>Vice President, Rates &amp; Certificates</w:t>
      </w:r>
    </w:p>
    <w:p>
      <w:pPr>
        <w:pStyle w:val="Heading3"/>
        <w:ind w:hanging="0" w:start="0"/>
        <w:rPr/>
      </w:pPr>
      <w:r>
        <w:rPr/>
        <w:tab/>
        <w:tab/>
        <w:t>Transwestern Pipeline Company</w:t>
      </w:r>
    </w:p>
    <w:p>
      <w:pPr>
        <w:pStyle w:val="Normal"/>
        <w:rPr/>
      </w:pPr>
      <w:r>
        <w:rPr/>
        <w:tab/>
        <w:tab/>
        <w:t>1111 South 103rd Street</w:t>
      </w:r>
    </w:p>
    <w:p>
      <w:pPr>
        <w:pStyle w:val="Normal"/>
        <w:rPr/>
      </w:pPr>
      <w:r>
        <w:rPr/>
        <w:tab/>
        <w:tab/>
        <w:t>Omaha, Nebraska 68124-1000</w:t>
      </w:r>
    </w:p>
    <w:p>
      <w:pPr>
        <w:pStyle w:val="Normal"/>
        <w:rPr/>
      </w:pPr>
      <w:r>
        <w:rPr/>
        <w:tab/>
        <w:tab/>
        <w:t>(402) 398-7060</w:t>
      </w:r>
    </w:p>
    <w:p>
      <w:pPr>
        <w:pStyle w:val="Normal"/>
        <w:rPr/>
      </w:pPr>
      <w:r>
        <w:rPr/>
      </w:r>
    </w:p>
    <w:p>
      <w:pPr>
        <w:pStyle w:val="Normal"/>
        <w:rPr/>
      </w:pPr>
      <w:r>
        <w:rPr/>
        <w:tab/>
        <w:tab/>
        <w:t>Drew J. Fossum</w:t>
      </w:r>
    </w:p>
    <w:p>
      <w:pPr>
        <w:pStyle w:val="Normal"/>
        <w:rPr/>
      </w:pPr>
      <w:r>
        <w:rPr/>
        <w:tab/>
        <w:tab/>
        <w:t>Vice President and General Counsel</w:t>
      </w:r>
    </w:p>
    <w:p>
      <w:pPr>
        <w:pStyle w:val="Normal"/>
        <w:rPr/>
      </w:pPr>
      <w:r>
        <w:rPr/>
        <w:tab/>
        <w:tab/>
        <w:t>(402) 398-7449</w:t>
      </w:r>
    </w:p>
    <w:p>
      <w:pPr>
        <w:pStyle w:val="Heading3"/>
        <w:ind w:hanging="0" w:start="0"/>
        <w:rPr/>
      </w:pPr>
      <w:r>
        <w:rPr/>
        <w:tab/>
        <w:tab/>
        <w:t>Transwestern Pipeline Company</w:t>
      </w:r>
    </w:p>
    <w:p>
      <w:pPr>
        <w:pStyle w:val="Normal"/>
        <w:rPr/>
      </w:pPr>
      <w:r>
        <w:rPr/>
        <w:tab/>
        <w:tab/>
        <w:t>1111 South 103rd Street</w:t>
      </w:r>
    </w:p>
    <w:p>
      <w:pPr>
        <w:pStyle w:val="Normal"/>
        <w:rPr/>
      </w:pPr>
      <w:r>
        <w:rPr/>
        <w:tab/>
        <w:tab/>
        <w:t>Omaha, Nebraska 68124-1000</w:t>
      </w:r>
    </w:p>
    <w:p>
      <w:pPr>
        <w:pStyle w:val="Normal"/>
        <w:ind w:firstLine="720" w:start="720" w:end="0"/>
        <w:rPr/>
      </w:pPr>
      <w:r>
        <w:rPr/>
      </w:r>
    </w:p>
    <w:p>
      <w:pPr>
        <w:pStyle w:val="Normal"/>
        <w:ind w:firstLine="720" w:start="720" w:end="0"/>
        <w:rPr/>
      </w:pPr>
      <w:r>
        <w:rPr/>
        <w:t>Frank X. Kelly</w:t>
      </w:r>
    </w:p>
    <w:p>
      <w:pPr>
        <w:pStyle w:val="Normal"/>
        <w:spacing w:lineRule="atLeast" w:line="240"/>
        <w:rPr/>
      </w:pPr>
      <w:r>
        <w:rPr/>
        <w:tab/>
        <w:tab/>
        <w:t xml:space="preserve">Steve Stojic </w:t>
      </w:r>
    </w:p>
    <w:p>
      <w:pPr>
        <w:pStyle w:val="Normal"/>
        <w:spacing w:lineRule="atLeast" w:line="240"/>
        <w:ind w:firstLine="720" w:start="720" w:end="0"/>
        <w:rPr/>
      </w:pPr>
      <w:r>
        <w:rPr/>
        <w:t>Gallagher, Boland &amp; Meiburger</w:t>
      </w:r>
    </w:p>
    <w:p>
      <w:pPr>
        <w:pStyle w:val="Normal"/>
        <w:spacing w:lineRule="atLeast" w:line="240"/>
        <w:ind w:firstLine="720" w:start="720" w:end="153"/>
        <w:rPr/>
      </w:pPr>
      <w:r>
        <w:rPr/>
        <w:t>1023 15th Street, Suite 900</w:t>
      </w:r>
    </w:p>
    <w:p>
      <w:pPr>
        <w:pStyle w:val="Heading5"/>
        <w:rPr>
          <w:rFonts w:ascii="Times New Roman" w:hAnsi="Times New Roman" w:cs="Times New Roman"/>
        </w:rPr>
      </w:pPr>
      <w:r>
        <w:rPr>
          <w:rFonts w:cs="Times New Roman" w:ascii="Times New Roman" w:hAnsi="Times New Roman"/>
        </w:rPr>
        <w:t>Washington, D.C.  20005-4903</w:t>
      </w:r>
    </w:p>
    <w:p>
      <w:pPr>
        <w:pStyle w:val="Normal"/>
        <w:rPr/>
      </w:pPr>
      <w:r>
        <w:rPr/>
        <w:tab/>
        <w:tab/>
        <w:t>(202) 289-7200</w:t>
      </w:r>
    </w:p>
    <w:p>
      <w:pPr>
        <w:pStyle w:val="Normal"/>
        <w:rPr/>
      </w:pPr>
      <w:r>
        <w:rPr/>
      </w:r>
    </w:p>
    <w:p>
      <w:pPr>
        <w:pStyle w:val="Normal"/>
        <w:ind w:firstLine="720" w:start="720" w:end="0"/>
        <w:rPr/>
      </w:pPr>
      <w:r>
        <w:rPr/>
        <w:t>Susan Scott</w:t>
      </w:r>
    </w:p>
    <w:p>
      <w:pPr>
        <w:pStyle w:val="Normal"/>
        <w:ind w:firstLine="720" w:start="720" w:end="0"/>
        <w:rPr/>
      </w:pPr>
      <w:r>
        <w:rPr/>
        <w:t>Senior Counsel</w:t>
      </w:r>
    </w:p>
    <w:p>
      <w:pPr>
        <w:pStyle w:val="Normal"/>
        <w:ind w:firstLine="720" w:start="720" w:end="0"/>
        <w:rPr/>
      </w:pPr>
      <w:r>
        <w:rPr/>
        <w:t>Transwestern Pipeline Company</w:t>
      </w:r>
    </w:p>
    <w:p>
      <w:pPr>
        <w:pStyle w:val="Normal"/>
        <w:ind w:firstLine="720" w:start="720" w:end="0"/>
        <w:rPr/>
      </w:pPr>
      <w:r>
        <w:rPr/>
        <w:t>1400 Smith Street</w:t>
      </w:r>
    </w:p>
    <w:p>
      <w:pPr>
        <w:pStyle w:val="Normal"/>
        <w:ind w:firstLine="720" w:start="720" w:end="0"/>
        <w:rPr/>
      </w:pPr>
      <w:r>
        <w:rPr/>
        <w:t>Houston, Texas  77002</w:t>
      </w:r>
    </w:p>
    <w:p>
      <w:pPr>
        <w:pStyle w:val="Normal"/>
        <w:ind w:firstLine="720" w:start="720" w:end="0"/>
        <w:rPr/>
      </w:pPr>
      <w:r>
        <w:rPr/>
        <w:t>(713) 853-0596</w:t>
      </w:r>
    </w:p>
    <w:p>
      <w:pPr>
        <w:pStyle w:val="Normal"/>
        <w:ind w:firstLine="720" w:start="720" w:end="0"/>
        <w:rPr/>
      </w:pPr>
      <w:r>
        <w:rPr/>
      </w:r>
    </w:p>
    <w:p>
      <w:pPr>
        <w:pStyle w:val="Normal"/>
        <w:rPr/>
      </w:pPr>
      <w:r>
        <w:rPr/>
      </w:r>
    </w:p>
    <w:p>
      <w:pPr>
        <w:pStyle w:val="Normal"/>
        <w:rPr/>
      </w:pPr>
      <w:r>
        <w:rPr/>
        <w:t>Respectfully submitted,</w:t>
      </w:r>
    </w:p>
    <w:p>
      <w:pPr>
        <w:pStyle w:val="Normal"/>
        <w:rPr/>
      </w:pPr>
      <w:r>
        <w:rPr/>
      </w:r>
    </w:p>
    <w:p>
      <w:pPr>
        <w:pStyle w:val="Normal"/>
        <w:rPr/>
      </w:pPr>
      <w:r>
        <w:rPr/>
      </w:r>
    </w:p>
    <w:p>
      <w:pPr>
        <w:pStyle w:val="Normal"/>
        <w:rPr/>
      </w:pPr>
      <w:r>
        <w:rPr/>
      </w:r>
    </w:p>
    <w:p>
      <w:pPr>
        <w:pStyle w:val="Normal"/>
        <w:rPr/>
      </w:pPr>
      <w:r>
        <w:rPr/>
        <w:t>Mary Kay Miller</w:t>
      </w:r>
    </w:p>
    <w:p>
      <w:pPr>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pStyle w:val="Normal"/>
        <w:rPr/>
      </w:pPr>
      <w:r>
        <w:rPr/>
        <w:t>Vice President, Rates &amp; Certificates</w:t>
      </w:r>
    </w:p>
    <w:p>
      <w:pPr>
        <w:pStyle w:val="Normal"/>
        <w:rPr/>
      </w:pPr>
      <w:r>
        <w:rPr/>
      </w:r>
    </w:p>
    <w:p>
      <w:pPr>
        <w:pStyle w:val="Heading4"/>
        <w:ind w:hanging="0" w:start="0"/>
        <w:rPr/>
      </w:pPr>
      <w:r>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jc w:val="start"/>
        <w:rPr>
          <w:b/>
        </w:rPr>
      </w:pPr>
      <w:r>
        <w:rPr>
          <w:b/>
        </w:rPr>
      </w:r>
    </w:p>
    <w:p>
      <w:pPr>
        <w:pStyle w:val="Normal"/>
        <w:tabs>
          <w:tab w:val="clear" w:pos="720"/>
          <w:tab w:val="right" w:pos="864" w:leader="none"/>
          <w:tab w:val="left" w:pos="1008" w:leader="none"/>
          <w:tab w:val="right" w:pos="1872" w:leader="none"/>
          <w:tab w:val="left" w:pos="2016" w:leader="none"/>
          <w:tab w:val="right" w:pos="3456" w:leader="none"/>
          <w:tab w:val="left" w:pos="3600" w:leader="none"/>
          <w:tab w:val="right" w:pos="5040" w:leader="none"/>
          <w:tab w:val="left" w:pos="5184" w:leader="none"/>
          <w:tab w:val="right" w:pos="6048" w:leader="none"/>
          <w:tab w:val="left" w:pos="6192" w:leader="none"/>
          <w:tab w:val="right" w:pos="7920" w:leader="none"/>
          <w:tab w:val="left" w:pos="8064" w:leader="none"/>
          <w:tab w:val="right" w:pos="9504" w:leader="none"/>
          <w:tab w:val="left" w:pos="9648" w:leader="none"/>
        </w:tabs>
        <w:suppressAutoHyphens w:val="true"/>
        <w:jc w:val="center"/>
        <w:rPr/>
      </w:pPr>
      <w:r>
        <w:rPr/>
        <w:tab/>
        <w:t>Transwestern Pipeline Company</w:t>
        <w:tab/>
        <w:t xml:space="preserve"> )</w:t>
        <w:tab/>
        <w:tab/>
      </w:r>
      <w:r>
        <w:rPr>
          <w:spacing w:val="-3"/>
        </w:rPr>
        <w:tab/>
        <w:tab/>
        <w:t xml:space="preserve">Docket No. RP00-          </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start"/>
        <w:rPr/>
      </w:pPr>
      <w:r>
        <w:rPr/>
        <w:t xml:space="preserve">    </w:t>
      </w:r>
      <w:r>
        <w:rPr/>
        <w:t>_______________________________________________________________________</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start"/>
        <w:rPr/>
      </w:pPr>
      <w:r>
        <w:rPr/>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center"/>
        <w:rPr/>
      </w:pPr>
      <w:r>
        <w:rPr/>
        <w:t>Notice of Proposed Changes in F.E.R.C. Gas Tariff</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center"/>
        <w:rPr/>
      </w:pPr>
      <w:r>
        <w:rPr/>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start"/>
        <w:rPr/>
      </w:pPr>
      <w:r>
        <w:rPr/>
        <w:t xml:space="preserve">    </w:t>
      </w:r>
      <w:r>
        <w:rPr/>
        <w:t>_______________________________________________________________________</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start"/>
        <w:rPr/>
      </w:pPr>
      <w:r>
        <w:rPr/>
      </w:r>
    </w:p>
    <w:p>
      <w:pPr>
        <w:pStyle w:val="Normal"/>
        <w:tabs>
          <w:tab w:val="left" w:pos="0" w:leader="none"/>
          <w:tab w:val="right" w:pos="720"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pPr>
      <w:r>
        <w:rPr/>
        <w:tab/>
        <w:t>Take notice that on June 1, 2000 Transwestern Pipeline Company (Transwestern), tendered for filing to become part of Transwestern’s F.E.R.C. Gas Tariff, Second Revised Volume No. 1 the following tariff sheets to be effective July 1, 1999:</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start"/>
        <w:rPr/>
      </w:pPr>
      <w:r>
        <w:rPr/>
      </w:r>
    </w:p>
    <w:p>
      <w:pPr>
        <w:pStyle w:val="Normal"/>
        <w:jc w:val="center"/>
        <w:rPr>
          <w:u w:val="single"/>
        </w:rPr>
      </w:pPr>
      <w:r>
        <w:rPr>
          <w:u w:val="single"/>
        </w:rPr>
        <w:t>SECOND REVISED VOLUME NO. 1</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center"/>
        <w:rPr>
          <w:b/>
        </w:rPr>
      </w:pPr>
      <w:r>
        <w:rPr>
          <w:b/>
        </w:rPr>
        <w:t>[list tariff sheets]</w:t>
      </w:r>
    </w:p>
    <w:p>
      <w:pPr>
        <w:pStyle w:val="Normal"/>
        <w:rPr>
          <w:b/>
        </w:rPr>
      </w:pPr>
      <w:r>
        <w:rPr>
          <w:b/>
        </w:rPr>
      </w:r>
    </w:p>
    <w:p>
      <w:pPr>
        <w:pStyle w:val="Normal"/>
        <w:rPr/>
      </w:pPr>
      <w:r>
        <w:rPr/>
        <w:tab/>
        <w:t>Transwestern is submitting these tariff sheets to allow shippers the option to reimburse Transwestern in cash for fuel provided by Transwestern, as an alternative to Transwestern retaining fuel gas in kind under its transportation rate schedules.  This proposal will provide shippers with more flexibility as well as economic certainty on certain transactions.</w:t>
      </w:r>
    </w:p>
    <w:p>
      <w:pPr>
        <w:pStyle w:val="Normal"/>
        <w:rPr/>
      </w:pPr>
      <w:r>
        <w:rPr/>
      </w:r>
    </w:p>
    <w:p>
      <w:pPr>
        <w:pStyle w:val="Normal"/>
        <w:rPr/>
      </w:pPr>
      <w:r>
        <w:rPr/>
        <w:tab/>
        <w:t>Copies of the filing were served upon Transwestern's customers and interested State Commissions.</w:t>
      </w:r>
    </w:p>
    <w:p>
      <w:pPr>
        <w:pStyle w:val="Normal"/>
        <w:rPr/>
      </w:pPr>
      <w:r>
        <w:rPr/>
      </w:r>
    </w:p>
    <w:p>
      <w:pPr>
        <w:pStyle w:val="Normal"/>
        <w:rPr/>
      </w:pPr>
      <w:r>
        <w:rPr/>
        <w:tab/>
        <w:t>Any person desiring to be heard or to protest said filing should file a motion to intervene or protest with the Federal Energy Regulatory Commission, 888 First Street, N.E., Room 1A, Washington, D.C., 20426, in accordance with Sections 385.214 and 385.211 of the Commission's Rules and Regulations.  All such petitions or protests must be filed on or before ________________________.  All protests will be considered by the Commission in determining the appropriate action to be taken in this proceeding, but will not serve to make Protestant a party to the proceeding.  Any person wishing to become a party must file a motion to intervene.</w:t>
      </w:r>
    </w:p>
    <w:p>
      <w:pPr>
        <w:pStyle w:val="Normal"/>
        <w:rPr/>
      </w:pPr>
      <w:r>
        <w:rPr/>
      </w:r>
    </w:p>
    <w:p>
      <w:pPr>
        <w:pStyle w:val="Normal"/>
        <w:rPr/>
      </w:pPr>
      <w:r>
        <w:rPr/>
        <w:tab/>
        <w:t>Copies of this filing are on file with the Commission and are available for inspection.</w:t>
      </w:r>
    </w:p>
    <w:p>
      <w:pPr>
        <w:pStyle w:val="Normal"/>
        <w:rPr/>
      </w:pPr>
      <w:r>
        <w:rPr/>
      </w:r>
    </w:p>
    <w:p>
      <w:pPr>
        <w:pStyle w:val="Normal"/>
        <w:tabs>
          <w:tab w:val="clear" w:pos="720"/>
          <w:tab w:val="right" w:pos="7200" w:leader="none"/>
          <w:tab w:val="right" w:pos="8640" w:leader="underscore"/>
        </w:tabs>
        <w:jc w:val="end"/>
        <w:rPr/>
      </w:pPr>
      <w:r>
        <w:rPr/>
        <w:t>David P. Boergers, Secretary</w:t>
      </w:r>
    </w:p>
    <w:p>
      <w:pPr>
        <w:pStyle w:val="Normal"/>
        <w:jc w:val="start"/>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4"/>
      <w:headerReference w:type="first" r:id="rId5"/>
      <w:footnotePr>
        <w:numFmt w:val="decimal"/>
      </w:footnotePr>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u w:val="single"/>
        </w:rPr>
        <w:t>Natural Gas Pipeline Company of America</w:t>
      </w:r>
      <w:r>
        <w:rPr/>
        <w:t>, 64 FERC ¶ 61,295 (1994).</w:t>
      </w:r>
    </w:p>
  </w:footnote>
  <w:footnote w:id="3">
    <w:p>
      <w:pPr>
        <w:pStyle w:val="FootnoteText"/>
        <w:rPr/>
      </w:pPr>
      <w:r>
        <w:rPr>
          <w:rStyle w:val="FootnoteCharacters"/>
        </w:rPr>
        <w:footnoteRef/>
      </w:r>
      <w:r>
        <w:rPr/>
        <w:t xml:space="preserve"> </w:t>
      </w:r>
      <w:r>
        <w:rPr>
          <w:u w:val="single"/>
        </w:rPr>
        <w:t>Koch Gateway Pipeline Company</w:t>
      </w:r>
      <w:r>
        <w:rPr/>
        <w:t xml:space="preserve">, 73 FERC ¶ 61,375 (1995).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David P. Boergers, Secretary</w:t>
    </w:r>
  </w:p>
  <w:p>
    <w:pPr>
      <w:pStyle w:val="Header"/>
      <w:rPr/>
    </w:pPr>
    <w:r>
      <w:rPr/>
      <w:t>June 1, 2000</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David P. Boergers, Secretary</w:t>
    </w:r>
  </w:p>
  <w:p>
    <w:pPr>
      <w:pStyle w:val="Header"/>
      <w:rPr/>
    </w:pPr>
    <w:r>
      <w:rPr/>
      <w:t>June 1, 2000</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val="false"/>
      <w:numPr>
        <w:ilvl w:val="0"/>
        <w:numId w:val="1"/>
      </w:numPr>
      <w:jc w:val="start"/>
      <w:outlineLvl w:val="0"/>
    </w:pPr>
    <w:rPr/>
  </w:style>
  <w:style w:type="paragraph" w:styleId="Heading2">
    <w:name w:val="heading 2"/>
    <w:basedOn w:val="Normal"/>
    <w:next w:val="Normal"/>
    <w:qFormat/>
    <w:pPr>
      <w:keepNext w:val="true"/>
      <w:widowControl w:val="false"/>
      <w:numPr>
        <w:ilvl w:val="1"/>
        <w:numId w:val="1"/>
      </w:numPr>
      <w:jc w:val="start"/>
      <w:outlineLvl w:val="1"/>
    </w:pPr>
    <w:rPr>
      <w:u w:val="single"/>
    </w:rPr>
  </w:style>
  <w:style w:type="paragraph" w:styleId="Heading3">
    <w:name w:val="heading 3"/>
    <w:basedOn w:val="Normal"/>
    <w:next w:val="Normal"/>
    <w:qFormat/>
    <w:pPr>
      <w:keepNext w:val="true"/>
      <w:numPr>
        <w:ilvl w:val="2"/>
        <w:numId w:val="1"/>
      </w:numPr>
      <w:outlineLvl w:val="2"/>
    </w:pPr>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ind w:firstLine="1440" w:start="0" w:end="0"/>
      <w:outlineLvl w:val="4"/>
    </w:pPr>
    <w:rPr>
      <w:rFonts w:ascii="Tms Rmn" w:hAnsi="Tms Rmn" w:cs="Tms Rmn"/>
    </w:rPr>
  </w:style>
  <w:style w:type="paragraph" w:styleId="Heading6">
    <w:name w:val="heading 6"/>
    <w:basedOn w:val="Normal"/>
    <w:next w:val="Normal"/>
    <w:qFormat/>
    <w:pPr>
      <w:keepNext w:val="true"/>
      <w:numPr>
        <w:ilvl w:val="5"/>
        <w:numId w:val="1"/>
      </w:numPr>
      <w:outlineLvl w:val="5"/>
    </w:pPr>
    <w:rPr>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star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2000-05-15T11:27:00Z</dcterms:created>
  <dc:creator>GPG Legal</dc:creator>
  <dc:description/>
  <dc:language>en-CA</dc:language>
  <cp:lastModifiedBy>Susan Scott</cp:lastModifiedBy>
  <cp:lastPrinted>2000-05-15T11:25:00Z</cp:lastPrinted>
  <dcterms:modified xsi:type="dcterms:W3CDTF">2000-05-15T16:17:00Z</dcterms:modified>
  <cp:revision>3</cp:revision>
  <dc:subject/>
  <dc:title>With the referenced tariff sheets TW proposes language allowing shippers the option to reimburse TW in cash for fuel used, as an alternative to TW retaining fuel gas in kind under its FTS, ITS, LFT and EFBH rate schedules</dc:title>
</cp:coreProperties>
</file>