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Proposed tariff language (cash-for-fuel) for Sheet No. 5B, footnote 7: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Cash-for-Fuel Option</w:t>
      </w:r>
      <w:r>
        <w:rPr/>
        <w:t>:  Upon the mutual agreement of Transporter and Shipper, Shipper shall reimburse Transporter in cash for fuel instead of Transporter retaining gas in kind.  Transporter shall determine on a non-discriminatory basis when it will offer shippers the option to reimburse Transporter for fuel.  Prior to nominations on any day in which Transporter determines the cash-for-fuel option will be available, Transporter shall post electronically the applicable price, the volume available, and the point(s) of sale.  Shipper may use the cash-for-fuel option only if the posted point of sale is a receipt point in Shipper's service agreement.  If fuel volumes requested exceed posted volumes for a particular point, Transporter shall allocate the available volumes based on the MAXDTQ of shippers requesting fuel at that point.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2000-05-15T11:27:00Z</dcterms:created>
  <dc:creator>Susan Scott</dc:creator>
  <dc:description/>
  <dc:language>en-CA</dc:language>
  <cp:lastModifiedBy>Susan Scott</cp:lastModifiedBy>
  <cp:lastPrinted>2000-05-15T11:25:00Z</cp:lastPrinted>
  <dcterms:modified xsi:type="dcterms:W3CDTF">2000-05-15T16:17:00Z</dcterms:modified>
  <cp:revision>2</cp:revision>
  <dc:subject/>
  <dc:title>Proposed tariff language (cash-for-fuel)</dc:title>
</cp:coreProperties>
</file>