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9640" cy="914400"/>
                    </a:xfrm>
                    <a:prstGeom prst="rect">
                      <a:avLst/>
                    </a:prstGeom>
                    <a:noFill/>
                  </pic:spPr>
                </pic:pic>
              </a:graphicData>
            </a:graphic>
          </wp:inline>
        </w:drawing>
      </w:r>
    </w:p>
    <w:p>
      <w:pPr>
        <w:pStyle w:val="Heading"/>
        <w:jc w:val="center"/>
        <w:rPr>
          <w:color w:val="000080"/>
        </w:rPr>
      </w:pPr>
      <w:r>
        <w:rPr>
          <w:color w:val="000080"/>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color w:val="000080"/>
                <w:sz w:val="16"/>
              </w:rPr>
            </w:pPr>
            <w:r>
              <w:rPr>
                <w:color w:val="000080"/>
                <w:sz w:val="16"/>
              </w:rPr>
              <w:t>To:</w:t>
            </w:r>
          </w:p>
        </w:tc>
        <w:tc>
          <w:tcPr>
            <w:tcW w:w="6045" w:type="dxa"/>
            <w:tcBorders/>
          </w:tcPr>
          <w:p>
            <w:pPr>
              <w:pStyle w:val="To"/>
              <w:rPr>
                <w:color w:val="000080"/>
              </w:rPr>
            </w:pPr>
            <w:bookmarkStart w:id="0" w:name="to"/>
            <w:bookmarkEnd w:id="0"/>
            <w:r>
              <w:rPr>
                <w:color w:val="000080"/>
              </w:rPr>
              <w:t>Rod Hayslett</w:t>
            </w:r>
          </w:p>
        </w:tc>
        <w:tc>
          <w:tcPr>
            <w:tcW w:w="990" w:type="dxa"/>
            <w:tcBorders/>
          </w:tcPr>
          <w:p>
            <w:pPr>
              <w:pStyle w:val="Normal"/>
              <w:snapToGrid w:val="false"/>
              <w:ind w:start="-180" w:end="0"/>
              <w:rPr>
                <w:color w:val="000080"/>
              </w:rPr>
            </w:pPr>
            <w:r>
              <w:rPr>
                <w:color w:val="000080"/>
              </w:rPr>
            </w:r>
          </w:p>
        </w:tc>
        <w:tc>
          <w:tcPr>
            <w:tcW w:w="2965" w:type="dxa"/>
            <w:tcBorders/>
          </w:tcPr>
          <w:p>
            <w:pPr>
              <w:pStyle w:val="Normal"/>
              <w:snapToGrid w:val="false"/>
              <w:rPr>
                <w:color w:val="000080"/>
              </w:rPr>
            </w:pPr>
            <w:r>
              <w:rPr>
                <w:color w:val="000080"/>
              </w:rPr>
            </w:r>
          </w:p>
        </w:tc>
      </w:tr>
      <w:tr>
        <w:trPr>
          <w:trHeight w:val="216" w:hRule="exact"/>
        </w:trPr>
        <w:tc>
          <w:tcPr>
            <w:tcW w:w="708" w:type="dxa"/>
            <w:tcBorders/>
          </w:tcPr>
          <w:p>
            <w:pPr>
              <w:pStyle w:val="Normal"/>
              <w:snapToGrid w:val="false"/>
              <w:ind w:start="-180" w:end="0"/>
              <w:jc w:val="end"/>
              <w:rPr>
                <w:color w:val="000080"/>
                <w:sz w:val="18"/>
              </w:rPr>
            </w:pPr>
            <w:r>
              <w:rPr>
                <w:color w:val="000080"/>
                <w:sz w:val="18"/>
              </w:rPr>
            </w:r>
          </w:p>
        </w:tc>
        <w:tc>
          <w:tcPr>
            <w:tcW w:w="6045" w:type="dxa"/>
            <w:tcBorders/>
          </w:tcPr>
          <w:p>
            <w:pPr>
              <w:pStyle w:val="Normal"/>
              <w:snapToGrid w:val="false"/>
              <w:rPr>
                <w:color w:val="000080"/>
                <w:sz w:val="18"/>
              </w:rPr>
            </w:pPr>
            <w:r>
              <w:rPr>
                <w:color w:val="000080"/>
                <w:sz w:val="18"/>
              </w:rPr>
            </w:r>
          </w:p>
        </w:tc>
        <w:tc>
          <w:tcPr>
            <w:tcW w:w="990" w:type="dxa"/>
            <w:tcBorders/>
          </w:tcPr>
          <w:p>
            <w:pPr>
              <w:pStyle w:val="Normal"/>
              <w:snapToGrid w:val="false"/>
              <w:ind w:start="-180" w:end="0"/>
              <w:rPr>
                <w:color w:val="000080"/>
                <w:sz w:val="18"/>
              </w:rPr>
            </w:pPr>
            <w:r>
              <w:rPr>
                <w:color w:val="000080"/>
                <w:sz w:val="18"/>
              </w:rPr>
            </w:r>
          </w:p>
        </w:tc>
        <w:tc>
          <w:tcPr>
            <w:tcW w:w="2965" w:type="dxa"/>
            <w:tcBorders/>
          </w:tcPr>
          <w:p>
            <w:pPr>
              <w:pStyle w:val="Normal"/>
              <w:snapToGrid w:val="false"/>
              <w:rPr>
                <w:color w:val="000080"/>
                <w:sz w:val="18"/>
              </w:rPr>
            </w:pPr>
            <w:r>
              <w:rPr>
                <w:color w:val="000080"/>
                <w:sz w:val="18"/>
              </w:rPr>
            </w:r>
          </w:p>
        </w:tc>
      </w:tr>
      <w:tr>
        <w:trPr>
          <w:trHeight w:val="300" w:hRule="exact"/>
        </w:trPr>
        <w:tc>
          <w:tcPr>
            <w:tcW w:w="708" w:type="dxa"/>
            <w:tcBorders/>
          </w:tcPr>
          <w:p>
            <w:pPr>
              <w:pStyle w:val="Normal"/>
              <w:ind w:start="-180" w:end="0"/>
              <w:jc w:val="end"/>
              <w:rPr>
                <w:color w:val="000080"/>
                <w:sz w:val="16"/>
              </w:rPr>
            </w:pPr>
            <w:r>
              <w:rPr>
                <w:color w:val="000080"/>
                <w:sz w:val="16"/>
              </w:rPr>
              <w:t>From:</w:t>
            </w:r>
          </w:p>
        </w:tc>
        <w:tc>
          <w:tcPr>
            <w:tcW w:w="6045" w:type="dxa"/>
            <w:tcBorders/>
          </w:tcPr>
          <w:p>
            <w:pPr>
              <w:pStyle w:val="From"/>
              <w:rPr>
                <w:color w:val="000080"/>
              </w:rPr>
            </w:pPr>
            <w:r>
              <w:rPr>
                <w:color w:val="000080"/>
              </w:rPr>
              <w:t>Bob Chandler</w:t>
            </w:r>
          </w:p>
          <w:p>
            <w:pPr>
              <w:pStyle w:val="From"/>
              <w:rPr>
                <w:color w:val="000080"/>
              </w:rPr>
            </w:pPr>
            <w:r>
              <w:rPr>
                <w:color w:val="000080"/>
              </w:rPr>
            </w:r>
          </w:p>
        </w:tc>
        <w:tc>
          <w:tcPr>
            <w:tcW w:w="990" w:type="dxa"/>
            <w:tcBorders/>
          </w:tcPr>
          <w:p>
            <w:pPr>
              <w:pStyle w:val="Normal"/>
              <w:ind w:start="-180" w:end="0"/>
              <w:jc w:val="end"/>
              <w:rPr>
                <w:color w:val="000080"/>
                <w:sz w:val="16"/>
              </w:rPr>
            </w:pPr>
            <w:r>
              <w:rPr>
                <w:color w:val="000080"/>
                <w:sz w:val="16"/>
              </w:rPr>
              <w:t>Department:</w:t>
            </w:r>
          </w:p>
        </w:tc>
        <w:tc>
          <w:tcPr>
            <w:tcW w:w="2965" w:type="dxa"/>
            <w:tcBorders/>
          </w:tcPr>
          <w:p>
            <w:pPr>
              <w:pStyle w:val="Department"/>
              <w:rPr>
                <w:color w:val="000080"/>
              </w:rPr>
            </w:pPr>
            <w:bookmarkStart w:id="1" w:name="From"/>
            <w:bookmarkEnd w:id="1"/>
            <w:r>
              <w:rPr>
                <w:color w:val="000080"/>
              </w:rPr>
              <w:t>ET&amp;S Accounting &amp; Reporting</w:t>
            </w:r>
          </w:p>
        </w:tc>
      </w:tr>
      <w:tr>
        <w:trPr>
          <w:trHeight w:val="216" w:hRule="exact"/>
        </w:trPr>
        <w:tc>
          <w:tcPr>
            <w:tcW w:w="708" w:type="dxa"/>
            <w:tcBorders/>
          </w:tcPr>
          <w:p>
            <w:pPr>
              <w:pStyle w:val="Normal"/>
              <w:snapToGrid w:val="false"/>
              <w:ind w:start="-180" w:end="0"/>
              <w:jc w:val="end"/>
              <w:rPr>
                <w:color w:val="000080"/>
                <w:sz w:val="18"/>
              </w:rPr>
            </w:pPr>
            <w:r>
              <w:rPr>
                <w:color w:val="000080"/>
                <w:sz w:val="18"/>
              </w:rPr>
            </w:r>
          </w:p>
        </w:tc>
        <w:tc>
          <w:tcPr>
            <w:tcW w:w="6045" w:type="dxa"/>
            <w:tcBorders/>
          </w:tcPr>
          <w:p>
            <w:pPr>
              <w:pStyle w:val="Normal"/>
              <w:snapToGrid w:val="false"/>
              <w:rPr>
                <w:color w:val="000080"/>
                <w:sz w:val="18"/>
              </w:rPr>
            </w:pPr>
            <w:r>
              <w:rPr>
                <w:color w:val="000080"/>
                <w:sz w:val="18"/>
              </w:rPr>
            </w:r>
          </w:p>
        </w:tc>
        <w:tc>
          <w:tcPr>
            <w:tcW w:w="990" w:type="dxa"/>
            <w:tcBorders/>
          </w:tcPr>
          <w:p>
            <w:pPr>
              <w:pStyle w:val="Normal"/>
              <w:snapToGrid w:val="false"/>
              <w:ind w:start="-180" w:end="0"/>
              <w:rPr>
                <w:color w:val="000080"/>
                <w:sz w:val="18"/>
              </w:rPr>
            </w:pPr>
            <w:r>
              <w:rPr>
                <w:color w:val="000080"/>
                <w:sz w:val="18"/>
              </w:rPr>
            </w:r>
          </w:p>
        </w:tc>
        <w:tc>
          <w:tcPr>
            <w:tcW w:w="2965" w:type="dxa"/>
            <w:tcBorders/>
          </w:tcPr>
          <w:p>
            <w:pPr>
              <w:pStyle w:val="Normal"/>
              <w:snapToGrid w:val="false"/>
              <w:rPr>
                <w:color w:val="000080"/>
                <w:sz w:val="18"/>
              </w:rPr>
            </w:pPr>
            <w:r>
              <w:rPr>
                <w:color w:val="000080"/>
                <w:sz w:val="18"/>
              </w:rPr>
            </w:r>
          </w:p>
        </w:tc>
      </w:tr>
      <w:tr>
        <w:trPr>
          <w:trHeight w:val="600" w:hRule="exact"/>
        </w:trPr>
        <w:tc>
          <w:tcPr>
            <w:tcW w:w="708" w:type="dxa"/>
            <w:tcBorders>
              <w:bottom w:val="single" w:sz="18" w:space="0" w:color="000000"/>
            </w:tcBorders>
          </w:tcPr>
          <w:p>
            <w:pPr>
              <w:pStyle w:val="Normal"/>
              <w:ind w:start="-180" w:end="0"/>
              <w:jc w:val="end"/>
              <w:rPr>
                <w:color w:val="000080"/>
                <w:sz w:val="16"/>
              </w:rPr>
            </w:pPr>
            <w:r>
              <w:rPr>
                <w:color w:val="000080"/>
                <w:sz w:val="16"/>
              </w:rPr>
              <w:t>Subject:</w:t>
            </w:r>
          </w:p>
        </w:tc>
        <w:tc>
          <w:tcPr>
            <w:tcW w:w="6045" w:type="dxa"/>
            <w:tcBorders>
              <w:bottom w:val="single" w:sz="18" w:space="0" w:color="000000"/>
            </w:tcBorders>
          </w:tcPr>
          <w:p>
            <w:pPr>
              <w:pStyle w:val="Subject"/>
              <w:rPr>
                <w:color w:val="000080"/>
              </w:rPr>
            </w:pPr>
            <w:bookmarkStart w:id="2" w:name="Subject"/>
            <w:bookmarkEnd w:id="2"/>
            <w:r>
              <w:rPr>
                <w:color w:val="000080"/>
              </w:rPr>
              <w:t>Accounting for Fuel Retention in Dollars (Not In-Kind) for TW</w:t>
            </w:r>
          </w:p>
        </w:tc>
        <w:tc>
          <w:tcPr>
            <w:tcW w:w="990" w:type="dxa"/>
            <w:tcBorders>
              <w:bottom w:val="single" w:sz="18" w:space="0" w:color="000000"/>
            </w:tcBorders>
          </w:tcPr>
          <w:p>
            <w:pPr>
              <w:pStyle w:val="Normal"/>
              <w:ind w:start="-180" w:end="0"/>
              <w:jc w:val="end"/>
              <w:rPr>
                <w:color w:val="000080"/>
                <w:sz w:val="16"/>
              </w:rPr>
            </w:pPr>
            <w:r>
              <w:rPr>
                <w:color w:val="000080"/>
                <w:sz w:val="16"/>
              </w:rPr>
              <w:t>Date:</w:t>
            </w:r>
          </w:p>
        </w:tc>
        <w:tc>
          <w:tcPr>
            <w:tcW w:w="2965" w:type="dxa"/>
            <w:tcBorders>
              <w:bottom w:val="single" w:sz="18" w:space="0" w:color="000000"/>
            </w:tcBorders>
          </w:tcPr>
          <w:p>
            <w:pPr>
              <w:pStyle w:val="Date"/>
              <w:rPr>
                <w:color w:val="000080"/>
              </w:rPr>
            </w:pPr>
            <w:r>
              <w:rPr>
                <w:color w:val="000080"/>
              </w:rPr>
              <w:t>May 3, 2000</w:t>
            </w:r>
          </w:p>
          <w:p>
            <w:pPr>
              <w:pStyle w:val="Date"/>
              <w:rPr>
                <w:color w:val="000080"/>
              </w:rPr>
            </w:pPr>
            <w:r>
              <w:rPr>
                <w:color w:val="000080"/>
              </w:rPr>
            </w:r>
          </w:p>
        </w:tc>
      </w:tr>
    </w:tbl>
    <w:p>
      <w:pPr>
        <w:pStyle w:val="Body"/>
        <w:rPr/>
      </w:pPr>
      <w:r>
        <w:rPr/>
      </w:r>
    </w:p>
    <w:p>
      <w:pPr>
        <w:pStyle w:val="Normal"/>
        <w:spacing w:lineRule="atLeast" w:line="240"/>
        <w:rPr/>
      </w:pPr>
      <w:bookmarkStart w:id="3" w:name="StartOfMemo"/>
      <w:bookmarkEnd w:id="3"/>
      <w:r>
        <w:rPr>
          <w:rFonts w:eastAsia="Arial"/>
          <w:color w:val="000080"/>
          <w:sz w:val="22"/>
        </w:rPr>
        <w:t xml:space="preserve"> </w:t>
      </w:r>
      <w:r>
        <w:rPr>
          <w:b/>
          <w:color w:val="000080"/>
          <w:sz w:val="22"/>
        </w:rPr>
        <w:t>Background</w:t>
      </w:r>
    </w:p>
    <w:p>
      <w:pPr>
        <w:pStyle w:val="Normal"/>
        <w:spacing w:lineRule="atLeast" w:line="240"/>
        <w:rPr>
          <w:b/>
          <w:color w:val="000080"/>
          <w:sz w:val="22"/>
        </w:rPr>
      </w:pPr>
      <w:r>
        <w:rPr>
          <w:b/>
          <w:color w:val="000080"/>
          <w:sz w:val="22"/>
        </w:rPr>
      </w:r>
    </w:p>
    <w:p>
      <w:pPr>
        <w:pStyle w:val="Normal"/>
        <w:spacing w:lineRule="atLeast" w:line="240"/>
        <w:rPr>
          <w:color w:val="000080"/>
          <w:sz w:val="22"/>
        </w:rPr>
      </w:pPr>
      <w:r>
        <w:rPr>
          <w:color w:val="000080"/>
          <w:sz w:val="22"/>
        </w:rPr>
        <w:t xml:space="preserve">Transwestern is proposing a tariff modification to allow its shippers to pay TW for fuel gas rather than to provide TW with in-kind volumes for fuel.  This provision will allow TW to utilize limited pipeline capacity more efficiently by substituting transportation volumes for capacity that would otherwise be required for fuel retention volumes. </w:t>
      </w:r>
    </w:p>
    <w:p>
      <w:pPr>
        <w:pStyle w:val="Normal"/>
        <w:spacing w:lineRule="atLeast" w:line="240"/>
        <w:rPr>
          <w:color w:val="000080"/>
          <w:sz w:val="22"/>
        </w:rPr>
      </w:pPr>
      <w:r>
        <w:rPr>
          <w:color w:val="000080"/>
          <w:sz w:val="22"/>
        </w:rPr>
      </w:r>
    </w:p>
    <w:p>
      <w:pPr>
        <w:pStyle w:val="Heading2"/>
        <w:ind w:hanging="0" w:start="0"/>
        <w:rPr/>
      </w:pPr>
      <w:r>
        <w:rPr/>
        <w:t>Analysis</w:t>
      </w:r>
    </w:p>
    <w:p>
      <w:pPr>
        <w:pStyle w:val="Normal"/>
        <w:spacing w:lineRule="atLeast" w:line="240"/>
        <w:rPr>
          <w:b/>
          <w:color w:val="000080"/>
          <w:sz w:val="22"/>
        </w:rPr>
      </w:pPr>
      <w:r>
        <w:rPr>
          <w:b/>
          <w:color w:val="000080"/>
          <w:sz w:val="22"/>
        </w:rPr>
      </w:r>
    </w:p>
    <w:p>
      <w:pPr>
        <w:pStyle w:val="Normal"/>
        <w:spacing w:lineRule="atLeast" w:line="240"/>
        <w:rPr>
          <w:color w:val="000080"/>
          <w:sz w:val="22"/>
        </w:rPr>
      </w:pPr>
      <w:r>
        <w:rPr>
          <w:color w:val="000080"/>
          <w:sz w:val="22"/>
        </w:rPr>
        <w:t>Two approaches that could be considered, depending on the tariff wording, are as follows  One would be to record a sale of gas to the shipper, then record the retention of volumes at some arbitrary (non-constrained) point.  This may have some negative excise tax implications that would require further research.  The second approach would be to record the revenue received from the fuel gas reimbursement as either transportation revenue (account 489.2) or as other gas revenue (account 495) and not record any fuel retention entries.</w:t>
      </w:r>
    </w:p>
    <w:p>
      <w:pPr>
        <w:pStyle w:val="Normal"/>
        <w:spacing w:lineRule="atLeast" w:line="240"/>
        <w:rPr>
          <w:rFonts w:eastAsia="Arial"/>
          <w:color w:val="000080"/>
          <w:sz w:val="22"/>
        </w:rPr>
      </w:pPr>
      <w:r>
        <w:rPr>
          <w:rFonts w:eastAsia="Arial"/>
          <w:color w:val="000080"/>
          <w:sz w:val="22"/>
        </w:rPr>
        <w:t xml:space="preserve"> </w:t>
      </w:r>
    </w:p>
    <w:p>
      <w:pPr>
        <w:pStyle w:val="Heading2"/>
        <w:ind w:hanging="0" w:start="0"/>
        <w:rPr/>
      </w:pPr>
      <w:r>
        <w:rPr/>
        <w:t>Proposed Accounting Procedure</w:t>
      </w:r>
    </w:p>
    <w:p>
      <w:pPr>
        <w:pStyle w:val="Normal"/>
        <w:spacing w:lineRule="atLeast" w:line="240"/>
        <w:rPr>
          <w:color w:val="000080"/>
          <w:sz w:val="22"/>
        </w:rPr>
      </w:pPr>
      <w:r>
        <w:rPr>
          <w:color w:val="000080"/>
          <w:sz w:val="22"/>
        </w:rPr>
      </w:r>
    </w:p>
    <w:p>
      <w:pPr>
        <w:pStyle w:val="Normal"/>
        <w:spacing w:lineRule="atLeast" w:line="240"/>
        <w:rPr>
          <w:color w:val="000080"/>
          <w:sz w:val="22"/>
        </w:rPr>
      </w:pPr>
      <w:r>
        <w:rPr>
          <w:color w:val="000080"/>
          <w:sz w:val="22"/>
        </w:rPr>
        <w:t xml:space="preserve">I propose that the tariff be phrased so as to provide that the shipper may pay TW a fuel reimbursement fee based on the appropriate fuel retention percentage times the Monthly Index Price [or some other benchmark].  Under these circumstances we would charge accounts receivable (account 142) and credit Transportation Revenue—Transmission (account 489.2) for the fuel reimbursement fee. </w:t>
      </w:r>
    </w:p>
    <w:p>
      <w:pPr>
        <w:pStyle w:val="Heading2"/>
        <w:ind w:hanging="0" w:start="0"/>
        <w:rPr>
          <w:color w:val="000080"/>
          <w:sz w:val="22"/>
        </w:rPr>
      </w:pPr>
      <w:r>
        <w:rPr>
          <w:color w:val="000080"/>
          <w:sz w:val="22"/>
        </w:rPr>
      </w:r>
    </w:p>
    <w:p>
      <w:pPr>
        <w:pStyle w:val="CopyList"/>
        <w:rPr>
          <w:color w:val="000080"/>
        </w:rPr>
      </w:pPr>
      <w:r>
        <w:rPr>
          <w:color w:val="00008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Page </w:t>
    </w:r>
    <w:r>
      <w:rPr/>
      <w:fldChar w:fldCharType="begin"/>
    </w:r>
    <w:r>
      <w:rPr/>
      <w:instrText xml:space="preserve"> PAGE </w:instrText>
    </w:r>
    <w:r>
      <w:rPr/>
      <w:fldChar w:fldCharType="separate"/>
    </w:r>
    <w:r>
      <w:rPr/>
      <w:t>0</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color w:val="000080"/>
      <w:sz w:val="22"/>
      <w:u w:val="single"/>
    </w:rPr>
  </w:style>
  <w:style w:type="paragraph" w:styleId="Heading2">
    <w:name w:val="heading 2"/>
    <w:basedOn w:val="Normal"/>
    <w:next w:val="Normal"/>
    <w:qFormat/>
    <w:pPr>
      <w:keepNext w:val="true"/>
      <w:numPr>
        <w:ilvl w:val="1"/>
        <w:numId w:val="1"/>
      </w:numPr>
      <w:spacing w:lineRule="atLeast" w:line="240"/>
      <w:outlineLvl w:val="1"/>
    </w:pPr>
    <w:rPr>
      <w:b/>
      <w:color w:val="000080"/>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2"/>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Ene11mem.dot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2000-05-03T18:31:00Z</dcterms:created>
  <dc:creator>ET&amp;S</dc:creator>
  <dc:description/>
  <dc:language>en-CA</dc:language>
  <cp:lastModifiedBy>ET&amp;S</cp:lastModifiedBy>
  <cp:lastPrinted>2000-05-03T17:34:00Z</cp:lastPrinted>
  <dcterms:modified xsi:type="dcterms:W3CDTF">2000-05-03T20:05:00Z</dcterms:modified>
  <cp:revision>7</cp:revision>
  <dc:subject/>
  <dc:title>Better, Faster, Simpler Memo </dc:title>
</cp:coreProperties>
</file>