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Basis of Estimate</w:t>
        <w:tab/>
      </w:r>
      <w:r>
        <w:rPr>
          <w:sz w:val="20"/>
        </w:rPr>
        <w:tab/>
        <w:tab/>
        <w:tab/>
        <w:tab/>
        <w:t xml:space="preserve">          Date: October 26,2000</w:t>
      </w:r>
    </w:p>
    <w:p>
      <w:pPr>
        <w:pStyle w:val="Normal"/>
        <w:rPr>
          <w:rFonts w:ascii="Bookman Old Style" w:hAnsi="Bookman Old Style" w:cs="Bookman Old Style"/>
        </w:rPr>
      </w:pPr>
      <w:r>
        <w:rPr>
          <w:rFonts w:cs="Bookman Old Style" w:ascii="Bookman Old Style" w:hAnsi="Bookman Old Style"/>
        </w:rPr>
        <w:tab/>
        <w:tab/>
        <w:tab/>
        <w:tab/>
        <w:tab/>
        <w:tab/>
        <w:tab/>
        <w:tab/>
        <w:tab/>
        <w:t>Revision No.1</w:t>
      </w:r>
    </w:p>
    <w:tbl>
      <w:tblPr>
        <w:tblW w:w="8640" w:type="dxa"/>
        <w:jc w:val="start"/>
        <w:tblInd w:w="123" w:type="dxa"/>
        <w:tblLayout w:type="fixed"/>
        <w:tblCellMar>
          <w:top w:w="0" w:type="dxa"/>
          <w:start w:w="108" w:type="dxa"/>
          <w:bottom w:w="0" w:type="dxa"/>
          <w:end w:w="108" w:type="dxa"/>
        </w:tblCellMar>
      </w:tblPr>
      <w:tblGrid>
        <w:gridCol w:w="4155"/>
        <w:gridCol w:w="4485"/>
      </w:tblGrid>
      <w:tr>
        <w:trPr>
          <w:trHeight w:val="225" w:hRule="atLeast"/>
        </w:trPr>
        <w:tc>
          <w:tcPr>
            <w:tcW w:w="4155" w:type="dxa"/>
            <w:tcBorders>
              <w:top w:val="single" w:sz="4" w:space="0" w:color="000000"/>
              <w:start w:val="single" w:sz="4" w:space="0" w:color="000000"/>
              <w:bottom w:val="single" w:sz="4" w:space="0" w:color="000000"/>
              <w:end w:val="single" w:sz="4" w:space="0" w:color="000000"/>
            </w:tcBorders>
          </w:tcPr>
          <w:p>
            <w:pPr>
              <w:pStyle w:val="Normal"/>
              <w:rPr>
                <w:rFonts w:ascii="Bookman Old Style" w:hAnsi="Bookman Old Style" w:cs="Bookman Old Style"/>
              </w:rPr>
            </w:pPr>
            <w:r>
              <w:rPr>
                <w:rFonts w:cs="Bookman Old Style" w:ascii="Bookman Old Style" w:hAnsi="Bookman Old Style"/>
              </w:rPr>
              <w:t xml:space="preserve">Project:  Fuel Cell Power Projects </w:t>
            </w:r>
          </w:p>
        </w:tc>
        <w:tc>
          <w:tcPr>
            <w:tcW w:w="4485" w:type="dxa"/>
            <w:tcBorders>
              <w:top w:val="single" w:sz="4" w:space="0" w:color="000000"/>
              <w:start w:val="single" w:sz="4" w:space="0" w:color="000000"/>
              <w:bottom w:val="single" w:sz="4" w:space="0" w:color="000000"/>
              <w:end w:val="single" w:sz="4" w:space="0" w:color="000000"/>
            </w:tcBorders>
          </w:tcPr>
          <w:p>
            <w:pPr>
              <w:pStyle w:val="Normal"/>
              <w:rPr>
                <w:rFonts w:ascii="Bookman Old Style" w:hAnsi="Bookman Old Style" w:cs="Bookman Old Style"/>
              </w:rPr>
            </w:pPr>
            <w:r>
              <w:rPr>
                <w:rFonts w:cs="Bookman Old Style" w:ascii="Bookman Old Style" w:hAnsi="Bookman Old Style"/>
              </w:rPr>
              <w:t>Client</w:t>
            </w:r>
          </w:p>
        </w:tc>
      </w:tr>
      <w:tr>
        <w:trPr>
          <w:trHeight w:val="225" w:hRule="atLeast"/>
        </w:trPr>
        <w:tc>
          <w:tcPr>
            <w:tcW w:w="4155" w:type="dxa"/>
            <w:tcBorders>
              <w:top w:val="single" w:sz="4" w:space="0" w:color="000000"/>
              <w:start w:val="single" w:sz="4" w:space="0" w:color="000000"/>
              <w:bottom w:val="single" w:sz="4" w:space="0" w:color="000000"/>
              <w:end w:val="single" w:sz="4" w:space="0" w:color="000000"/>
            </w:tcBorders>
          </w:tcPr>
          <w:p>
            <w:pPr>
              <w:pStyle w:val="Normal"/>
              <w:rPr>
                <w:rFonts w:ascii="Bookman Old Style" w:hAnsi="Bookman Old Style" w:cs="Bookman Old Style"/>
              </w:rPr>
            </w:pPr>
            <w:r>
              <w:rPr>
                <w:rFonts w:cs="Bookman Old Style" w:ascii="Bookman Old Style" w:hAnsi="Bookman Old Style"/>
              </w:rPr>
              <w:t>Location:  Hartford and Wallingford, CT</w:t>
            </w:r>
          </w:p>
        </w:tc>
        <w:tc>
          <w:tcPr>
            <w:tcW w:w="4485" w:type="dxa"/>
            <w:tcBorders>
              <w:top w:val="single" w:sz="4" w:space="0" w:color="000000"/>
              <w:start w:val="single" w:sz="4" w:space="0" w:color="000000"/>
              <w:bottom w:val="single" w:sz="4" w:space="0" w:color="000000"/>
              <w:end w:val="single" w:sz="4" w:space="0" w:color="000000"/>
            </w:tcBorders>
          </w:tcPr>
          <w:p>
            <w:pPr>
              <w:pStyle w:val="Normal"/>
              <w:rPr>
                <w:rFonts w:ascii="Bookman Old Style" w:hAnsi="Bookman Old Style" w:cs="Bookman Old Style"/>
              </w:rPr>
            </w:pPr>
            <w:r>
              <w:rPr>
                <w:rFonts w:cs="Bookman Old Style" w:ascii="Bookman Old Style" w:hAnsi="Bookman Old Style"/>
              </w:rPr>
              <w:t>Type Plant:  Fuel Cell</w:t>
            </w:r>
          </w:p>
        </w:tc>
      </w:tr>
      <w:tr>
        <w:trPr>
          <w:trHeight w:val="240" w:hRule="atLeast"/>
        </w:trPr>
        <w:tc>
          <w:tcPr>
            <w:tcW w:w="4155" w:type="dxa"/>
            <w:tcBorders>
              <w:top w:val="single" w:sz="4" w:space="0" w:color="000000"/>
              <w:start w:val="single" w:sz="4" w:space="0" w:color="000000"/>
              <w:bottom w:val="single" w:sz="4" w:space="0" w:color="000000"/>
              <w:end w:val="single" w:sz="4" w:space="0" w:color="000000"/>
            </w:tcBorders>
          </w:tcPr>
          <w:p>
            <w:pPr>
              <w:pStyle w:val="Normal"/>
              <w:rPr>
                <w:rFonts w:ascii="Bookman Old Style" w:hAnsi="Bookman Old Style" w:cs="Bookman Old Style"/>
              </w:rPr>
            </w:pPr>
            <w:r>
              <w:rPr>
                <w:rFonts w:cs="Bookman Old Style" w:ascii="Bookman Old Style" w:hAnsi="Bookman Old Style"/>
              </w:rPr>
              <w:t>Project Manager</w:t>
            </w:r>
          </w:p>
        </w:tc>
        <w:tc>
          <w:tcPr>
            <w:tcW w:w="4485" w:type="dxa"/>
            <w:tcBorders>
              <w:top w:val="single" w:sz="4" w:space="0" w:color="000000"/>
              <w:start w:val="single" w:sz="4" w:space="0" w:color="000000"/>
              <w:bottom w:val="single" w:sz="4" w:space="0" w:color="000000"/>
              <w:end w:val="single" w:sz="4" w:space="0" w:color="000000"/>
            </w:tcBorders>
          </w:tcPr>
          <w:p>
            <w:pPr>
              <w:pStyle w:val="Normal"/>
              <w:rPr>
                <w:rFonts w:ascii="Bookman Old Style" w:hAnsi="Bookman Old Style" w:cs="Bookman Old Style"/>
              </w:rPr>
            </w:pPr>
            <w:r>
              <w:rPr>
                <w:rFonts w:cs="Bookman Old Style" w:ascii="Bookman Old Style" w:hAnsi="Bookman Old Style"/>
              </w:rPr>
              <w:t>Rating:  21.2 and 28.8 MW</w:t>
            </w:r>
          </w:p>
        </w:tc>
      </w:tr>
      <w:tr>
        <w:trPr>
          <w:trHeight w:val="260" w:hRule="atLeast"/>
        </w:trPr>
        <w:tc>
          <w:tcPr>
            <w:tcW w:w="4155" w:type="dxa"/>
            <w:tcBorders>
              <w:top w:val="single" w:sz="4" w:space="0" w:color="000000"/>
              <w:start w:val="single" w:sz="4" w:space="0" w:color="000000"/>
              <w:bottom w:val="single" w:sz="4" w:space="0" w:color="000000"/>
              <w:end w:val="single" w:sz="4" w:space="0" w:color="000000"/>
            </w:tcBorders>
          </w:tcPr>
          <w:p>
            <w:pPr>
              <w:pStyle w:val="Normal"/>
              <w:rPr>
                <w:rFonts w:ascii="Bookman Old Style" w:hAnsi="Bookman Old Style" w:cs="Bookman Old Style"/>
              </w:rPr>
            </w:pPr>
            <w:r>
              <w:rPr>
                <w:rFonts w:cs="Bookman Old Style" w:ascii="Bookman Old Style" w:hAnsi="Bookman Old Style"/>
              </w:rPr>
              <w:t>Estimate #</w:t>
            </w:r>
          </w:p>
        </w:tc>
        <w:tc>
          <w:tcPr>
            <w:tcW w:w="4485" w:type="dxa"/>
            <w:tcBorders>
              <w:top w:val="single" w:sz="4" w:space="0" w:color="000000"/>
              <w:start w:val="single" w:sz="4" w:space="0" w:color="000000"/>
              <w:bottom w:val="single" w:sz="4" w:space="0" w:color="000000"/>
              <w:end w:val="single" w:sz="4" w:space="0" w:color="000000"/>
            </w:tcBorders>
          </w:tcPr>
          <w:p>
            <w:pPr>
              <w:pStyle w:val="Normal"/>
              <w:rPr>
                <w:rFonts w:ascii="Bookman Old Style" w:hAnsi="Bookman Old Style" w:cs="Bookman Old Style"/>
              </w:rPr>
            </w:pPr>
            <w:r>
              <w:rPr>
                <w:rFonts w:cs="Bookman Old Style" w:ascii="Bookman Old Style" w:hAnsi="Bookman Old Style"/>
              </w:rPr>
              <w:t>Estimator: Robin Long, Jay Patel, Ray Danner</w:t>
            </w:r>
          </w:p>
        </w:tc>
      </w:tr>
    </w:tbl>
    <w:p>
      <w:pPr>
        <w:pStyle w:val="Normal"/>
        <w:rPr>
          <w:rFonts w:ascii="Bookman Old Style" w:hAnsi="Bookman Old Style" w:cs="Bookman Old Style"/>
        </w:rPr>
      </w:pPr>
      <w:r>
        <w:rPr>
          <w:rFonts w:cs="Bookman Old Style" w:ascii="Bookman Old Style" w:hAnsi="Bookman Old Style"/>
        </w:rPr>
      </w:r>
    </w:p>
    <w:p>
      <w:pPr>
        <w:pStyle w:val="Normal"/>
        <w:rPr>
          <w:rFonts w:ascii="Bookman Old Style" w:hAnsi="Bookman Old Style" w:cs="Bookman Old Style"/>
        </w:rPr>
      </w:pPr>
      <w:r>
        <w:rPr>
          <w:rFonts w:cs="Bookman Old Style" w:ascii="Bookman Old Style" w:hAnsi="Bookman Old Style"/>
        </w:rPr>
        <w:t>Start Engineering Date</w:t>
        <w:tab/>
        <w:t>2001</w:t>
      </w:r>
    </w:p>
    <w:p>
      <w:pPr>
        <w:pStyle w:val="Normal"/>
        <w:rPr>
          <w:rFonts w:ascii="Bookman Old Style" w:hAnsi="Bookman Old Style" w:cs="Bookman Old Style"/>
        </w:rPr>
      </w:pPr>
      <w:r>
        <w:rPr>
          <w:rFonts w:cs="Bookman Old Style" w:ascii="Bookman Old Style" w:hAnsi="Bookman Old Style"/>
        </w:rPr>
        <w:t>Start Construction Date</w:t>
        <w:tab/>
        <w:t>2001</w:t>
      </w:r>
    </w:p>
    <w:p>
      <w:pPr>
        <w:pStyle w:val="Normal"/>
        <w:rPr>
          <w:rFonts w:ascii="Bookman Old Style" w:hAnsi="Bookman Old Style" w:cs="Bookman Old Style"/>
        </w:rPr>
      </w:pPr>
      <w:r>
        <w:rPr>
          <w:rFonts w:cs="Bookman Old Style" w:ascii="Bookman Old Style" w:hAnsi="Bookman Old Style"/>
        </w:rPr>
        <w:t>Project Completion Date</w:t>
        <w:tab/>
        <w:t>2004</w:t>
      </w:r>
    </w:p>
    <w:p>
      <w:pPr>
        <w:pStyle w:val="Normal"/>
        <w:spacing w:lineRule="auto" w:line="360"/>
        <w:rPr>
          <w:rFonts w:ascii="Bookman Old Style" w:hAnsi="Bookman Old Style" w:cs="Bookman Old Style"/>
        </w:rPr>
      </w:pPr>
      <w:r>
        <w:rPr>
          <w:rFonts w:cs="Bookman Old Style" w:ascii="Bookman Old Style" w:hAnsi="Bookman Old Style"/>
        </w:rPr>
      </w:r>
    </w:p>
    <w:p>
      <w:pPr>
        <w:pStyle w:val="Normal"/>
        <w:numPr>
          <w:ilvl w:val="0"/>
          <w:numId w:val="2"/>
        </w:numPr>
        <w:rPr>
          <w:rFonts w:ascii="Bookman Old Style" w:hAnsi="Bookman Old Style" w:cs="Bookman Old Style"/>
        </w:rPr>
      </w:pPr>
      <w:r>
        <w:rPr>
          <w:rFonts w:cs="Bookman Old Style" w:ascii="Bookman Old Style" w:hAnsi="Bookman Old Style"/>
        </w:rPr>
        <w:t>PURPOSE</w:t>
      </w:r>
    </w:p>
    <w:p>
      <w:pPr>
        <w:pStyle w:val="Normal"/>
        <w:ind w:start="720" w:end="0"/>
        <w:rPr>
          <w:rFonts w:ascii="Bookman Old Style" w:hAnsi="Bookman Old Style" w:cs="Bookman Old Style"/>
        </w:rPr>
      </w:pPr>
      <w:r>
        <w:rPr>
          <w:rFonts w:cs="Bookman Old Style" w:ascii="Bookman Old Style" w:hAnsi="Bookman Old Style"/>
        </w:rPr>
      </w:r>
    </w:p>
    <w:p>
      <w:pPr>
        <w:pStyle w:val="Normal"/>
        <w:ind w:start="720" w:end="0"/>
        <w:rPr>
          <w:rFonts w:ascii="Bookman Old Style" w:hAnsi="Bookman Old Style" w:cs="Bookman Old Style"/>
        </w:rPr>
      </w:pPr>
      <w:r>
        <w:rPr>
          <w:rFonts w:cs="Bookman Old Style" w:ascii="Bookman Old Style" w:hAnsi="Bookman Old Style"/>
        </w:rPr>
        <w:t>This is a conceptual estimate for the installation of balance of plant facilities for two fuel cell power projects located in Connecticut.  This estimate is being provided to Enron North America for the purpose of establishing a budget for these projects.</w:t>
      </w:r>
    </w:p>
    <w:p>
      <w:pPr>
        <w:pStyle w:val="Normal"/>
        <w:rPr>
          <w:rFonts w:ascii="Bookman Old Style" w:hAnsi="Bookman Old Style" w:cs="Bookman Old Style"/>
        </w:rPr>
      </w:pPr>
      <w:r>
        <w:rPr>
          <w:rFonts w:cs="Bookman Old Style" w:ascii="Bookman Old Style" w:hAnsi="Bookman Old Style"/>
        </w:rPr>
      </w:r>
    </w:p>
    <w:p>
      <w:pPr>
        <w:pStyle w:val="Normal"/>
        <w:numPr>
          <w:ilvl w:val="0"/>
          <w:numId w:val="2"/>
        </w:numPr>
        <w:rPr>
          <w:rFonts w:ascii="Bookman Old Style" w:hAnsi="Bookman Old Style" w:cs="Bookman Old Style"/>
        </w:rPr>
      </w:pPr>
      <w:r>
        <w:rPr>
          <w:rFonts w:cs="Bookman Old Style" w:ascii="Bookman Old Style" w:hAnsi="Bookman Old Style"/>
        </w:rPr>
        <w:t>SCOPE</w:t>
      </w:r>
    </w:p>
    <w:p>
      <w:pPr>
        <w:pStyle w:val="Normal"/>
        <w:rPr>
          <w:rFonts w:ascii="Bookman Old Style" w:hAnsi="Bookman Old Style" w:cs="Bookman Old Style"/>
        </w:rPr>
      </w:pPr>
      <w:r>
        <w:rPr>
          <w:rFonts w:cs="Bookman Old Style" w:ascii="Bookman Old Style" w:hAnsi="Bookman Old Style"/>
        </w:rPr>
      </w:r>
    </w:p>
    <w:p>
      <w:pPr>
        <w:pStyle w:val="Normal"/>
        <w:ind w:start="720" w:end="0"/>
        <w:rPr>
          <w:rFonts w:ascii="Bookman Old Style" w:hAnsi="Bookman Old Style" w:cs="Bookman Old Style"/>
        </w:rPr>
      </w:pPr>
      <w:r>
        <w:rPr>
          <w:rFonts w:cs="Bookman Old Style" w:ascii="Bookman Old Style" w:hAnsi="Bookman Old Style"/>
        </w:rPr>
        <w:t>This estimate includes EE&amp;CC costs for engineering, procurement and construction management of BOP facilities for two fuel cell power projects.  Fuel Cell Energy (FCE) is responsible for engineering, procurement, and construction of the fuel cell plants and associated foundations.  FCE’s costs are not included except as a note.</w:t>
      </w:r>
    </w:p>
    <w:p>
      <w:pPr>
        <w:pStyle w:val="Normal"/>
        <w:rPr>
          <w:rFonts w:ascii="Bookman Old Style" w:hAnsi="Bookman Old Style" w:cs="Bookman Old Style"/>
        </w:rPr>
      </w:pPr>
      <w:r>
        <w:rPr>
          <w:rFonts w:cs="Bookman Old Style" w:ascii="Bookman Old Style" w:hAnsi="Bookman Old Style"/>
        </w:rPr>
      </w:r>
    </w:p>
    <w:p>
      <w:pPr>
        <w:pStyle w:val="Normal"/>
        <w:numPr>
          <w:ilvl w:val="0"/>
          <w:numId w:val="2"/>
        </w:numPr>
        <w:rPr>
          <w:rFonts w:ascii="Bookman Old Style" w:hAnsi="Bookman Old Style" w:cs="Bookman Old Style"/>
        </w:rPr>
      </w:pPr>
      <w:r>
        <w:rPr>
          <w:rFonts w:cs="Bookman Old Style" w:ascii="Bookman Old Style" w:hAnsi="Bookman Old Style"/>
        </w:rPr>
        <w:t>PROJECT EXECUTION (Engineering, Procurement &amp; Construction) Strategy</w:t>
      </w:r>
    </w:p>
    <w:p>
      <w:pPr>
        <w:pStyle w:val="Normal"/>
        <w:rPr>
          <w:rFonts w:ascii="Bookman Old Style" w:hAnsi="Bookman Old Style" w:cs="Bookman Old Style"/>
        </w:rPr>
      </w:pPr>
      <w:r>
        <w:rPr>
          <w:rFonts w:cs="Bookman Old Style" w:ascii="Bookman Old Style" w:hAnsi="Bookman Old Style"/>
        </w:rPr>
      </w:r>
    </w:p>
    <w:p>
      <w:pPr>
        <w:pStyle w:val="Normal"/>
        <w:ind w:start="720" w:end="0"/>
        <w:rPr>
          <w:rFonts w:ascii="Bookman Old Style" w:hAnsi="Bookman Old Style" w:cs="Bookman Old Style"/>
        </w:rPr>
      </w:pPr>
      <w:r>
        <w:rPr>
          <w:rFonts w:cs="Bookman Old Style" w:ascii="Bookman Old Style" w:hAnsi="Bookman Old Style"/>
        </w:rPr>
        <w:t>EPC of the BOP scope will be as estimated to be performed by EE &amp; CC.</w:t>
      </w:r>
    </w:p>
    <w:p>
      <w:pPr>
        <w:pStyle w:val="Normal"/>
        <w:ind w:start="720" w:end="0"/>
        <w:rPr>
          <w:rFonts w:ascii="Bookman Old Style" w:hAnsi="Bookman Old Style" w:cs="Bookman Old Style"/>
        </w:rPr>
      </w:pPr>
      <w:r>
        <w:rPr>
          <w:rFonts w:cs="Bookman Old Style" w:ascii="Bookman Old Style" w:hAnsi="Bookman Old Style"/>
        </w:rPr>
        <w:t xml:space="preserve">This project would be constructed using locally available Union labor.  </w:t>
      </w:r>
    </w:p>
    <w:p>
      <w:pPr>
        <w:pStyle w:val="Normal"/>
        <w:rPr>
          <w:rFonts w:ascii="Bookman Old Style" w:hAnsi="Bookman Old Style" w:cs="Bookman Old Style"/>
        </w:rPr>
      </w:pPr>
      <w:r>
        <w:rPr>
          <w:rFonts w:cs="Bookman Old Style" w:ascii="Bookman Old Style" w:hAnsi="Bookman Old Style"/>
        </w:rPr>
      </w:r>
    </w:p>
    <w:p>
      <w:pPr>
        <w:pStyle w:val="Normal"/>
        <w:numPr>
          <w:ilvl w:val="0"/>
          <w:numId w:val="2"/>
        </w:numPr>
        <w:rPr>
          <w:rFonts w:ascii="Bookman Old Style" w:hAnsi="Bookman Old Style" w:cs="Bookman Old Style"/>
        </w:rPr>
      </w:pPr>
      <w:r>
        <w:rPr>
          <w:rFonts w:cs="Bookman Old Style" w:ascii="Bookman Old Style" w:hAnsi="Bookman Old Style"/>
        </w:rPr>
        <w:t>QUANTITY BASIS</w:t>
      </w:r>
    </w:p>
    <w:p>
      <w:pPr>
        <w:pStyle w:val="Normal"/>
        <w:ind w:start="720" w:end="0"/>
        <w:rPr>
          <w:rFonts w:ascii="Bookman Old Style" w:hAnsi="Bookman Old Style" w:cs="Bookman Old Style"/>
        </w:rPr>
      </w:pPr>
      <w:r>
        <w:rPr>
          <w:rFonts w:cs="Bookman Old Style" w:ascii="Bookman Old Style" w:hAnsi="Bookman Old Style"/>
        </w:rPr>
      </w:r>
    </w:p>
    <w:p>
      <w:pPr>
        <w:pStyle w:val="Normal"/>
        <w:ind w:start="720" w:end="0"/>
        <w:rPr>
          <w:rFonts w:ascii="Bookman Old Style" w:hAnsi="Bookman Old Style" w:cs="Bookman Old Style"/>
        </w:rPr>
      </w:pPr>
      <w:r>
        <w:rPr>
          <w:rFonts w:cs="Bookman Old Style" w:ascii="Bookman Old Style" w:hAnsi="Bookman Old Style"/>
        </w:rPr>
        <w:t>Quantities were derived based upon plot plans, one-line diagrams, and equipment lists provided to us by engineering.  Assumptions were made as to utility tie-in points where none were identified.</w:t>
      </w:r>
    </w:p>
    <w:p>
      <w:pPr>
        <w:pStyle w:val="Normal"/>
        <w:rPr>
          <w:rFonts w:ascii="Bookman Old Style" w:hAnsi="Bookman Old Style" w:cs="Bookman Old Style"/>
        </w:rPr>
      </w:pPr>
      <w:r>
        <w:rPr>
          <w:rFonts w:cs="Bookman Old Style" w:ascii="Bookman Old Style" w:hAnsi="Bookman Old Style"/>
        </w:rPr>
      </w:r>
    </w:p>
    <w:p>
      <w:pPr>
        <w:pStyle w:val="Normal"/>
        <w:numPr>
          <w:ilvl w:val="0"/>
          <w:numId w:val="2"/>
        </w:numPr>
        <w:rPr>
          <w:rFonts w:ascii="Bookman Old Style" w:hAnsi="Bookman Old Style" w:cs="Bookman Old Style"/>
        </w:rPr>
      </w:pPr>
      <w:r>
        <w:rPr>
          <w:rFonts w:cs="Bookman Old Style" w:ascii="Bookman Old Style" w:hAnsi="Bookman Old Style"/>
        </w:rPr>
        <w:t>COST BASIS</w:t>
      </w:r>
    </w:p>
    <w:p>
      <w:pPr>
        <w:pStyle w:val="Normal"/>
        <w:rPr>
          <w:rFonts w:ascii="Bookman Old Style" w:hAnsi="Bookman Old Style" w:cs="Bookman Old Style"/>
        </w:rPr>
      </w:pPr>
      <w:r>
        <w:rPr>
          <w:rFonts w:cs="Bookman Old Style" w:ascii="Bookman Old Style" w:hAnsi="Bookman Old Style"/>
        </w:rPr>
      </w:r>
    </w:p>
    <w:p>
      <w:pPr>
        <w:pStyle w:val="Normal"/>
        <w:ind w:start="720" w:end="0"/>
        <w:rPr>
          <w:rFonts w:ascii="Bookman Old Style" w:hAnsi="Bookman Old Style" w:cs="Bookman Old Style"/>
        </w:rPr>
      </w:pPr>
      <w:r>
        <w:rPr>
          <w:rFonts w:cs="Bookman Old Style" w:ascii="Bookman Old Style" w:hAnsi="Bookman Old Style"/>
        </w:rPr>
        <w:t>Material pricing was based on costs from the ICARUS 2000 database (Electrical) as well as historical project data and input from engineering.</w:t>
      </w:r>
    </w:p>
    <w:p>
      <w:pPr>
        <w:pStyle w:val="Normal"/>
        <w:ind w:start="720" w:end="0"/>
        <w:rPr>
          <w:rFonts w:ascii="Bookman Old Style" w:hAnsi="Bookman Old Style" w:cs="Bookman Old Style"/>
        </w:rPr>
      </w:pPr>
      <w:r>
        <w:rPr>
          <w:rFonts w:cs="Bookman Old Style" w:ascii="Bookman Old Style" w:hAnsi="Bookman Old Style"/>
        </w:rPr>
        <w:t>Grid Connection is based on estimated allowance subject to discussion with the Utility.</w:t>
      </w:r>
    </w:p>
    <w:p>
      <w:pPr>
        <w:pStyle w:val="Normal"/>
        <w:rPr>
          <w:rFonts w:ascii="Bookman Old Style" w:hAnsi="Bookman Old Style" w:cs="Bookman Old Style"/>
        </w:rPr>
      </w:pPr>
      <w:r>
        <w:rPr>
          <w:rFonts w:cs="Bookman Old Style" w:ascii="Bookman Old Style" w:hAnsi="Bookman Old Style"/>
        </w:rPr>
      </w:r>
    </w:p>
    <w:p>
      <w:pPr>
        <w:pStyle w:val="Normal"/>
        <w:numPr>
          <w:ilvl w:val="0"/>
          <w:numId w:val="2"/>
        </w:numPr>
        <w:rPr>
          <w:rFonts w:ascii="Bookman Old Style" w:hAnsi="Bookman Old Style" w:cs="Bookman Old Style"/>
        </w:rPr>
      </w:pPr>
      <w:r>
        <w:rPr>
          <w:rFonts w:cs="Bookman Old Style" w:ascii="Bookman Old Style" w:hAnsi="Bookman Old Style"/>
        </w:rPr>
        <w:t>LABOR BASIS</w:t>
      </w:r>
    </w:p>
    <w:p>
      <w:pPr>
        <w:pStyle w:val="Normal"/>
        <w:ind w:start="720" w:end="0"/>
        <w:rPr>
          <w:rFonts w:ascii="Bookman Old Style" w:hAnsi="Bookman Old Style" w:cs="Bookman Old Style"/>
        </w:rPr>
      </w:pPr>
      <w:r>
        <w:rPr>
          <w:rFonts w:cs="Bookman Old Style" w:ascii="Bookman Old Style" w:hAnsi="Bookman Old Style"/>
        </w:rPr>
      </w:r>
    </w:p>
    <w:p>
      <w:pPr>
        <w:pStyle w:val="Normal"/>
        <w:numPr>
          <w:ilvl w:val="0"/>
          <w:numId w:val="4"/>
        </w:numPr>
        <w:rPr>
          <w:rFonts w:ascii="Bookman Old Style" w:hAnsi="Bookman Old Style" w:cs="Bookman Old Style"/>
        </w:rPr>
      </w:pPr>
      <w:r>
        <w:rPr>
          <w:rFonts w:cs="Bookman Old Style" w:ascii="Bookman Old Style" w:hAnsi="Bookman Old Style"/>
        </w:rPr>
        <w:t>Wage Rate</w:t>
      </w:r>
    </w:p>
    <w:p>
      <w:pPr>
        <w:pStyle w:val="Normal"/>
        <w:ind w:start="1440" w:end="0"/>
        <w:rPr>
          <w:rFonts w:ascii="Bookman Old Style" w:hAnsi="Bookman Old Style" w:cs="Bookman Old Style"/>
        </w:rPr>
      </w:pPr>
      <w:r>
        <w:rPr>
          <w:rFonts w:cs="Bookman Old Style" w:ascii="Bookman Old Style" w:hAnsi="Bookman Old Style"/>
        </w:rPr>
      </w:r>
    </w:p>
    <w:p>
      <w:pPr>
        <w:pStyle w:val="Normal"/>
        <w:ind w:start="1440" w:end="0"/>
        <w:rPr>
          <w:rFonts w:ascii="Bookman Old Style" w:hAnsi="Bookman Old Style" w:cs="Bookman Old Style"/>
        </w:rPr>
      </w:pPr>
      <w:r>
        <w:rPr>
          <w:rFonts w:cs="Bookman Old Style" w:ascii="Bookman Old Style" w:hAnsi="Bookman Old Style"/>
        </w:rPr>
        <w:t>The wage rate was built up by applying labor costs by craft from a power project being performed in New England to the manhour mix from this project.  The base rate was then modified to include costs for construction equipment, subcontractor indirects, and profit.</w:t>
      </w:r>
    </w:p>
    <w:p>
      <w:pPr>
        <w:pStyle w:val="Normal"/>
        <w:ind w:start="1440" w:end="0"/>
        <w:rPr>
          <w:rFonts w:ascii="Bookman Old Style" w:hAnsi="Bookman Old Style" w:cs="Bookman Old Style"/>
        </w:rPr>
      </w:pPr>
      <w:r>
        <w:rPr>
          <w:rFonts w:cs="Bookman Old Style" w:ascii="Bookman Old Style" w:hAnsi="Bookman Old Style"/>
        </w:rPr>
      </w:r>
    </w:p>
    <w:p>
      <w:pPr>
        <w:pStyle w:val="Normal"/>
        <w:numPr>
          <w:ilvl w:val="0"/>
          <w:numId w:val="4"/>
        </w:numPr>
        <w:rPr>
          <w:rFonts w:ascii="Bookman Old Style" w:hAnsi="Bookman Old Style" w:cs="Bookman Old Style"/>
        </w:rPr>
      </w:pPr>
      <w:r>
        <w:rPr>
          <w:rFonts w:cs="Bookman Old Style" w:ascii="Bookman Old Style" w:hAnsi="Bookman Old Style"/>
        </w:rPr>
        <w:t>Productivity Units/Installation Rates</w:t>
      </w:r>
    </w:p>
    <w:p>
      <w:pPr>
        <w:pStyle w:val="Normal"/>
        <w:ind w:start="1440" w:end="0"/>
        <w:rPr>
          <w:rFonts w:ascii="Bookman Old Style" w:hAnsi="Bookman Old Style" w:cs="Bookman Old Style"/>
        </w:rPr>
      </w:pPr>
      <w:r>
        <w:rPr>
          <w:rFonts w:cs="Bookman Old Style" w:ascii="Bookman Old Style" w:hAnsi="Bookman Old Style"/>
        </w:rPr>
      </w:r>
    </w:p>
    <w:p>
      <w:pPr>
        <w:pStyle w:val="Normal"/>
        <w:ind w:start="1440" w:end="0"/>
        <w:rPr>
          <w:rFonts w:ascii="Bookman Old Style" w:hAnsi="Bookman Old Style" w:cs="Bookman Old Style"/>
        </w:rPr>
      </w:pPr>
      <w:r>
        <w:rPr>
          <w:rFonts w:cs="Bookman Old Style" w:ascii="Bookman Old Style" w:hAnsi="Bookman Old Style"/>
        </w:rPr>
        <w:t>Labor productivity rates are based on historical data from similar construction activities and reflect the project location.</w:t>
      </w:r>
    </w:p>
    <w:p>
      <w:pPr>
        <w:pStyle w:val="Normal"/>
        <w:ind w:start="1440" w:end="0"/>
        <w:rPr>
          <w:rFonts w:ascii="Bookman Old Style" w:hAnsi="Bookman Old Style" w:cs="Bookman Old Style"/>
        </w:rPr>
      </w:pPr>
      <w:r>
        <w:rPr>
          <w:rFonts w:cs="Bookman Old Style" w:ascii="Bookman Old Style" w:hAnsi="Bookman Old Style"/>
        </w:rPr>
      </w:r>
    </w:p>
    <w:p>
      <w:pPr>
        <w:pStyle w:val="Normal"/>
        <w:numPr>
          <w:ilvl w:val="0"/>
          <w:numId w:val="2"/>
        </w:numPr>
        <w:rPr>
          <w:rFonts w:ascii="Bookman Old Style" w:hAnsi="Bookman Old Style" w:cs="Bookman Old Style"/>
        </w:rPr>
      </w:pPr>
      <w:r>
        <w:rPr>
          <w:rFonts w:cs="Bookman Old Style" w:ascii="Bookman Old Style" w:hAnsi="Bookman Old Style"/>
        </w:rPr>
        <w:t>SCHEDULE BASIS</w:t>
      </w:r>
    </w:p>
    <w:p>
      <w:pPr>
        <w:pStyle w:val="Normal"/>
        <w:ind w:start="720" w:end="0"/>
        <w:rPr>
          <w:rFonts w:ascii="Bookman Old Style" w:hAnsi="Bookman Old Style" w:cs="Bookman Old Style"/>
        </w:rPr>
      </w:pPr>
      <w:r>
        <w:rPr>
          <w:rFonts w:cs="Bookman Old Style" w:ascii="Bookman Old Style" w:hAnsi="Bookman Old Style"/>
        </w:rPr>
      </w:r>
    </w:p>
    <w:p>
      <w:pPr>
        <w:pStyle w:val="Normal"/>
        <w:ind w:start="720" w:end="0"/>
        <w:rPr>
          <w:rFonts w:ascii="Bookman Old Style" w:hAnsi="Bookman Old Style" w:cs="Bookman Old Style"/>
        </w:rPr>
      </w:pPr>
      <w:r>
        <w:rPr>
          <w:rFonts w:cs="Bookman Old Style" w:ascii="Bookman Old Style" w:hAnsi="Bookman Old Style"/>
        </w:rPr>
        <w:t xml:space="preserve">Project to start in 2001 with construction proceeding as fuel cells become available.  Project should complete in 2004. </w:t>
      </w:r>
    </w:p>
    <w:p>
      <w:pPr>
        <w:pStyle w:val="Normal"/>
        <w:rPr>
          <w:rFonts w:ascii="Bookman Old Style" w:hAnsi="Bookman Old Style" w:cs="Bookman Old Style"/>
        </w:rPr>
      </w:pPr>
      <w:r>
        <w:rPr>
          <w:rFonts w:cs="Bookman Old Style" w:ascii="Bookman Old Style" w:hAnsi="Bookman Old Style"/>
        </w:rPr>
      </w:r>
    </w:p>
    <w:p>
      <w:pPr>
        <w:pStyle w:val="Normal"/>
        <w:numPr>
          <w:ilvl w:val="0"/>
          <w:numId w:val="2"/>
        </w:numPr>
        <w:rPr>
          <w:rFonts w:ascii="Bookman Old Style" w:hAnsi="Bookman Old Style" w:cs="Bookman Old Style"/>
        </w:rPr>
      </w:pPr>
      <w:r>
        <w:rPr>
          <w:rFonts w:cs="Bookman Old Style" w:ascii="Bookman Old Style" w:hAnsi="Bookman Old Style"/>
        </w:rPr>
        <w:t>ESCALATION BASIS</w:t>
      </w:r>
    </w:p>
    <w:p>
      <w:pPr>
        <w:pStyle w:val="Normal"/>
        <w:ind w:start="720" w:end="0"/>
        <w:rPr>
          <w:rFonts w:ascii="Bookman Old Style" w:hAnsi="Bookman Old Style" w:cs="Bookman Old Style"/>
        </w:rPr>
      </w:pPr>
      <w:r>
        <w:rPr>
          <w:rFonts w:cs="Bookman Old Style" w:ascii="Bookman Old Style" w:hAnsi="Bookman Old Style"/>
        </w:rPr>
      </w:r>
    </w:p>
    <w:p>
      <w:pPr>
        <w:pStyle w:val="Normal"/>
        <w:ind w:start="720" w:end="0"/>
        <w:rPr>
          <w:rFonts w:ascii="Bookman Old Style" w:hAnsi="Bookman Old Style" w:cs="Bookman Old Style"/>
        </w:rPr>
      </w:pPr>
      <w:r>
        <w:rPr>
          <w:rFonts w:cs="Bookman Old Style" w:ascii="Bookman Old Style" w:hAnsi="Bookman Old Style"/>
        </w:rPr>
        <w:t>Pricing is based on current USD.  Escalation is to early 2003.</w:t>
      </w:r>
    </w:p>
    <w:p>
      <w:pPr>
        <w:pStyle w:val="Normal"/>
        <w:ind w:start="720" w:end="0"/>
        <w:rPr>
          <w:rFonts w:ascii="Bookman Old Style" w:hAnsi="Bookman Old Style" w:cs="Bookman Old Style"/>
        </w:rPr>
      </w:pPr>
      <w:r>
        <w:rPr>
          <w:rFonts w:cs="Bookman Old Style" w:ascii="Bookman Old Style" w:hAnsi="Bookman Old Style"/>
        </w:rPr>
      </w:r>
    </w:p>
    <w:p>
      <w:pPr>
        <w:pStyle w:val="Normal"/>
        <w:numPr>
          <w:ilvl w:val="0"/>
          <w:numId w:val="2"/>
        </w:numPr>
        <w:rPr>
          <w:rFonts w:ascii="Bookman Old Style" w:hAnsi="Bookman Old Style" w:cs="Bookman Old Style"/>
        </w:rPr>
      </w:pPr>
      <w:r>
        <w:rPr>
          <w:rFonts w:cs="Bookman Old Style" w:ascii="Bookman Old Style" w:hAnsi="Bookman Old Style"/>
        </w:rPr>
        <w:t>EECC SERVICES</w:t>
      </w:r>
    </w:p>
    <w:p>
      <w:pPr>
        <w:pStyle w:val="Normal"/>
        <w:rPr>
          <w:rFonts w:ascii="Bookman Old Style" w:hAnsi="Bookman Old Style" w:cs="Bookman Old Style"/>
        </w:rPr>
      </w:pPr>
      <w:r>
        <w:rPr>
          <w:rFonts w:cs="Bookman Old Style" w:ascii="Bookman Old Style" w:hAnsi="Bookman Old Style"/>
        </w:rPr>
      </w:r>
    </w:p>
    <w:p>
      <w:pPr>
        <w:pStyle w:val="Normal"/>
        <w:numPr>
          <w:ilvl w:val="0"/>
          <w:numId w:val="3"/>
        </w:numPr>
        <w:rPr>
          <w:rFonts w:ascii="Bookman Old Style" w:hAnsi="Bookman Old Style" w:cs="Bookman Old Style"/>
        </w:rPr>
      </w:pPr>
      <w:r>
        <w:rPr>
          <w:rFonts w:cs="Bookman Old Style" w:ascii="Bookman Old Style" w:hAnsi="Bookman Old Style"/>
        </w:rPr>
        <w:t>Engineering Services – Provided by Engineering.</w:t>
      </w:r>
    </w:p>
    <w:p>
      <w:pPr>
        <w:pStyle w:val="Normal"/>
        <w:ind w:start="720" w:end="0"/>
        <w:rPr>
          <w:rFonts w:ascii="Bookman Old Style" w:hAnsi="Bookman Old Style" w:cs="Bookman Old Style"/>
        </w:rPr>
      </w:pPr>
      <w:r>
        <w:rPr>
          <w:rFonts w:cs="Bookman Old Style" w:ascii="Bookman Old Style" w:hAnsi="Bookman Old Style"/>
        </w:rPr>
      </w:r>
    </w:p>
    <w:p>
      <w:pPr>
        <w:pStyle w:val="Normal"/>
        <w:numPr>
          <w:ilvl w:val="0"/>
          <w:numId w:val="3"/>
        </w:numPr>
        <w:rPr>
          <w:rFonts w:ascii="Bookman Old Style" w:hAnsi="Bookman Old Style" w:cs="Bookman Old Style"/>
        </w:rPr>
      </w:pPr>
      <w:r>
        <w:rPr>
          <w:rFonts w:cs="Bookman Old Style" w:ascii="Bookman Old Style" w:hAnsi="Bookman Old Style"/>
        </w:rPr>
        <w:t>Project Management – Estimate is based on historical percentages of direct cost for projects of similar size and scope.</w:t>
      </w:r>
    </w:p>
    <w:p>
      <w:pPr>
        <w:pStyle w:val="Normal"/>
        <w:rPr>
          <w:rFonts w:ascii="Bookman Old Style" w:hAnsi="Bookman Old Style" w:cs="Bookman Old Style"/>
        </w:rPr>
      </w:pPr>
      <w:r>
        <w:rPr>
          <w:rFonts w:cs="Bookman Old Style" w:ascii="Bookman Old Style" w:hAnsi="Bookman Old Style"/>
        </w:rPr>
      </w:r>
    </w:p>
    <w:p>
      <w:pPr>
        <w:pStyle w:val="Normal"/>
        <w:ind w:start="720" w:end="0"/>
        <w:rPr>
          <w:rFonts w:ascii="Bookman Old Style" w:hAnsi="Bookman Old Style" w:cs="Bookman Old Style"/>
        </w:rPr>
      </w:pPr>
      <w:r>
        <w:rPr>
          <w:rFonts w:cs="Bookman Old Style" w:ascii="Bookman Old Style" w:hAnsi="Bookman Old Style"/>
        </w:rPr>
      </w:r>
    </w:p>
    <w:p>
      <w:pPr>
        <w:pStyle w:val="Normal"/>
        <w:numPr>
          <w:ilvl w:val="0"/>
          <w:numId w:val="2"/>
        </w:numPr>
        <w:rPr>
          <w:rFonts w:ascii="Bookman Old Style" w:hAnsi="Bookman Old Style" w:cs="Bookman Old Style"/>
        </w:rPr>
      </w:pPr>
      <w:r>
        <w:rPr>
          <w:rFonts w:cs="Bookman Old Style" w:ascii="Bookman Old Style" w:hAnsi="Bookman Old Style"/>
        </w:rPr>
        <w:t>INDIRECT COST BASIS</w:t>
      </w:r>
    </w:p>
    <w:p>
      <w:pPr>
        <w:pStyle w:val="Normal"/>
        <w:ind w:start="720" w:end="0"/>
        <w:rPr>
          <w:rFonts w:ascii="Bookman Old Style" w:hAnsi="Bookman Old Style" w:cs="Bookman Old Style"/>
        </w:rPr>
      </w:pPr>
      <w:r>
        <w:rPr>
          <w:rFonts w:cs="Bookman Old Style" w:ascii="Bookman Old Style" w:hAnsi="Bookman Old Style"/>
        </w:rPr>
      </w:r>
    </w:p>
    <w:p>
      <w:pPr>
        <w:pStyle w:val="Normal"/>
        <w:ind w:start="720" w:end="0"/>
        <w:rPr>
          <w:rFonts w:ascii="Bookman Old Style" w:hAnsi="Bookman Old Style" w:cs="Bookman Old Style"/>
        </w:rPr>
      </w:pPr>
      <w:r>
        <w:rPr>
          <w:rFonts w:cs="Bookman Old Style" w:ascii="Bookman Old Style" w:hAnsi="Bookman Old Style"/>
        </w:rPr>
        <w:t>Indirect costs are an allowance based on historical percentages for projects of similar size and scope.</w:t>
      </w:r>
    </w:p>
    <w:p>
      <w:pPr>
        <w:pStyle w:val="Normal"/>
        <w:rPr>
          <w:rFonts w:ascii="Bookman Old Style" w:hAnsi="Bookman Old Style" w:cs="Bookman Old Style"/>
        </w:rPr>
      </w:pPr>
      <w:r>
        <w:rPr>
          <w:rFonts w:cs="Bookman Old Style" w:ascii="Bookman Old Style" w:hAnsi="Bookman Old Style"/>
        </w:rPr>
      </w:r>
    </w:p>
    <w:p>
      <w:pPr>
        <w:pStyle w:val="Normal"/>
        <w:numPr>
          <w:ilvl w:val="0"/>
          <w:numId w:val="2"/>
        </w:numPr>
        <w:rPr>
          <w:rFonts w:ascii="Bookman Old Style" w:hAnsi="Bookman Old Style" w:cs="Bookman Old Style"/>
        </w:rPr>
      </w:pPr>
      <w:r>
        <w:rPr>
          <w:rFonts w:cs="Bookman Old Style" w:ascii="Bookman Old Style" w:hAnsi="Bookman Old Style"/>
        </w:rPr>
        <w:t>CONTINGENCY</w:t>
      </w:r>
    </w:p>
    <w:p>
      <w:pPr>
        <w:pStyle w:val="Normal"/>
        <w:ind w:start="720" w:end="0"/>
        <w:rPr>
          <w:rFonts w:ascii="Bookman Old Style" w:hAnsi="Bookman Old Style" w:cs="Bookman Old Style"/>
        </w:rPr>
      </w:pPr>
      <w:r>
        <w:rPr>
          <w:rFonts w:cs="Bookman Old Style" w:ascii="Bookman Old Style" w:hAnsi="Bookman Old Style"/>
        </w:rPr>
      </w:r>
    </w:p>
    <w:p>
      <w:pPr>
        <w:pStyle w:val="Normal"/>
        <w:ind w:start="720" w:end="0"/>
        <w:rPr/>
      </w:pPr>
      <w:r>
        <w:rPr>
          <w:rFonts w:cs="Bookman Old Style" w:ascii="Bookman Old Style" w:hAnsi="Bookman Old Style"/>
        </w:rPr>
        <w:t xml:space="preserve">Contingency was estimated at 15 % based on very limited project scope detail. This was cut by Engineering / Development Engineering to 10 %. </w:t>
      </w:r>
      <w:r>
        <w:rPr>
          <w:rFonts w:cs="Bookman Old Style" w:ascii="Bookman Old Style" w:hAnsi="Bookman Old Style"/>
          <w:b/>
        </w:rPr>
        <w:t xml:space="preserve">Estimating does not agree with this reduction. </w:t>
      </w:r>
    </w:p>
    <w:p>
      <w:pPr>
        <w:pStyle w:val="Normal"/>
        <w:ind w:start="720" w:end="0"/>
        <w:rPr>
          <w:rFonts w:ascii="Bookman Old Style" w:hAnsi="Bookman Old Style" w:cs="Bookman Old Style"/>
          <w:b/>
        </w:rPr>
      </w:pPr>
      <w:r>
        <w:rPr>
          <w:rFonts w:cs="Bookman Old Style" w:ascii="Bookman Old Style" w:hAnsi="Bookman Old Style"/>
          <w:b/>
        </w:rPr>
      </w:r>
    </w:p>
    <w:p>
      <w:pPr>
        <w:pStyle w:val="Normal"/>
        <w:numPr>
          <w:ilvl w:val="0"/>
          <w:numId w:val="2"/>
        </w:numPr>
        <w:rPr>
          <w:rFonts w:ascii="Bookman Old Style" w:hAnsi="Bookman Old Style" w:cs="Bookman Old Style"/>
        </w:rPr>
      </w:pPr>
      <w:r>
        <w:rPr>
          <w:rFonts w:cs="Bookman Old Style" w:ascii="Bookman Old Style" w:hAnsi="Bookman Old Style"/>
        </w:rPr>
        <w:t>FEE/RISK PREMIUM</w:t>
      </w:r>
    </w:p>
    <w:p>
      <w:pPr>
        <w:pStyle w:val="Normal"/>
        <w:ind w:start="720" w:end="0"/>
        <w:rPr>
          <w:rFonts w:ascii="Bookman Old Style" w:hAnsi="Bookman Old Style" w:cs="Bookman Old Style"/>
        </w:rPr>
      </w:pPr>
      <w:r>
        <w:rPr>
          <w:rFonts w:cs="Bookman Old Style" w:ascii="Bookman Old Style" w:hAnsi="Bookman Old Style"/>
        </w:rPr>
      </w:r>
    </w:p>
    <w:p>
      <w:pPr>
        <w:pStyle w:val="Normal"/>
        <w:ind w:start="720" w:end="0"/>
        <w:rPr>
          <w:rFonts w:ascii="Bookman Old Style" w:hAnsi="Bookman Old Style" w:cs="Bookman Old Style"/>
        </w:rPr>
      </w:pPr>
      <w:r>
        <w:rPr>
          <w:rFonts w:cs="Bookman Old Style" w:ascii="Bookman Old Style" w:hAnsi="Bookman Old Style"/>
        </w:rPr>
        <w:t xml:space="preserve">Fee is included as 5% of EE&amp;CC cost. (At the direction of Engineering / Development Engineering.)   </w:t>
      </w:r>
    </w:p>
    <w:p>
      <w:pPr>
        <w:pStyle w:val="Normal"/>
        <w:rPr>
          <w:rFonts w:ascii="Bookman Old Style" w:hAnsi="Bookman Old Style" w:cs="Bookman Old Style"/>
        </w:rPr>
      </w:pPr>
      <w:r>
        <w:rPr>
          <w:rFonts w:cs="Bookman Old Style" w:ascii="Bookman Old Style" w:hAnsi="Bookman Old Style"/>
        </w:rPr>
      </w:r>
    </w:p>
    <w:p>
      <w:pPr>
        <w:pStyle w:val="Normal"/>
        <w:numPr>
          <w:ilvl w:val="0"/>
          <w:numId w:val="2"/>
        </w:numPr>
        <w:rPr>
          <w:rFonts w:ascii="Bookman Old Style" w:hAnsi="Bookman Old Style" w:cs="Bookman Old Style"/>
        </w:rPr>
      </w:pPr>
      <w:r>
        <w:rPr>
          <w:rFonts w:cs="Bookman Old Style" w:ascii="Bookman Old Style" w:hAnsi="Bookman Old Style"/>
        </w:rPr>
        <w:t>INCLUSIONS</w:t>
      </w:r>
    </w:p>
    <w:p>
      <w:pPr>
        <w:pStyle w:val="Normal"/>
        <w:ind w:start="720" w:end="0"/>
        <w:rPr>
          <w:rFonts w:ascii="Bookman Old Style" w:hAnsi="Bookman Old Style" w:cs="Bookman Old Style"/>
        </w:rPr>
      </w:pPr>
      <w:r>
        <w:rPr>
          <w:rFonts w:cs="Bookman Old Style" w:ascii="Bookman Old Style" w:hAnsi="Bookman Old Style"/>
        </w:rPr>
      </w:r>
    </w:p>
    <w:p>
      <w:pPr>
        <w:pStyle w:val="Normal"/>
        <w:ind w:start="720" w:end="0"/>
        <w:rPr>
          <w:rFonts w:ascii="Bookman Old Style" w:hAnsi="Bookman Old Style" w:cs="Bookman Old Style"/>
        </w:rPr>
      </w:pPr>
      <w:r>
        <w:rPr>
          <w:rFonts w:cs="Bookman Old Style" w:ascii="Bookman Old Style" w:hAnsi="Bookman Old Style"/>
        </w:rPr>
        <w:t>The scope of this estimate includes all costs for balance of plant facilities for two fuel cell power plants.</w:t>
      </w:r>
    </w:p>
    <w:p>
      <w:pPr>
        <w:pStyle w:val="Normal"/>
        <w:rPr>
          <w:rFonts w:ascii="Bookman Old Style" w:hAnsi="Bookman Old Style" w:cs="Bookman Old Style"/>
        </w:rPr>
      </w:pPr>
      <w:r>
        <w:rPr>
          <w:rFonts w:cs="Bookman Old Style" w:ascii="Bookman Old Style" w:hAnsi="Bookman Old Style"/>
        </w:rPr>
      </w:r>
    </w:p>
    <w:p>
      <w:pPr>
        <w:pStyle w:val="Normal"/>
        <w:numPr>
          <w:ilvl w:val="0"/>
          <w:numId w:val="2"/>
        </w:numPr>
        <w:rPr>
          <w:rFonts w:ascii="Bookman Old Style" w:hAnsi="Bookman Old Style" w:cs="Bookman Old Style"/>
        </w:rPr>
      </w:pPr>
      <w:r>
        <w:rPr>
          <w:rFonts w:cs="Bookman Old Style" w:ascii="Bookman Old Style" w:hAnsi="Bookman Old Style"/>
        </w:rPr>
        <w:t>EXCLUSIONS</w:t>
      </w:r>
    </w:p>
    <w:p>
      <w:pPr>
        <w:pStyle w:val="Normal"/>
        <w:ind w:start="720" w:end="0"/>
        <w:rPr>
          <w:rFonts w:ascii="Bookman Old Style" w:hAnsi="Bookman Old Style" w:cs="Bookman Old Style"/>
        </w:rPr>
      </w:pPr>
      <w:r>
        <w:rPr>
          <w:rFonts w:cs="Bookman Old Style" w:ascii="Bookman Old Style" w:hAnsi="Bookman Old Style"/>
        </w:rPr>
      </w:r>
    </w:p>
    <w:p>
      <w:pPr>
        <w:pStyle w:val="Normal"/>
        <w:ind w:start="720" w:end="0"/>
        <w:rPr>
          <w:rFonts w:ascii="Bookman Old Style" w:hAnsi="Bookman Old Style" w:cs="Bookman Old Style"/>
        </w:rPr>
      </w:pPr>
      <w:r>
        <w:rPr>
          <w:rFonts w:cs="Bookman Old Style" w:ascii="Bookman Old Style" w:hAnsi="Bookman Old Style"/>
        </w:rPr>
        <w:t xml:space="preserve">This estimate does not include costs for those items being supplied by FCE.  These include manufacture and complete installation of individual fuel cell plants, along with all foundations required to support those plants. Estimate does not include cost for Geotechnical Investigation. </w:t>
      </w:r>
    </w:p>
    <w:p>
      <w:pPr>
        <w:pStyle w:val="Normal"/>
        <w:rPr>
          <w:rFonts w:ascii="Bookman Old Style" w:hAnsi="Bookman Old Style" w:cs="Bookman Old Style"/>
        </w:rPr>
      </w:pPr>
      <w:r>
        <w:rPr>
          <w:rFonts w:cs="Bookman Old Style" w:ascii="Bookman Old Style" w:hAnsi="Bookman Old Style"/>
        </w:rPr>
      </w:r>
    </w:p>
    <w:p>
      <w:pPr>
        <w:pStyle w:val="Normal"/>
        <w:rPr>
          <w:rFonts w:ascii="Bookman Old Style" w:hAnsi="Bookman Old Style" w:cs="Bookman Old Style"/>
        </w:rPr>
      </w:pPr>
      <w:r>
        <w:rPr>
          <w:rFonts w:cs="Bookman Old Style" w:ascii="Bookman Old Style" w:hAnsi="Bookman Old Styl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Old Styl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720"/>
      </w:pPr>
      <w:rPr/>
    </w:lvl>
  </w:abstractNum>
  <w:abstractNum w:abstractNumId="3">
    <w:lvl w:ilvl="0">
      <w:start w:val="1"/>
      <w:numFmt w:val="upperLetter"/>
      <w:lvlText w:val="%1."/>
      <w:lvlJc w:val="start"/>
      <w:pPr>
        <w:tabs>
          <w:tab w:val="num" w:pos="1440"/>
        </w:tabs>
        <w:ind w:start="1440" w:hanging="720"/>
      </w:pPr>
      <w:rPr/>
    </w:lvl>
  </w:abstractNum>
  <w:abstractNum w:abstractNumId="4">
    <w:lvl w:ilvl="0">
      <w:start w:val="1"/>
      <w:numFmt w:val="upp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Bookman Old Style" w:hAnsi="Bookman Old Style" w:cs="Bookman Old Style"/>
      <w:sz w:val="28"/>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rFonts w:ascii="Symbol" w:hAnsi="Symbol" w:cs="Symbol"/>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2000-10-26T14:48:00Z</dcterms:created>
  <dc:creator>Tanya Leslie</dc:creator>
  <dc:description/>
  <dc:language>en-CA</dc:language>
  <cp:lastModifiedBy>ENRON</cp:lastModifiedBy>
  <cp:lastPrinted>2000-10-26T15:16:00Z</cp:lastPrinted>
  <dcterms:modified xsi:type="dcterms:W3CDTF">2000-10-26T17:47:00Z</dcterms:modified>
  <cp:revision>7</cp:revision>
  <dc:subject/>
  <dc:title>Basis of Estimate</dc:title>
</cp:coreProperties>
</file>