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sz w:val="36"/>
        </w:rPr>
        <w:t xml:space="preserve"> </w:t>
      </w:r>
      <w:r>
        <w:rPr>
          <w:rFonts w:cs="Times New Roman" w:ascii="Times New Roman" w:hAnsi="Times New Roman"/>
          <w:sz w:val="36"/>
        </w:rPr>
        <w:t>Direct Fuel Cell</w:t>
      </w:r>
      <w:r>
        <w:rPr>
          <w:rFonts w:cs="Times New Roman" w:ascii="Times New Roman" w:hAnsi="Times New Roman"/>
          <w:sz w:val="36"/>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sz w:val="22"/>
              <w:szCs w:val="24"/>
              <w:rFonts w:cs="Times New Roman" w:ascii="Times New Roman" w:hAnsi="Times New Roman"/>
            </w:rPr>
            <w:instrText xml:space="preserve"> TOC \o "1-3" \f </w:instrText>
          </w:r>
          <w:r>
            <w:rPr>
              <w:sz w:val="22"/>
              <w:szCs w:val="24"/>
              <w:rFonts w:cs="Times New Roman" w:ascii="Times New Roman" w:hAnsi="Times New Roman"/>
            </w:rPr>
            <w:fldChar w:fldCharType="separate"/>
          </w:r>
          <w:r>
            <w:rPr>
              <w:rFonts w:cs="Times New Roman" w:ascii="Times New Roman" w:hAnsi="Times New Roman"/>
              <w:sz w:val="22"/>
              <w:szCs w:val="24"/>
            </w:rPr>
            <w:t xml:space="preserve">ARTICLE I.  </w:t>
          </w:r>
          <w:r>
            <w:rPr>
              <w:rFonts w:cs="Times New Roman" w:ascii="Times New Roman" w:hAnsi="Times New Roman"/>
              <w:sz w:val="22"/>
              <w:szCs w:val="24"/>
              <w:u w:val="single"/>
            </w:rPr>
            <w:t>DEFINITIONS</w:t>
          </w:r>
          <w:r>
            <w:rPr/>
            <w:tab/>
          </w:r>
          <w:hyperlink w:anchor="__RefHeading___Toc497548734">
            <w:r>
              <w:rPr>
                <w:rStyle w:val="IndexLink"/>
              </w:rPr>
              <w:t>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  </w:t>
          </w:r>
          <w:r>
            <w:rPr>
              <w:rFonts w:cs="Times New Roman" w:ascii="Times New Roman" w:hAnsi="Times New Roman"/>
              <w:sz w:val="22"/>
              <w:szCs w:val="24"/>
              <w:u w:val="single"/>
            </w:rPr>
            <w:t>RESPONSIBILITIES OF PURCHASER</w:t>
          </w:r>
          <w:r>
            <w:rPr/>
            <w:tab/>
          </w:r>
          <w:hyperlink w:anchor="__RefHeading___Toc497548735">
            <w:r>
              <w:rPr>
                <w:rStyle w:val="IndexLink"/>
              </w:rPr>
              <w:t>13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   </w:t>
          </w:r>
          <w:r>
            <w:rPr>
              <w:rFonts w:cs="Times New Roman" w:ascii="Times New Roman" w:hAnsi="Times New Roman"/>
              <w:sz w:val="22"/>
              <w:szCs w:val="24"/>
              <w:u w:val="single"/>
              <w:lang w:val="en-CA" w:eastAsia="en-CA"/>
            </w:rPr>
            <w:t>Purchaser Responsibilities</w:t>
          </w:r>
          <w:r>
            <w:rPr>
              <w:lang w:val="en-CA" w:eastAsia="en-CA"/>
            </w:rPr>
            <w:tab/>
          </w:r>
          <w:hyperlink w:anchor="__RefHeading___Toc497548736">
            <w:r>
              <w:rPr>
                <w:rStyle w:val="IndexLink"/>
                <w:lang w:val="en-CA" w:eastAsia="en-CA"/>
              </w:rPr>
              <w:t>13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III.  </w:t>
          </w:r>
          <w:r>
            <w:rPr>
              <w:rFonts w:cs="Times New Roman" w:ascii="Times New Roman" w:hAnsi="Times New Roman"/>
              <w:sz w:val="22"/>
              <w:szCs w:val="24"/>
              <w:u w:val="single"/>
            </w:rPr>
            <w:t>RESPONSIBILITIES OF SELLER</w:t>
          </w:r>
          <w:r>
            <w:rPr/>
            <w:tab/>
          </w:r>
          <w:hyperlink w:anchor="__RefHeading___Toc497548737">
            <w:r>
              <w:rPr>
                <w:rStyle w:val="IndexLink"/>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   </w:t>
          </w:r>
          <w:r>
            <w:rPr>
              <w:rFonts w:cs="Times New Roman" w:ascii="Times New Roman" w:hAnsi="Times New Roman"/>
              <w:sz w:val="22"/>
              <w:szCs w:val="24"/>
              <w:u w:val="single"/>
              <w:lang w:val="en-CA" w:eastAsia="en-CA"/>
            </w:rPr>
            <w:t>General Obligations</w:t>
          </w:r>
          <w:r>
            <w:rPr>
              <w:lang w:val="en-CA" w:eastAsia="en-CA"/>
            </w:rPr>
            <w:tab/>
          </w:r>
          <w:hyperlink w:anchor="__RefHeading___Toc497548738">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   </w:t>
          </w:r>
          <w:r>
            <w:rPr>
              <w:rFonts w:cs="Times New Roman" w:ascii="Times New Roman" w:hAnsi="Times New Roman"/>
              <w:sz w:val="22"/>
              <w:szCs w:val="24"/>
              <w:u w:val="single"/>
              <w:lang w:val="en-CA" w:eastAsia="en-CA"/>
            </w:rPr>
            <w:t>Delivery of Equipment and Documentation</w:t>
          </w:r>
          <w:r>
            <w:rPr>
              <w:lang w:val="en-CA" w:eastAsia="en-CA"/>
            </w:rPr>
            <w:tab/>
          </w:r>
          <w:hyperlink w:anchor="__RefHeading___Toc497548739">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3.2.1   </w:t>
          </w:r>
          <w:r>
            <w:rPr>
              <w:rFonts w:cs="Times New Roman" w:ascii="Times New Roman" w:hAnsi="Times New Roman"/>
              <w:sz w:val="22"/>
              <w:szCs w:val="24"/>
              <w:u w:val="single"/>
              <w:lang w:val="en-CA" w:eastAsia="en-CA"/>
            </w:rPr>
            <w:t>Delivery to Delivery Point</w:t>
          </w:r>
          <w:r>
            <w:rPr>
              <w:lang w:val="en-CA" w:eastAsia="en-CA"/>
            </w:rPr>
            <w:tab/>
          </w:r>
          <w:hyperlink w:anchor="__RefHeading___Toc497548740">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3.2.2   </w:t>
          </w:r>
          <w:r>
            <w:rPr>
              <w:rFonts w:cs="Times New Roman" w:ascii="Times New Roman" w:hAnsi="Times New Roman"/>
              <w:sz w:val="22"/>
              <w:szCs w:val="24"/>
              <w:u w:val="single"/>
              <w:lang w:val="en-CA" w:eastAsia="en-CA"/>
            </w:rPr>
            <w:t>Installation Services</w:t>
          </w:r>
          <w:r>
            <w:rPr>
              <w:lang w:val="en-CA" w:eastAsia="en-CA"/>
            </w:rPr>
            <w:tab/>
          </w:r>
          <w:hyperlink w:anchor="__RefHeading___Toc497548741">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3.2.4   </w:t>
          </w:r>
          <w:r>
            <w:rPr>
              <w:rFonts w:cs="Times New Roman" w:ascii="Times New Roman" w:hAnsi="Times New Roman"/>
              <w:sz w:val="22"/>
              <w:szCs w:val="24"/>
              <w:u w:val="single"/>
              <w:lang w:val="en-CA" w:eastAsia="en-CA"/>
            </w:rPr>
            <w:t>Maximize Assembly</w:t>
          </w:r>
          <w:r>
            <w:rPr>
              <w:lang w:val="en-CA" w:eastAsia="en-CA"/>
            </w:rPr>
            <w:tab/>
          </w:r>
          <w:hyperlink w:anchor="__RefHeading___Toc497548742">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3.3   </w:t>
          </w:r>
          <w:r>
            <w:rPr>
              <w:rFonts w:cs="Times New Roman" w:ascii="Times New Roman" w:hAnsi="Times New Roman"/>
              <w:sz w:val="22"/>
              <w:szCs w:val="24"/>
              <w:u w:val="single"/>
              <w:lang w:val="en-CA" w:eastAsia="en-CA"/>
            </w:rPr>
            <w:t>Relevant Information</w:t>
          </w:r>
          <w:r>
            <w:rPr>
              <w:lang w:val="en-CA" w:eastAsia="en-CA"/>
            </w:rPr>
            <w:tab/>
          </w:r>
          <w:hyperlink w:anchor="__RefHeading___Toc497548743">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3.4   </w:t>
          </w:r>
          <w:r>
            <w:rPr>
              <w:rFonts w:cs="Times New Roman" w:ascii="Times New Roman" w:hAnsi="Times New Roman"/>
              <w:sz w:val="22"/>
              <w:szCs w:val="24"/>
              <w:u w:val="single"/>
              <w:lang w:val="en-CA" w:eastAsia="en-CA"/>
            </w:rPr>
            <w:t>Hazardous Materials Notification</w:t>
          </w:r>
          <w:r>
            <w:rPr>
              <w:lang w:val="en-CA" w:eastAsia="en-CA"/>
            </w:rPr>
            <w:tab/>
          </w:r>
          <w:hyperlink w:anchor="__RefHeading___Toc497548744">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3.5   </w:t>
          </w:r>
          <w:r>
            <w:rPr>
              <w:rFonts w:cs="Times New Roman" w:ascii="Times New Roman" w:hAnsi="Times New Roman"/>
              <w:sz w:val="22"/>
              <w:szCs w:val="24"/>
              <w:u w:val="single"/>
              <w:lang w:val="en-CA" w:eastAsia="en-CA"/>
            </w:rPr>
            <w:t>Employment of Licensed Personnel</w:t>
          </w:r>
          <w:r>
            <w:rPr>
              <w:lang w:val="en-CA" w:eastAsia="en-CA"/>
            </w:rPr>
            <w:tab/>
          </w:r>
          <w:hyperlink w:anchor="__RefHeading___Toc497548745">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7548746">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7548747">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3.7   </w:t>
          </w:r>
          <w:r>
            <w:rPr>
              <w:rFonts w:cs="Times New Roman" w:ascii="Times New Roman" w:hAnsi="Times New Roman"/>
              <w:sz w:val="22"/>
              <w:szCs w:val="24"/>
              <w:u w:val="single"/>
              <w:lang w:val="en-CA" w:eastAsia="en-CA"/>
            </w:rPr>
            <w:t>Not Used</w:t>
          </w:r>
          <w:r>
            <w:rPr>
              <w:lang w:val="en-CA" w:eastAsia="en-CA"/>
            </w:rPr>
            <w:tab/>
          </w:r>
          <w:hyperlink w:anchor="__RefHeading___Toc497548748">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3.8   </w:t>
          </w:r>
          <w:r>
            <w:rPr>
              <w:rFonts w:cs="Times New Roman" w:ascii="Times New Roman" w:hAnsi="Times New Roman"/>
              <w:sz w:val="22"/>
              <w:szCs w:val="24"/>
              <w:u w:val="single"/>
              <w:lang w:val="en-CA" w:eastAsia="en-CA"/>
            </w:rPr>
            <w:t>Compliance with Governmental Rules</w:t>
          </w:r>
          <w:r>
            <w:rPr>
              <w:lang w:val="en-CA" w:eastAsia="en-CA"/>
            </w:rPr>
            <w:tab/>
          </w:r>
          <w:hyperlink w:anchor="__RefHeading___Toc497548749">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3.9   </w:t>
          </w:r>
          <w:r>
            <w:rPr>
              <w:rFonts w:cs="Times New Roman" w:ascii="Times New Roman" w:hAnsi="Times New Roman"/>
              <w:sz w:val="22"/>
              <w:szCs w:val="24"/>
              <w:u w:val="single"/>
              <w:lang w:val="en-CA" w:eastAsia="en-CA"/>
            </w:rPr>
            <w:t>Purchaser Review of Vendors</w:t>
          </w:r>
          <w:r>
            <w:rPr>
              <w:lang w:val="en-CA" w:eastAsia="en-CA"/>
            </w:rPr>
            <w:tab/>
          </w:r>
          <w:hyperlink w:anchor="__RefHeading___Toc497548750">
            <w:r>
              <w:rPr>
                <w:rStyle w:val="IndexLink"/>
                <w:lang w:val="en-CA" w:eastAsia="en-CA"/>
              </w:rPr>
              <w:t>17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  </w:t>
          </w:r>
          <w:r>
            <w:rPr>
              <w:rFonts w:cs="Times New Roman" w:ascii="Times New Roman" w:hAnsi="Times New Roman"/>
              <w:sz w:val="22"/>
              <w:szCs w:val="24"/>
              <w:u w:val="single"/>
              <w:lang w:val="en-CA" w:eastAsia="en-CA"/>
            </w:rPr>
            <w:t>Packing and Insurance Surveyor</w:t>
          </w:r>
          <w:r>
            <w:rPr>
              <w:lang w:val="en-CA" w:eastAsia="en-CA"/>
            </w:rPr>
            <w:tab/>
          </w:r>
          <w:hyperlink w:anchor="__RefHeading___Toc497548751">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3.10.1   </w:t>
          </w:r>
          <w:r>
            <w:rPr>
              <w:rFonts w:cs="Times New Roman" w:ascii="Times New Roman" w:hAnsi="Times New Roman"/>
              <w:sz w:val="22"/>
              <w:szCs w:val="24"/>
              <w:u w:val="single"/>
              <w:lang w:val="en-CA" w:eastAsia="en-CA"/>
            </w:rPr>
            <w:t>Packing Recommendation</w:t>
          </w:r>
          <w:r>
            <w:rPr>
              <w:lang w:val="en-CA" w:eastAsia="en-CA"/>
            </w:rPr>
            <w:tab/>
          </w:r>
          <w:hyperlink w:anchor="__RefHeading___Toc497548752">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3.10.3   </w:t>
          </w:r>
          <w:r>
            <w:rPr>
              <w:rFonts w:cs="Times New Roman" w:ascii="Times New Roman" w:hAnsi="Times New Roman"/>
              <w:sz w:val="22"/>
              <w:szCs w:val="24"/>
              <w:u w:val="single"/>
              <w:lang w:val="en-CA" w:eastAsia="en-CA"/>
            </w:rPr>
            <w:t>Notice of Shipment</w:t>
          </w:r>
          <w:r>
            <w:rPr>
              <w:lang w:val="en-CA" w:eastAsia="en-CA"/>
            </w:rPr>
            <w:tab/>
          </w:r>
          <w:hyperlink w:anchor="__RefHeading___Toc497548753">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3.10.4   </w:t>
          </w:r>
          <w:r>
            <w:rPr>
              <w:rFonts w:cs="Times New Roman" w:ascii="Times New Roman" w:hAnsi="Times New Roman"/>
              <w:sz w:val="22"/>
              <w:szCs w:val="24"/>
              <w:u w:val="single"/>
              <w:lang w:val="en-CA" w:eastAsia="en-CA"/>
            </w:rPr>
            <w:t>Compliance with Recommendation</w:t>
          </w:r>
          <w:r>
            <w:rPr>
              <w:lang w:val="en-CA" w:eastAsia="en-CA"/>
            </w:rPr>
            <w:tab/>
          </w:r>
          <w:hyperlink w:anchor="__RefHeading___Toc497548754">
            <w:r>
              <w:rPr>
                <w:rStyle w:val="IndexLink"/>
                <w:lang w:val="en-CA" w:eastAsia="en-CA"/>
              </w:rPr>
              <w:t>17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3.11  </w:t>
          </w:r>
          <w:r>
            <w:rPr>
              <w:rFonts w:cs="Times New Roman" w:ascii="Times New Roman" w:hAnsi="Times New Roman"/>
              <w:sz w:val="22"/>
              <w:szCs w:val="24"/>
              <w:u w:val="single"/>
              <w:lang w:val="en-CA" w:eastAsia="en-CA"/>
            </w:rPr>
            <w:t>Financing Assistance</w:t>
          </w:r>
          <w:r>
            <w:rPr>
              <w:lang w:val="en-CA" w:eastAsia="en-CA"/>
            </w:rPr>
            <w:tab/>
          </w:r>
          <w:hyperlink w:anchor="__RefHeading___Toc497548755">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3.12  </w:t>
          </w:r>
          <w:r>
            <w:rPr>
              <w:rFonts w:cs="Times New Roman" w:ascii="Times New Roman" w:hAnsi="Times New Roman"/>
              <w:sz w:val="22"/>
              <w:szCs w:val="24"/>
              <w:u w:val="single"/>
              <w:lang w:val="en-CA" w:eastAsia="en-CA"/>
            </w:rPr>
            <w:t>Purchaser Permit Support</w:t>
          </w:r>
          <w:r>
            <w:rPr>
              <w:lang w:val="en-CA" w:eastAsia="en-CA"/>
            </w:rPr>
            <w:tab/>
          </w:r>
          <w:hyperlink w:anchor="__RefHeading___Toc497548756">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3.13  </w:t>
          </w:r>
          <w:r>
            <w:rPr>
              <w:rFonts w:cs="Times New Roman" w:ascii="Times New Roman" w:hAnsi="Times New Roman"/>
              <w:sz w:val="22"/>
              <w:szCs w:val="24"/>
              <w:u w:val="single"/>
              <w:lang w:val="en-CA" w:eastAsia="en-CA"/>
            </w:rPr>
            <w:t>Not Used</w:t>
          </w:r>
          <w:r>
            <w:rPr>
              <w:lang w:val="en-CA" w:eastAsia="en-CA"/>
            </w:rPr>
            <w:tab/>
          </w:r>
          <w:hyperlink w:anchor="__RefHeading___Toc497548757">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  </w:t>
          </w:r>
          <w:r>
            <w:rPr>
              <w:rFonts w:cs="Times New Roman" w:ascii="Times New Roman" w:hAnsi="Times New Roman"/>
              <w:sz w:val="22"/>
              <w:szCs w:val="24"/>
              <w:u w:val="single"/>
              <w:lang w:val="en-CA" w:eastAsia="en-CA"/>
            </w:rPr>
            <w:t>Spare Parts</w:t>
          </w:r>
          <w:r>
            <w:rPr>
              <w:lang w:val="en-CA" w:eastAsia="en-CA"/>
            </w:rPr>
            <w:tab/>
          </w:r>
          <w:hyperlink w:anchor="__RefHeading___Toc497548758">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3.14.1   </w:t>
          </w:r>
          <w:r>
            <w:rPr>
              <w:rFonts w:cs="Times New Roman" w:ascii="Times New Roman" w:hAnsi="Times New Roman"/>
              <w:sz w:val="22"/>
              <w:szCs w:val="24"/>
              <w:u w:val="single"/>
              <w:lang w:val="en-CA" w:eastAsia="en-CA"/>
            </w:rPr>
            <w:t>Commissioning Spares</w:t>
          </w:r>
          <w:r>
            <w:rPr>
              <w:lang w:val="en-CA" w:eastAsia="en-CA"/>
            </w:rPr>
            <w:tab/>
          </w:r>
          <w:hyperlink w:anchor="__RefHeading___Toc497548759">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   </w:t>
          </w:r>
          <w:r>
            <w:rPr>
              <w:rFonts w:cs="Times New Roman" w:ascii="Times New Roman" w:hAnsi="Times New Roman"/>
              <w:sz w:val="22"/>
              <w:szCs w:val="24"/>
              <w:u w:val="single"/>
              <w:lang w:val="en-CA" w:eastAsia="en-CA"/>
            </w:rPr>
            <w:t>O &amp; M Spare Parts</w:t>
          </w:r>
          <w:r>
            <w:rPr>
              <w:lang w:val="en-CA" w:eastAsia="en-CA"/>
            </w:rPr>
            <w:tab/>
          </w:r>
          <w:hyperlink w:anchor="__RefHeading___Toc497548760">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3.14.2.1   </w:t>
          </w:r>
          <w:r>
            <w:rPr>
              <w:rFonts w:cs="Times New Roman" w:ascii="Times New Roman" w:hAnsi="Times New Roman"/>
              <w:sz w:val="22"/>
              <w:szCs w:val="24"/>
              <w:u w:val="single"/>
              <w:lang w:val="en-CA" w:eastAsia="en-CA"/>
            </w:rPr>
            <w:t>O &amp; M Spare Parts</w:t>
          </w:r>
          <w:r>
            <w:rPr>
              <w:lang w:val="en-CA" w:eastAsia="en-CA"/>
            </w:rPr>
            <w:tab/>
          </w:r>
          <w:hyperlink w:anchor="__RefHeading___Toc497548761">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3.14.2.2   </w:t>
          </w:r>
          <w:r>
            <w:rPr>
              <w:rFonts w:cs="Times New Roman" w:ascii="Times New Roman" w:hAnsi="Times New Roman"/>
              <w:sz w:val="22"/>
              <w:szCs w:val="24"/>
              <w:u w:val="single"/>
              <w:lang w:val="en-CA" w:eastAsia="en-CA"/>
            </w:rPr>
            <w:t>Purchase of O &amp; M Spare Parts</w:t>
          </w:r>
          <w:r>
            <w:rPr>
              <w:lang w:val="en-CA" w:eastAsia="en-CA"/>
            </w:rPr>
            <w:tab/>
          </w:r>
          <w:hyperlink w:anchor="__RefHeading___Toc497548762">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3.14.2.3   </w:t>
          </w:r>
          <w:r>
            <w:rPr>
              <w:rFonts w:cs="Times New Roman" w:ascii="Times New Roman" w:hAnsi="Times New Roman"/>
              <w:sz w:val="22"/>
              <w:szCs w:val="24"/>
              <w:u w:val="single"/>
              <w:lang w:val="en-CA" w:eastAsia="en-CA"/>
            </w:rPr>
            <w:t>Delivery of O &amp; M Spare Parts</w:t>
          </w:r>
          <w:r>
            <w:rPr>
              <w:lang w:val="en-CA" w:eastAsia="en-CA"/>
            </w:rPr>
            <w:tab/>
          </w:r>
          <w:hyperlink w:anchor="__RefHeading___Toc497548763">
            <w:r>
              <w:rPr>
                <w:rStyle w:val="IndexLink"/>
                <w:lang w:val="en-CA" w:eastAsia="en-CA"/>
              </w:rPr>
              <w:t>19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3.14.2.4   </w:t>
          </w:r>
          <w:r>
            <w:rPr>
              <w:rFonts w:cs="Times New Roman" w:ascii="Times New Roman" w:hAnsi="Times New Roman"/>
              <w:sz w:val="22"/>
              <w:szCs w:val="24"/>
              <w:u w:val="single"/>
              <w:lang w:val="en-CA" w:eastAsia="en-CA"/>
            </w:rPr>
            <w:t>Use of O &amp; M Spare Parts</w:t>
          </w:r>
          <w:r>
            <w:rPr>
              <w:lang w:val="en-CA" w:eastAsia="en-CA"/>
            </w:rPr>
            <w:tab/>
          </w:r>
          <w:hyperlink w:anchor="__RefHeading___Toc497548764">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3.15  </w:t>
          </w:r>
          <w:r>
            <w:rPr>
              <w:rFonts w:cs="Times New Roman" w:ascii="Times New Roman" w:hAnsi="Times New Roman"/>
              <w:sz w:val="22"/>
              <w:szCs w:val="24"/>
              <w:u w:val="single"/>
              <w:lang w:val="en-CA" w:eastAsia="en-CA"/>
            </w:rPr>
            <w:t>Key Personnel</w:t>
          </w:r>
          <w:r>
            <w:rPr>
              <w:lang w:val="en-CA" w:eastAsia="en-CA"/>
            </w:rPr>
            <w:tab/>
          </w:r>
          <w:hyperlink w:anchor="__RefHeading___Toc497548765">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3.16  </w:t>
          </w:r>
          <w:r>
            <w:rPr>
              <w:rFonts w:cs="Times New Roman" w:ascii="Times New Roman" w:hAnsi="Times New Roman"/>
              <w:sz w:val="22"/>
              <w:szCs w:val="24"/>
              <w:u w:val="single"/>
              <w:lang w:val="en-CA" w:eastAsia="en-CA"/>
            </w:rPr>
            <w:t>Project Planning and Control</w:t>
          </w:r>
          <w:r>
            <w:rPr>
              <w:lang w:val="en-CA" w:eastAsia="en-CA"/>
            </w:rPr>
            <w:tab/>
          </w:r>
          <w:hyperlink w:anchor="__RefHeading___Toc497548766">
            <w:r>
              <w:rPr>
                <w:rStyle w:val="IndexLink"/>
                <w:lang w:val="en-CA" w:eastAsia="en-CA"/>
              </w:rPr>
              <w:t>29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IV.  </w:t>
          </w:r>
          <w:r>
            <w:rPr>
              <w:rFonts w:cs="Times New Roman" w:ascii="Times New Roman" w:hAnsi="Times New Roman"/>
              <w:sz w:val="22"/>
              <w:szCs w:val="24"/>
              <w:u w:val="single"/>
            </w:rPr>
            <w:t>REPRESENTATIONS AND WARRANTIES</w:t>
          </w:r>
          <w:r>
            <w:rPr/>
            <w:tab/>
          </w:r>
          <w:hyperlink w:anchor="__RefHeading___Toc497548767">
            <w:r>
              <w:rPr>
                <w:rStyle w:val="IndexLink"/>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4.1   </w:t>
          </w:r>
          <w:r>
            <w:rPr>
              <w:rFonts w:cs="Times New Roman" w:ascii="Times New Roman" w:hAnsi="Times New Roman"/>
              <w:sz w:val="22"/>
              <w:szCs w:val="24"/>
              <w:u w:val="single"/>
              <w:lang w:val="en-CA" w:eastAsia="en-CA"/>
            </w:rPr>
            <w:t>Representations and Warranties of Purchaser</w:t>
          </w:r>
          <w:r>
            <w:rPr>
              <w:lang w:val="en-CA" w:eastAsia="en-CA"/>
            </w:rPr>
            <w:tab/>
          </w:r>
          <w:hyperlink w:anchor="__RefHeading___Toc497548768">
            <w:r>
              <w:rPr>
                <w:rStyle w:val="IndexLink"/>
                <w:lang w:val="en-CA" w:eastAsia="en-CA"/>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4.2   </w:t>
          </w:r>
          <w:r>
            <w:rPr>
              <w:rFonts w:cs="Times New Roman" w:ascii="Times New Roman" w:hAnsi="Times New Roman"/>
              <w:sz w:val="22"/>
              <w:szCs w:val="24"/>
              <w:u w:val="single"/>
              <w:lang w:val="en-CA" w:eastAsia="en-CA"/>
            </w:rPr>
            <w:t>Purchaser Supplied Information</w:t>
          </w:r>
          <w:r>
            <w:rPr>
              <w:lang w:val="en-CA" w:eastAsia="en-CA"/>
            </w:rPr>
            <w:tab/>
          </w:r>
          <w:hyperlink w:anchor="__RefHeading___Toc497548769">
            <w:r>
              <w:rPr>
                <w:rStyle w:val="IndexLink"/>
                <w:lang w:val="en-CA" w:eastAsia="en-CA"/>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4.3   </w:t>
          </w:r>
          <w:r>
            <w:rPr>
              <w:rFonts w:cs="Times New Roman" w:ascii="Times New Roman" w:hAnsi="Times New Roman"/>
              <w:sz w:val="22"/>
              <w:szCs w:val="24"/>
              <w:u w:val="single"/>
              <w:lang w:val="en-CA" w:eastAsia="en-CA"/>
            </w:rPr>
            <w:t>Representations and Warranties of Seller</w:t>
          </w:r>
          <w:r>
            <w:rPr>
              <w:lang w:val="en-CA" w:eastAsia="en-CA"/>
            </w:rPr>
            <w:tab/>
          </w:r>
          <w:hyperlink w:anchor="__RefHeading___Toc497548770">
            <w:r>
              <w:rPr>
                <w:rStyle w:val="IndexLink"/>
                <w:lang w:val="en-CA" w:eastAsia="en-CA"/>
              </w:rPr>
              <w:t>20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  </w:t>
          </w:r>
          <w:r>
            <w:rPr>
              <w:rFonts w:cs="Times New Roman" w:ascii="Times New Roman" w:hAnsi="Times New Roman"/>
              <w:sz w:val="22"/>
              <w:szCs w:val="24"/>
              <w:u w:val="single"/>
            </w:rPr>
            <w:t>PURCHASE AMOUNT AND OTHER CHARGES</w:t>
          </w:r>
          <w:r>
            <w:rPr/>
            <w:tab/>
          </w:r>
          <w:hyperlink w:anchor="__RefHeading___Toc497548771">
            <w:r>
              <w:rPr>
                <w:rStyle w:val="IndexLink"/>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   </w:t>
          </w:r>
          <w:r>
            <w:rPr>
              <w:rFonts w:cs="Times New Roman" w:ascii="Times New Roman" w:hAnsi="Times New Roman"/>
              <w:sz w:val="22"/>
              <w:szCs w:val="24"/>
              <w:u w:val="single"/>
              <w:lang w:val="en-CA" w:eastAsia="en-CA"/>
            </w:rPr>
            <w:t>Purchase Amount</w:t>
          </w:r>
          <w:r>
            <w:rPr>
              <w:lang w:val="en-CA" w:eastAsia="en-CA"/>
            </w:rPr>
            <w:tab/>
          </w:r>
          <w:hyperlink w:anchor="__RefHeading___Toc497548772">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5.1.1   </w:t>
          </w:r>
          <w:r>
            <w:rPr>
              <w:rFonts w:cs="Times New Roman" w:ascii="Times New Roman" w:hAnsi="Times New Roman"/>
              <w:sz w:val="22"/>
              <w:szCs w:val="24"/>
              <w:u w:val="single"/>
              <w:lang w:val="en-CA" w:eastAsia="en-CA"/>
            </w:rPr>
            <w:t>Purchase Amount</w:t>
          </w:r>
          <w:r>
            <w:rPr>
              <w:lang w:val="en-CA" w:eastAsia="en-CA"/>
            </w:rPr>
            <w:tab/>
          </w:r>
          <w:hyperlink w:anchor="__RefHeading___Toc497548773">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   </w:t>
          </w:r>
          <w:r>
            <w:rPr>
              <w:rFonts w:cs="Times New Roman" w:ascii="Times New Roman" w:hAnsi="Times New Roman"/>
              <w:sz w:val="22"/>
              <w:szCs w:val="24"/>
              <w:u w:val="single"/>
              <w:lang w:val="en-CA" w:eastAsia="en-CA"/>
            </w:rPr>
            <w:t>Taxes and Contributions</w:t>
          </w:r>
          <w:r>
            <w:rPr>
              <w:lang w:val="en-CA" w:eastAsia="en-CA"/>
            </w:rPr>
            <w:tab/>
          </w:r>
          <w:hyperlink w:anchor="__RefHeading___Toc497548774">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5.2.1   </w:t>
          </w:r>
          <w:r>
            <w:rPr>
              <w:rFonts w:cs="Times New Roman" w:ascii="Times New Roman" w:hAnsi="Times New Roman"/>
              <w:sz w:val="22"/>
              <w:szCs w:val="24"/>
              <w:u w:val="single"/>
              <w:lang w:val="en-CA" w:eastAsia="en-CA"/>
            </w:rPr>
            <w:t>Seller Responsibility for Personnel Taxes</w:t>
          </w:r>
          <w:r>
            <w:rPr>
              <w:lang w:val="en-CA" w:eastAsia="en-CA"/>
            </w:rPr>
            <w:tab/>
          </w:r>
          <w:hyperlink w:anchor="__RefHeading___Toc497548775">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5.2.2   </w:t>
          </w:r>
          <w:r>
            <w:rPr>
              <w:rFonts w:cs="Times New Roman" w:ascii="Times New Roman" w:hAnsi="Times New Roman"/>
              <w:sz w:val="22"/>
              <w:szCs w:val="24"/>
              <w:u w:val="single"/>
              <w:lang w:val="en-CA" w:eastAsia="en-CA"/>
            </w:rPr>
            <w:t>Seller’s Responsibility for Taxes</w:t>
          </w:r>
          <w:r>
            <w:rPr>
              <w:lang w:val="en-CA" w:eastAsia="en-CA"/>
            </w:rPr>
            <w:tab/>
          </w:r>
          <w:hyperlink w:anchor="__RefHeading___Toc497548776">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5.2.3   </w:t>
          </w:r>
          <w:r>
            <w:rPr>
              <w:rFonts w:cs="Times New Roman" w:ascii="Times New Roman" w:hAnsi="Times New Roman"/>
              <w:sz w:val="22"/>
              <w:szCs w:val="24"/>
              <w:u w:val="single"/>
              <w:lang w:val="en-CA" w:eastAsia="en-CA"/>
            </w:rPr>
            <w:t>Not Used</w:t>
          </w:r>
          <w:r>
            <w:rPr>
              <w:lang w:val="en-CA" w:eastAsia="en-CA"/>
            </w:rPr>
            <w:tab/>
          </w:r>
          <w:hyperlink w:anchor="__RefHeading___Toc497548777">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5.2.4   </w:t>
          </w:r>
          <w:r>
            <w:rPr>
              <w:rFonts w:cs="Times New Roman" w:ascii="Times New Roman" w:hAnsi="Times New Roman"/>
              <w:sz w:val="22"/>
              <w:szCs w:val="24"/>
              <w:u w:val="single"/>
              <w:lang w:val="en-CA" w:eastAsia="en-CA"/>
            </w:rPr>
            <w:t>Tax Penalties</w:t>
          </w:r>
          <w:r>
            <w:rPr>
              <w:lang w:val="en-CA" w:eastAsia="en-CA"/>
            </w:rPr>
            <w:tab/>
          </w:r>
          <w:hyperlink w:anchor="__RefHeading___Toc497548778">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5.3   </w:t>
          </w:r>
          <w:r>
            <w:rPr>
              <w:rFonts w:cs="Times New Roman" w:ascii="Times New Roman" w:hAnsi="Times New Roman"/>
              <w:sz w:val="22"/>
              <w:szCs w:val="24"/>
              <w:u w:val="single"/>
              <w:lang w:val="en-CA" w:eastAsia="en-CA"/>
            </w:rPr>
            <w:t>Changes to the Purchase Amount</w:t>
          </w:r>
          <w:r>
            <w:rPr>
              <w:lang w:val="en-CA" w:eastAsia="en-CA"/>
            </w:rPr>
            <w:tab/>
          </w:r>
          <w:hyperlink w:anchor="__RefHeading___Toc497548779">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   </w:t>
          </w:r>
          <w:r>
            <w:rPr>
              <w:rFonts w:cs="Times New Roman" w:ascii="Times New Roman" w:hAnsi="Times New Roman"/>
              <w:sz w:val="22"/>
              <w:szCs w:val="24"/>
              <w:u w:val="single"/>
              <w:lang w:val="en-CA" w:eastAsia="en-CA"/>
            </w:rPr>
            <w:t>Cancellation</w:t>
          </w:r>
          <w:r>
            <w:rPr>
              <w:lang w:val="en-CA" w:eastAsia="en-CA"/>
            </w:rPr>
            <w:tab/>
          </w:r>
          <w:hyperlink w:anchor="__RefHeading___Toc497548780">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5.4.1   </w:t>
          </w:r>
          <w:r>
            <w:rPr>
              <w:rFonts w:cs="Times New Roman" w:ascii="Times New Roman" w:hAnsi="Times New Roman"/>
              <w:sz w:val="22"/>
              <w:szCs w:val="24"/>
              <w:u w:val="single"/>
              <w:lang w:val="en-CA" w:eastAsia="en-CA"/>
            </w:rPr>
            <w:t>Cancellation by Purchaser</w:t>
          </w:r>
          <w:r>
            <w:rPr>
              <w:lang w:val="en-CA" w:eastAsia="en-CA"/>
            </w:rPr>
            <w:tab/>
          </w:r>
          <w:hyperlink w:anchor="__RefHeading___Toc497548781">
            <w:r>
              <w:rPr>
                <w:rStyle w:val="IndexLink"/>
                <w:lang w:val="en-CA" w:eastAsia="en-CA"/>
              </w:rPr>
              <w:t>24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  </w:t>
          </w:r>
          <w:r>
            <w:rPr>
              <w:rFonts w:cs="Times New Roman" w:ascii="Times New Roman" w:hAnsi="Times New Roman"/>
              <w:sz w:val="22"/>
              <w:szCs w:val="24"/>
              <w:u w:val="single"/>
            </w:rPr>
            <w:t>PAYMENT TERMS</w:t>
          </w:r>
          <w:r>
            <w:rPr/>
            <w:tab/>
          </w:r>
          <w:hyperlink w:anchor="__RefHeading___Toc497548782">
            <w:r>
              <w:rPr>
                <w:rStyle w:val="IndexLink"/>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   </w:t>
          </w:r>
          <w:r>
            <w:rPr>
              <w:rFonts w:cs="Times New Roman" w:ascii="Times New Roman" w:hAnsi="Times New Roman"/>
              <w:sz w:val="22"/>
              <w:szCs w:val="24"/>
              <w:u w:val="single"/>
              <w:lang w:val="en-CA" w:eastAsia="en-CA"/>
            </w:rPr>
            <w:t>Payment of Purchase Amount</w:t>
          </w:r>
          <w:r>
            <w:rPr>
              <w:lang w:val="en-CA" w:eastAsia="en-CA"/>
            </w:rPr>
            <w:tab/>
          </w:r>
          <w:hyperlink w:anchor="__RefHeading___Toc497548783">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6.1.1   </w:t>
          </w:r>
          <w:r>
            <w:rPr>
              <w:rFonts w:cs="Times New Roman" w:ascii="Times New Roman" w:hAnsi="Times New Roman"/>
              <w:sz w:val="22"/>
              <w:szCs w:val="24"/>
              <w:u w:val="single"/>
              <w:lang w:val="en-CA" w:eastAsia="en-CA"/>
            </w:rPr>
            <w:t>Payment Periods</w:t>
          </w:r>
          <w:r>
            <w:rPr>
              <w:rFonts w:cs="Times New Roman" w:ascii="Times New Roman" w:hAnsi="Times New Roman"/>
              <w:sz w:val="22"/>
              <w:szCs w:val="24"/>
              <w:lang w:val="en-CA" w:eastAsia="en-CA"/>
            </w:rPr>
            <w:t>.</w:t>
          </w:r>
          <w:r>
            <w:rPr>
              <w:lang w:val="en-CA" w:eastAsia="en-CA"/>
            </w:rPr>
            <w:tab/>
          </w:r>
          <w:hyperlink w:anchor="__RefHeading___Toc497548784">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6.1.4   Not Used</w:t>
          </w:r>
          <w:r>
            <w:rPr>
              <w:lang w:val="en-CA" w:eastAsia="en-CA"/>
            </w:rPr>
            <w:tab/>
          </w:r>
          <w:hyperlink w:anchor="__RefHeading___Toc497548785">
            <w:r>
              <w:rPr>
                <w:rStyle w:val="IndexLink"/>
                <w:lang w:val="en-CA" w:eastAsia="en-CA"/>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6.2   </w:t>
          </w:r>
          <w:r>
            <w:rPr>
              <w:rFonts w:cs="Times New Roman" w:ascii="Times New Roman" w:hAnsi="Times New Roman"/>
              <w:sz w:val="22"/>
              <w:szCs w:val="24"/>
              <w:u w:val="single"/>
              <w:lang w:val="en-CA" w:eastAsia="en-CA"/>
            </w:rPr>
            <w:t>Payment Disputes</w:t>
          </w:r>
          <w:r>
            <w:rPr>
              <w:lang w:val="en-CA" w:eastAsia="en-CA"/>
            </w:rPr>
            <w:tab/>
          </w:r>
          <w:hyperlink w:anchor="__RefHeading___Toc497548786">
            <w:r>
              <w:rPr>
                <w:rStyle w:val="IndexLink"/>
                <w:lang w:val="en-CA" w:eastAsia="en-CA"/>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   </w:t>
          </w:r>
          <w:r>
            <w:rPr>
              <w:rFonts w:cs="Times New Roman" w:ascii="Times New Roman" w:hAnsi="Times New Roman"/>
              <w:sz w:val="22"/>
              <w:szCs w:val="24"/>
              <w:u w:val="single"/>
              <w:lang w:val="en-CA" w:eastAsia="en-CA"/>
            </w:rPr>
            <w:t>Payments Withheld or Offset</w:t>
          </w:r>
          <w:r>
            <w:rPr>
              <w:lang w:val="en-CA" w:eastAsia="en-CA"/>
            </w:rPr>
            <w:tab/>
          </w:r>
          <w:hyperlink w:anchor="__RefHeading___Toc497548787">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6.3.1   </w:t>
          </w:r>
          <w:r>
            <w:rPr>
              <w:rFonts w:cs="Times New Roman" w:ascii="Times New Roman" w:hAnsi="Times New Roman"/>
              <w:sz w:val="22"/>
              <w:szCs w:val="24"/>
              <w:u w:val="single"/>
              <w:lang w:val="en-CA" w:eastAsia="en-CA"/>
            </w:rPr>
            <w:t>Payments Withheld</w:t>
          </w:r>
          <w:r>
            <w:rPr>
              <w:lang w:val="en-CA" w:eastAsia="en-CA"/>
            </w:rPr>
            <w:tab/>
          </w:r>
          <w:hyperlink w:anchor="__RefHeading___Toc497548788">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6.3.3   </w:t>
          </w:r>
          <w:r>
            <w:rPr>
              <w:rFonts w:cs="Times New Roman" w:ascii="Times New Roman" w:hAnsi="Times New Roman"/>
              <w:sz w:val="22"/>
              <w:szCs w:val="24"/>
              <w:u w:val="single"/>
              <w:lang w:val="en-CA" w:eastAsia="en-CA"/>
            </w:rPr>
            <w:t>Payment of Subcontractors</w:t>
          </w:r>
          <w:r>
            <w:rPr>
              <w:rFonts w:cs="Times New Roman" w:ascii="Times New Roman" w:hAnsi="Times New Roman"/>
              <w:sz w:val="22"/>
              <w:szCs w:val="24"/>
              <w:lang w:val="en-CA" w:eastAsia="en-CA"/>
            </w:rPr>
            <w:t>.</w:t>
          </w:r>
          <w:r>
            <w:rPr>
              <w:lang w:val="en-CA" w:eastAsia="en-CA"/>
            </w:rPr>
            <w:tab/>
          </w:r>
          <w:hyperlink w:anchor="__RefHeading___Toc497548789">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6.4   Payment of Liquidated Damages</w:t>
          </w:r>
          <w:r>
            <w:rPr>
              <w:lang w:val="en-CA" w:eastAsia="en-CA"/>
            </w:rPr>
            <w:tab/>
          </w:r>
          <w:hyperlink w:anchor="__RefHeading___Toc497548790">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6.5   </w:t>
          </w:r>
          <w:r>
            <w:rPr>
              <w:rFonts w:cs="Times New Roman" w:ascii="Times New Roman" w:hAnsi="Times New Roman"/>
              <w:sz w:val="22"/>
              <w:szCs w:val="24"/>
              <w:u w:val="single"/>
              <w:lang w:val="en-CA" w:eastAsia="en-CA"/>
            </w:rPr>
            <w:t>Notices of Nonpayment</w:t>
          </w:r>
          <w:r>
            <w:rPr>
              <w:lang w:val="en-CA" w:eastAsia="en-CA"/>
            </w:rPr>
            <w:tab/>
          </w:r>
          <w:hyperlink w:anchor="__RefHeading___Toc497548791">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6.6   </w:t>
          </w:r>
          <w:r>
            <w:rPr>
              <w:rFonts w:cs="Times New Roman" w:ascii="Times New Roman" w:hAnsi="Times New Roman"/>
              <w:sz w:val="22"/>
              <w:szCs w:val="24"/>
              <w:u w:val="single"/>
              <w:lang w:val="en-CA" w:eastAsia="en-CA"/>
            </w:rPr>
            <w:t>Lien Release</w:t>
          </w:r>
          <w:r>
            <w:rPr>
              <w:lang w:val="en-CA" w:eastAsia="en-CA"/>
            </w:rPr>
            <w:tab/>
          </w:r>
          <w:hyperlink w:anchor="__RefHeading___Toc497548792">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   </w:t>
          </w:r>
          <w:r>
            <w:rPr>
              <w:rFonts w:cs="Times New Roman" w:ascii="Times New Roman" w:hAnsi="Times New Roman"/>
              <w:sz w:val="22"/>
              <w:szCs w:val="24"/>
              <w:u w:val="single"/>
              <w:lang w:val="en-CA" w:eastAsia="en-CA"/>
            </w:rPr>
            <w:t>Invoices</w:t>
          </w:r>
          <w:r>
            <w:rPr>
              <w:lang w:val="en-CA" w:eastAsia="en-CA"/>
            </w:rPr>
            <w:tab/>
          </w:r>
          <w:hyperlink w:anchor="__RefHeading___Toc497548793">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6.7.1   </w:t>
          </w:r>
          <w:r>
            <w:rPr>
              <w:rFonts w:cs="Times New Roman" w:ascii="Times New Roman" w:hAnsi="Times New Roman"/>
              <w:sz w:val="22"/>
              <w:szCs w:val="24"/>
              <w:u w:val="single"/>
              <w:lang w:val="en-CA" w:eastAsia="en-CA"/>
            </w:rPr>
            <w:t>Contract Reference</w:t>
          </w:r>
          <w:r>
            <w:rPr>
              <w:lang w:val="en-CA" w:eastAsia="en-CA"/>
            </w:rPr>
            <w:tab/>
          </w:r>
          <w:hyperlink w:anchor="__RefHeading___Toc497548794">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6.7.2   </w:t>
          </w:r>
          <w:r>
            <w:rPr>
              <w:rFonts w:cs="Times New Roman" w:ascii="Times New Roman" w:hAnsi="Times New Roman"/>
              <w:sz w:val="22"/>
              <w:szCs w:val="24"/>
              <w:u w:val="single"/>
              <w:lang w:val="en-CA" w:eastAsia="en-CA"/>
            </w:rPr>
            <w:t>Address for Invoices</w:t>
          </w:r>
          <w:r>
            <w:rPr>
              <w:lang w:val="en-CA" w:eastAsia="en-CA"/>
            </w:rPr>
            <w:tab/>
          </w:r>
          <w:hyperlink w:anchor="__RefHeading___Toc497548795">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6.7.3   </w:t>
          </w:r>
          <w:r>
            <w:rPr>
              <w:rFonts w:cs="Times New Roman" w:ascii="Times New Roman" w:hAnsi="Times New Roman"/>
              <w:sz w:val="22"/>
              <w:szCs w:val="24"/>
              <w:u w:val="single"/>
              <w:lang w:val="en-CA" w:eastAsia="en-CA"/>
            </w:rPr>
            <w:t>Date of Receipt</w:t>
          </w:r>
          <w:r>
            <w:rPr>
              <w:lang w:val="en-CA" w:eastAsia="en-CA"/>
            </w:rPr>
            <w:tab/>
          </w:r>
          <w:hyperlink w:anchor="__RefHeading___Toc497548796">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6.8   </w:t>
          </w:r>
          <w:r>
            <w:rPr>
              <w:rFonts w:cs="Times New Roman" w:ascii="Times New Roman" w:hAnsi="Times New Roman"/>
              <w:sz w:val="22"/>
              <w:szCs w:val="24"/>
              <w:u w:val="single"/>
              <w:lang w:val="en-CA" w:eastAsia="en-CA"/>
            </w:rPr>
            <w:t>Method of Payment</w:t>
          </w:r>
          <w:r>
            <w:rPr>
              <w:lang w:val="en-CA" w:eastAsia="en-CA"/>
            </w:rPr>
            <w:tab/>
          </w:r>
          <w:hyperlink w:anchor="__RefHeading___Toc497548797">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6.9   </w:t>
          </w:r>
          <w:r>
            <w:rPr>
              <w:rFonts w:cs="Times New Roman" w:ascii="Times New Roman" w:hAnsi="Times New Roman"/>
              <w:sz w:val="22"/>
              <w:szCs w:val="24"/>
              <w:u w:val="single"/>
              <w:lang w:val="en-CA" w:eastAsia="en-CA"/>
            </w:rPr>
            <w:t>Payments Not Acceptance of Work</w:t>
          </w:r>
          <w:r>
            <w:rPr>
              <w:lang w:val="en-CA" w:eastAsia="en-CA"/>
            </w:rPr>
            <w:tab/>
          </w:r>
          <w:hyperlink w:anchor="__RefHeading___Toc497548798">
            <w:r>
              <w:rPr>
                <w:rStyle w:val="IndexLink"/>
                <w:lang w:val="en-CA" w:eastAsia="en-CA"/>
              </w:rPr>
              <w:t>27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  </w:t>
          </w:r>
          <w:r>
            <w:rPr>
              <w:rFonts w:cs="Times New Roman" w:ascii="Times New Roman" w:hAnsi="Times New Roman"/>
              <w:sz w:val="22"/>
              <w:szCs w:val="24"/>
              <w:u w:val="single"/>
            </w:rPr>
            <w:t>EFFECTIVE DATE, COMMENCEMENT OF THE WORK, TERMINATION</w:t>
          </w:r>
          <w:r>
            <w:rPr/>
            <w:tab/>
          </w:r>
          <w:hyperlink w:anchor="__RefHeading___Toc497548799">
            <w:r>
              <w:rPr>
                <w:rStyle w:val="IndexLink"/>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7.1   </w:t>
          </w:r>
          <w:r>
            <w:rPr>
              <w:rFonts w:cs="Times New Roman" w:ascii="Times New Roman" w:hAnsi="Times New Roman"/>
              <w:sz w:val="22"/>
              <w:szCs w:val="24"/>
              <w:u w:val="single"/>
              <w:lang w:val="en-CA" w:eastAsia="en-CA"/>
            </w:rPr>
            <w:t>Effective Date</w:t>
          </w:r>
          <w:r>
            <w:rPr>
              <w:lang w:val="en-CA" w:eastAsia="en-CA"/>
            </w:rPr>
            <w:tab/>
          </w:r>
          <w:hyperlink w:anchor="__RefHeading___Toc497548800">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u w:val="single"/>
              <w:lang w:val="en-CA" w:eastAsia="en-CA"/>
            </w:rPr>
            <w:t>7.2   Commencement of Work</w:t>
          </w:r>
          <w:r>
            <w:rPr>
              <w:lang w:val="en-CA" w:eastAsia="en-CA"/>
            </w:rPr>
            <w:tab/>
          </w:r>
          <w:hyperlink w:anchor="__RefHeading___Toc497548801">
            <w:r>
              <w:rPr>
                <w:rStyle w:val="IndexLink"/>
                <w:lang w:val="en-CA" w:eastAsia="en-CA"/>
              </w:rPr>
              <w:t>28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IX.  </w:t>
          </w:r>
          <w:r>
            <w:rPr>
              <w:rFonts w:cs="Times New Roman" w:ascii="Times New Roman" w:hAnsi="Times New Roman"/>
              <w:sz w:val="22"/>
              <w:szCs w:val="24"/>
              <w:u w:val="single"/>
            </w:rPr>
            <w:t>INSPECTION AND CORRECTION OF WORK</w:t>
          </w:r>
          <w:r>
            <w:rPr/>
            <w:tab/>
          </w:r>
          <w:hyperlink w:anchor="__RefHeading___Toc497548802">
            <w:r>
              <w:rPr>
                <w:rStyle w:val="IndexLink"/>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9.1   </w:t>
          </w:r>
          <w:r>
            <w:rPr>
              <w:rFonts w:cs="Times New Roman" w:ascii="Times New Roman" w:hAnsi="Times New Roman"/>
              <w:sz w:val="22"/>
              <w:szCs w:val="24"/>
              <w:u w:val="single"/>
              <w:lang w:val="en-CA" w:eastAsia="en-CA"/>
            </w:rPr>
            <w:t>Inspections</w:t>
          </w:r>
          <w:r>
            <w:rPr>
              <w:lang w:val="en-CA" w:eastAsia="en-CA"/>
            </w:rPr>
            <w:tab/>
          </w:r>
          <w:hyperlink w:anchor="__RefHeading___Toc497548803">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9.2   </w:t>
          </w:r>
          <w:r>
            <w:rPr>
              <w:rFonts w:cs="Times New Roman" w:ascii="Times New Roman" w:hAnsi="Times New Roman"/>
              <w:sz w:val="22"/>
              <w:szCs w:val="24"/>
              <w:u w:val="single"/>
              <w:lang w:val="en-CA" w:eastAsia="en-CA"/>
            </w:rPr>
            <w:t>Resident Facilities</w:t>
          </w:r>
          <w:r>
            <w:rPr>
              <w:lang w:val="en-CA" w:eastAsia="en-CA"/>
            </w:rPr>
            <w:tab/>
          </w:r>
          <w:hyperlink w:anchor="__RefHeading___Toc497548804">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9.3   </w:t>
          </w:r>
          <w:r>
            <w:rPr>
              <w:rFonts w:cs="Times New Roman" w:ascii="Times New Roman" w:hAnsi="Times New Roman"/>
              <w:sz w:val="22"/>
              <w:szCs w:val="24"/>
              <w:u w:val="single"/>
              <w:lang w:val="en-CA" w:eastAsia="en-CA"/>
            </w:rPr>
            <w:t>Quality Plan</w:t>
          </w:r>
          <w:r>
            <w:rPr>
              <w:lang w:val="en-CA" w:eastAsia="en-CA"/>
            </w:rPr>
            <w:tab/>
          </w:r>
          <w:hyperlink w:anchor="__RefHeading___Toc497548805">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9.4   </w:t>
          </w:r>
          <w:r>
            <w:rPr>
              <w:rFonts w:cs="Times New Roman" w:ascii="Times New Roman" w:hAnsi="Times New Roman"/>
              <w:sz w:val="22"/>
              <w:szCs w:val="24"/>
              <w:u w:val="single"/>
              <w:lang w:val="en-CA" w:eastAsia="en-CA"/>
            </w:rPr>
            <w:t>Notice</w:t>
          </w:r>
          <w:r>
            <w:rPr>
              <w:lang w:val="en-CA" w:eastAsia="en-CA"/>
            </w:rPr>
            <w:tab/>
          </w:r>
          <w:hyperlink w:anchor="__RefHeading___Toc497548806">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9.5   </w:t>
          </w:r>
          <w:r>
            <w:rPr>
              <w:rFonts w:cs="Times New Roman" w:ascii="Times New Roman" w:hAnsi="Times New Roman"/>
              <w:sz w:val="22"/>
              <w:szCs w:val="24"/>
              <w:u w:val="single"/>
              <w:lang w:val="en-CA" w:eastAsia="en-CA"/>
            </w:rPr>
            <w:t>Correction of Equipment</w:t>
          </w:r>
          <w:r>
            <w:rPr>
              <w:lang w:val="en-CA" w:eastAsia="en-CA"/>
            </w:rPr>
            <w:tab/>
          </w:r>
          <w:hyperlink w:anchor="__RefHeading___Toc497548807">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9.6   </w:t>
          </w:r>
          <w:r>
            <w:rPr>
              <w:rFonts w:cs="Times New Roman" w:ascii="Times New Roman" w:hAnsi="Times New Roman"/>
              <w:sz w:val="22"/>
              <w:szCs w:val="24"/>
              <w:u w:val="single"/>
              <w:lang w:val="en-CA" w:eastAsia="en-CA"/>
            </w:rPr>
            <w:t>Not Used</w:t>
          </w:r>
          <w:r>
            <w:rPr>
              <w:lang w:val="en-CA" w:eastAsia="en-CA"/>
            </w:rPr>
            <w:tab/>
          </w:r>
          <w:hyperlink w:anchor="__RefHeading___Toc497548808">
            <w:r>
              <w:rPr>
                <w:rStyle w:val="IndexLink"/>
                <w:lang w:val="en-CA" w:eastAsia="en-CA"/>
              </w:rPr>
              <w:t>31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9.7   </w:t>
          </w:r>
          <w:r>
            <w:rPr>
              <w:rFonts w:cs="Times New Roman" w:ascii="Times New Roman" w:hAnsi="Times New Roman"/>
              <w:sz w:val="22"/>
              <w:szCs w:val="24"/>
              <w:u w:val="single"/>
              <w:lang w:val="en-CA" w:eastAsia="en-CA"/>
            </w:rPr>
            <w:t>Release for Delivery</w:t>
          </w:r>
          <w:r>
            <w:rPr>
              <w:lang w:val="en-CA" w:eastAsia="en-CA"/>
            </w:rPr>
            <w:tab/>
          </w:r>
          <w:hyperlink w:anchor="__RefHeading___Toc497548809">
            <w:r>
              <w:rPr>
                <w:rStyle w:val="IndexLink"/>
                <w:lang w:val="en-CA" w:eastAsia="en-CA"/>
              </w:rPr>
              <w:t>31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  </w:t>
          </w:r>
          <w:r>
            <w:rPr>
              <w:rFonts w:cs="Times New Roman" w:ascii="Times New Roman" w:hAnsi="Times New Roman"/>
              <w:sz w:val="22"/>
              <w:szCs w:val="24"/>
              <w:u w:val="single"/>
            </w:rPr>
            <w:t>DELIVERY AND PERFORMANCE</w:t>
          </w:r>
          <w:r>
            <w:rPr/>
            <w:tab/>
          </w:r>
          <w:hyperlink w:anchor="__RefHeading___Toc497548810">
            <w:r>
              <w:rPr>
                <w:rStyle w:val="IndexLink"/>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   </w:t>
          </w:r>
          <w:r>
            <w:rPr>
              <w:rFonts w:cs="Times New Roman" w:ascii="Times New Roman" w:hAnsi="Times New Roman"/>
              <w:sz w:val="22"/>
              <w:szCs w:val="24"/>
              <w:u w:val="single"/>
              <w:lang w:val="en-CA" w:eastAsia="en-CA"/>
            </w:rPr>
            <w:t>Delivery of Documentation</w:t>
          </w:r>
          <w:r>
            <w:rPr>
              <w:lang w:val="en-CA" w:eastAsia="en-CA"/>
            </w:rPr>
            <w:tab/>
          </w:r>
          <w:hyperlink w:anchor="__RefHeading___Toc497548811">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   </w:t>
          </w:r>
          <w:r>
            <w:rPr>
              <w:rFonts w:cs="Times New Roman" w:ascii="Times New Roman" w:hAnsi="Times New Roman"/>
              <w:sz w:val="22"/>
              <w:szCs w:val="24"/>
              <w:u w:val="single"/>
              <w:lang w:val="en-CA" w:eastAsia="en-CA"/>
            </w:rPr>
            <w:t>Delivery and Installation of Equipment</w:t>
          </w:r>
          <w:r>
            <w:rPr>
              <w:lang w:val="en-CA" w:eastAsia="en-CA"/>
            </w:rPr>
            <w:tab/>
          </w:r>
          <w:hyperlink w:anchor="__RefHeading___Toc497548812">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   Guaranteed </w:t>
          </w:r>
          <w:r>
            <w:rPr>
              <w:rFonts w:cs="Times New Roman" w:ascii="Times New Roman" w:hAnsi="Times New Roman"/>
              <w:sz w:val="22"/>
              <w:szCs w:val="24"/>
              <w:u w:val="single"/>
              <w:lang w:val="en-CA" w:eastAsia="en-CA"/>
            </w:rPr>
            <w:t>Installation Date</w:t>
          </w:r>
          <w:r>
            <w:rPr>
              <w:lang w:val="en-CA" w:eastAsia="en-CA"/>
            </w:rPr>
            <w:tab/>
          </w:r>
          <w:hyperlink w:anchor="__RefHeading___Toc497548813">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10.2.1.2   </w:t>
          </w:r>
          <w:r>
            <w:rPr>
              <w:rFonts w:cs="Times New Roman" w:ascii="Times New Roman" w:hAnsi="Times New Roman"/>
              <w:sz w:val="22"/>
              <w:szCs w:val="24"/>
              <w:u w:val="single"/>
              <w:lang w:val="en-CA" w:eastAsia="en-CA"/>
            </w:rPr>
            <w:t>Delivery Restrictions</w:t>
          </w:r>
          <w:r>
            <w:rPr>
              <w:lang w:val="en-CA" w:eastAsia="en-CA"/>
            </w:rPr>
            <w:tab/>
          </w:r>
          <w:hyperlink w:anchor="__RefHeading___Toc497548814">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10.2.5   </w:t>
          </w:r>
          <w:r>
            <w:rPr>
              <w:rFonts w:cs="Times New Roman" w:ascii="Times New Roman" w:hAnsi="Times New Roman"/>
              <w:sz w:val="22"/>
              <w:szCs w:val="24"/>
              <w:u w:val="single"/>
              <w:lang w:val="en-CA" w:eastAsia="en-CA"/>
            </w:rPr>
            <w:t>Extensions of the Guaranteed Installation Date</w:t>
          </w:r>
          <w:r>
            <w:rPr>
              <w:lang w:val="en-CA" w:eastAsia="en-CA"/>
            </w:rPr>
            <w:tab/>
          </w:r>
          <w:hyperlink w:anchor="__RefHeading___Toc497548815">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10.2.6   </w:t>
          </w:r>
          <w:r>
            <w:rPr>
              <w:rFonts w:cs="Times New Roman" w:ascii="Times New Roman" w:hAnsi="Times New Roman"/>
              <w:sz w:val="22"/>
              <w:szCs w:val="24"/>
              <w:u w:val="single"/>
              <w:lang w:val="en-CA" w:eastAsia="en-CA"/>
            </w:rPr>
            <w:t>Not Used</w:t>
          </w:r>
          <w:r>
            <w:rPr>
              <w:lang w:val="en-CA" w:eastAsia="en-CA"/>
            </w:rPr>
            <w:tab/>
          </w:r>
          <w:hyperlink w:anchor="__RefHeading___Toc497548816">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10.3.1   </w:t>
          </w:r>
          <w:r>
            <w:rPr>
              <w:rFonts w:cs="Times New Roman" w:ascii="Times New Roman" w:hAnsi="Times New Roman"/>
              <w:sz w:val="22"/>
              <w:szCs w:val="24"/>
              <w:u w:val="single"/>
              <w:lang w:val="en-CA" w:eastAsia="en-CA"/>
            </w:rPr>
            <w:t>Installation Liquidated Damages</w:t>
          </w:r>
          <w:r>
            <w:rPr>
              <w:lang w:val="en-CA" w:eastAsia="en-CA"/>
            </w:rPr>
            <w:tab/>
          </w:r>
          <w:hyperlink w:anchor="__RefHeading___Toc497548817">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10.3.2   </w:t>
          </w:r>
          <w:r>
            <w:rPr>
              <w:rFonts w:cs="Times New Roman" w:ascii="Times New Roman" w:hAnsi="Times New Roman"/>
              <w:sz w:val="22"/>
              <w:szCs w:val="24"/>
              <w:u w:val="single"/>
              <w:lang w:val="en-CA" w:eastAsia="en-CA"/>
            </w:rPr>
            <w:t>Not Used</w:t>
          </w:r>
          <w:r>
            <w:rPr>
              <w:lang w:val="en-CA" w:eastAsia="en-CA"/>
            </w:rPr>
            <w:tab/>
          </w:r>
          <w:hyperlink w:anchor="__RefHeading___Toc497548818">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7548819">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10.4.1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7548820">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10.4.2   </w:t>
          </w:r>
          <w:r>
            <w:rPr>
              <w:rFonts w:cs="Times New Roman" w:ascii="Times New Roman" w:hAnsi="Times New Roman"/>
              <w:sz w:val="22"/>
              <w:szCs w:val="24"/>
              <w:u w:val="single"/>
              <w:lang w:val="en-CA" w:eastAsia="en-CA"/>
            </w:rPr>
            <w:t>Minimum Electrical Losses Guarantee</w:t>
          </w:r>
          <w:r>
            <w:rPr>
              <w:lang w:val="en-CA" w:eastAsia="en-CA"/>
            </w:rPr>
            <w:tab/>
          </w:r>
          <w:hyperlink w:anchor="__RefHeading___Toc497548821">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10.4.3   </w:t>
          </w:r>
          <w:r>
            <w:rPr>
              <w:rFonts w:cs="Times New Roman" w:ascii="Times New Roman" w:hAnsi="Times New Roman"/>
              <w:sz w:val="22"/>
              <w:szCs w:val="24"/>
              <w:u w:val="single"/>
              <w:lang w:val="en-CA" w:eastAsia="en-CA"/>
            </w:rPr>
            <w:t>Loss Evaluation Guarantee</w:t>
          </w:r>
          <w:r>
            <w:rPr>
              <w:lang w:val="en-CA" w:eastAsia="en-CA"/>
            </w:rPr>
            <w:tab/>
          </w:r>
          <w:hyperlink w:anchor="__RefHeading___Toc497548822">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10.4.4   </w:t>
          </w:r>
          <w:r>
            <w:rPr>
              <w:rFonts w:cs="Times New Roman" w:ascii="Times New Roman" w:hAnsi="Times New Roman"/>
              <w:sz w:val="22"/>
              <w:szCs w:val="24"/>
              <w:u w:val="single"/>
              <w:lang w:val="en-CA" w:eastAsia="en-CA"/>
            </w:rPr>
            <w:t>Guarantee Value Table</w:t>
          </w:r>
          <w:r>
            <w:rPr>
              <w:lang w:val="en-CA" w:eastAsia="en-CA"/>
            </w:rPr>
            <w:tab/>
          </w:r>
          <w:hyperlink w:anchor="__RefHeading___Toc497548823">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10.5.3   </w:t>
          </w:r>
          <w:r>
            <w:rPr>
              <w:rFonts w:cs="Times New Roman" w:ascii="Times New Roman" w:hAnsi="Times New Roman"/>
              <w:sz w:val="22"/>
              <w:szCs w:val="24"/>
              <w:u w:val="single"/>
              <w:lang w:val="en-CA" w:eastAsia="en-CA"/>
            </w:rPr>
            <w:t>Remedy for Failures to Meet Minimum Electrical Losses Guarantee</w:t>
          </w:r>
          <w:r>
            <w:rPr>
              <w:lang w:val="en-CA" w:eastAsia="en-CA"/>
            </w:rPr>
            <w:tab/>
          </w:r>
          <w:hyperlink w:anchor="__RefHeading___Toc497548824">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   </w:t>
          </w:r>
          <w:r>
            <w:rPr>
              <w:rFonts w:cs="Times New Roman" w:ascii="Times New Roman" w:hAnsi="Times New Roman"/>
              <w:sz w:val="22"/>
              <w:szCs w:val="24"/>
              <w:u w:val="single"/>
              <w:lang w:val="en-CA" w:eastAsia="en-CA"/>
            </w:rPr>
            <w:t>Not Used</w:t>
          </w:r>
          <w:r>
            <w:rPr>
              <w:lang w:val="en-CA" w:eastAsia="en-CA"/>
            </w:rPr>
            <w:tab/>
          </w:r>
          <w:hyperlink w:anchor="__RefHeading___Toc497548825">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10.8.1   </w:t>
          </w:r>
          <w:r>
            <w:rPr>
              <w:rFonts w:cs="Times New Roman" w:ascii="Times New Roman" w:hAnsi="Times New Roman"/>
              <w:sz w:val="22"/>
              <w:szCs w:val="24"/>
              <w:u w:val="single"/>
              <w:lang w:val="en-CA" w:eastAsia="en-CA"/>
            </w:rPr>
            <w:t>Seller Presence at Tests</w:t>
          </w:r>
          <w:r>
            <w:rPr>
              <w:lang w:val="en-CA" w:eastAsia="en-CA"/>
            </w:rPr>
            <w:tab/>
          </w:r>
          <w:hyperlink w:anchor="__RefHeading___Toc497548826">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10.8.2   </w:t>
          </w:r>
          <w:r>
            <w:rPr>
              <w:rFonts w:cs="Times New Roman" w:ascii="Times New Roman" w:hAnsi="Times New Roman"/>
              <w:sz w:val="22"/>
              <w:szCs w:val="24"/>
              <w:u w:val="single"/>
              <w:lang w:val="en-CA" w:eastAsia="en-CA"/>
            </w:rPr>
            <w:t>Test Results</w:t>
          </w:r>
          <w:r>
            <w:rPr>
              <w:lang w:val="en-CA" w:eastAsia="en-CA"/>
            </w:rPr>
            <w:tab/>
          </w:r>
          <w:hyperlink w:anchor="__RefHeading___Toc497548827">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   </w:t>
          </w:r>
          <w:r>
            <w:rPr>
              <w:rFonts w:cs="Times New Roman" w:ascii="Times New Roman" w:hAnsi="Times New Roman"/>
              <w:sz w:val="22"/>
              <w:szCs w:val="24"/>
              <w:u w:val="single"/>
              <w:lang w:val="en-CA" w:eastAsia="en-CA"/>
            </w:rPr>
            <w:t>Most Recent Performance Test</w:t>
          </w:r>
          <w:r>
            <w:rPr>
              <w:lang w:val="en-CA" w:eastAsia="en-CA"/>
            </w:rPr>
            <w:tab/>
          </w:r>
          <w:hyperlink w:anchor="__RefHeading___Toc497548828">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10.8.3   </w:t>
          </w:r>
          <w:r>
            <w:rPr>
              <w:rFonts w:cs="Times New Roman" w:ascii="Times New Roman" w:hAnsi="Times New Roman"/>
              <w:sz w:val="22"/>
              <w:szCs w:val="24"/>
              <w:u w:val="single"/>
              <w:lang w:val="en-CA" w:eastAsia="en-CA"/>
            </w:rPr>
            <w:t>Consumable Spare Parts During Retests</w:t>
          </w:r>
          <w:r>
            <w:rPr>
              <w:lang w:val="en-CA" w:eastAsia="en-CA"/>
            </w:rPr>
            <w:tab/>
          </w:r>
          <w:hyperlink w:anchor="__RefHeading___Toc497548829">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10.9   </w:t>
          </w:r>
          <w:r>
            <w:rPr>
              <w:rFonts w:cs="Times New Roman" w:ascii="Times New Roman" w:hAnsi="Times New Roman"/>
              <w:sz w:val="22"/>
              <w:szCs w:val="24"/>
              <w:u w:val="single"/>
              <w:lang w:val="en-CA" w:eastAsia="en-CA"/>
            </w:rPr>
            <w:t>Acceptance</w:t>
          </w:r>
          <w:r>
            <w:rPr>
              <w:lang w:val="en-CA" w:eastAsia="en-CA"/>
            </w:rPr>
            <w:tab/>
          </w:r>
          <w:hyperlink w:anchor="__RefHeading___Toc497548830">
            <w:r>
              <w:rPr>
                <w:rStyle w:val="IndexLink"/>
                <w:lang w:val="en-CA" w:eastAsia="en-CA"/>
              </w:rPr>
              <w:t>33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  </w:t>
          </w:r>
          <w:r>
            <w:rPr>
              <w:rFonts w:cs="Times New Roman" w:ascii="Times New Roman" w:hAnsi="Times New Roman"/>
              <w:sz w:val="22"/>
              <w:szCs w:val="24"/>
              <w:u w:val="single"/>
            </w:rPr>
            <w:t>CHANGE ORDER</w:t>
          </w:r>
          <w:r>
            <w:rPr/>
            <w:tab/>
          </w:r>
          <w:hyperlink w:anchor="__RefHeading___Toc497548831">
            <w:r>
              <w:rPr>
                <w:rStyle w:val="IndexLink"/>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11.1   </w:t>
          </w:r>
          <w:r>
            <w:rPr>
              <w:rFonts w:cs="Times New Roman" w:ascii="Times New Roman" w:hAnsi="Times New Roman"/>
              <w:sz w:val="22"/>
              <w:szCs w:val="24"/>
              <w:u w:val="single"/>
              <w:lang w:val="en-CA" w:eastAsia="en-CA"/>
            </w:rPr>
            <w:t>Adjustment of Purchase Amount</w:t>
          </w:r>
          <w:r>
            <w:rPr>
              <w:lang w:val="en-CA" w:eastAsia="en-CA"/>
            </w:rPr>
            <w:tab/>
          </w:r>
          <w:hyperlink w:anchor="__RefHeading___Toc497548832">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11.2   </w:t>
          </w:r>
          <w:r>
            <w:rPr>
              <w:rFonts w:cs="Times New Roman" w:ascii="Times New Roman" w:hAnsi="Times New Roman"/>
              <w:sz w:val="22"/>
              <w:szCs w:val="24"/>
              <w:u w:val="single"/>
              <w:lang w:val="en-CA" w:eastAsia="en-CA"/>
            </w:rPr>
            <w:t>Purchaser Requested Change Order</w:t>
          </w:r>
          <w:r>
            <w:rPr>
              <w:lang w:val="en-CA" w:eastAsia="en-CA"/>
            </w:rPr>
            <w:tab/>
          </w:r>
          <w:hyperlink w:anchor="__RefHeading___Toc497548833">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11.3   </w:t>
          </w:r>
          <w:r>
            <w:rPr>
              <w:rFonts w:cs="Times New Roman" w:ascii="Times New Roman" w:hAnsi="Times New Roman"/>
              <w:sz w:val="22"/>
              <w:szCs w:val="24"/>
              <w:u w:val="single"/>
              <w:lang w:val="en-CA" w:eastAsia="en-CA"/>
            </w:rPr>
            <w:t>Seller Requested Change Order</w:t>
          </w:r>
          <w:r>
            <w:rPr>
              <w:lang w:val="en-CA" w:eastAsia="en-CA"/>
            </w:rPr>
            <w:tab/>
          </w:r>
          <w:hyperlink w:anchor="__RefHeading___Toc497548834">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11.4   </w:t>
          </w:r>
          <w:r>
            <w:rPr>
              <w:rFonts w:cs="Times New Roman" w:ascii="Times New Roman" w:hAnsi="Times New Roman"/>
              <w:sz w:val="22"/>
              <w:szCs w:val="24"/>
              <w:u w:val="single"/>
              <w:lang w:val="en-CA" w:eastAsia="en-CA"/>
            </w:rPr>
            <w:t>Other Change Order</w:t>
          </w:r>
          <w:r>
            <w:rPr>
              <w:lang w:val="en-CA" w:eastAsia="en-CA"/>
            </w:rPr>
            <w:tab/>
          </w:r>
          <w:hyperlink w:anchor="__RefHeading___Toc497548835">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11.5   </w:t>
          </w:r>
          <w:r>
            <w:rPr>
              <w:rFonts w:cs="Times New Roman" w:ascii="Times New Roman" w:hAnsi="Times New Roman"/>
              <w:sz w:val="22"/>
              <w:szCs w:val="24"/>
              <w:u w:val="single"/>
              <w:lang w:val="en-CA" w:eastAsia="en-CA"/>
            </w:rPr>
            <w:t>Disputes</w:t>
          </w:r>
          <w:r>
            <w:rPr>
              <w:lang w:val="en-CA" w:eastAsia="en-CA"/>
            </w:rPr>
            <w:tab/>
          </w:r>
          <w:hyperlink w:anchor="__RefHeading___Toc497548836">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   </w:t>
          </w:r>
          <w:r>
            <w:rPr>
              <w:rFonts w:cs="Times New Roman" w:ascii="Times New Roman" w:hAnsi="Times New Roman"/>
              <w:sz w:val="22"/>
              <w:szCs w:val="24"/>
              <w:u w:val="single"/>
              <w:lang w:val="en-CA" w:eastAsia="en-CA"/>
            </w:rPr>
            <w:t>Change Order Pricing</w:t>
          </w:r>
          <w:r>
            <w:rPr>
              <w:lang w:val="en-CA" w:eastAsia="en-CA"/>
            </w:rPr>
            <w:tab/>
          </w:r>
          <w:hyperlink w:anchor="__RefHeading___Toc497548837">
            <w:r>
              <w:rPr>
                <w:rStyle w:val="IndexLink"/>
                <w:lang w:val="en-CA" w:eastAsia="en-CA"/>
              </w:rPr>
              <w:t>36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11.6.1   </w:t>
          </w:r>
          <w:r>
            <w:rPr>
              <w:rFonts w:cs="Times New Roman" w:ascii="Times New Roman" w:hAnsi="Times New Roman"/>
              <w:sz w:val="22"/>
              <w:szCs w:val="24"/>
              <w:u w:val="single"/>
              <w:lang w:val="en-CA" w:eastAsia="en-CA"/>
            </w:rPr>
            <w:t>Method of Pricing</w:t>
          </w:r>
          <w:r>
            <w:rPr>
              <w:lang w:val="en-CA" w:eastAsia="en-CA"/>
            </w:rPr>
            <w:tab/>
          </w:r>
          <w:hyperlink w:anchor="__RefHeading___Toc497548838">
            <w:r>
              <w:rPr>
                <w:rStyle w:val="IndexLink"/>
                <w:lang w:val="en-CA" w:eastAsia="en-CA"/>
              </w:rPr>
              <w:t>36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11.6.2   </w:t>
          </w:r>
          <w:r>
            <w:rPr>
              <w:rFonts w:cs="Times New Roman" w:ascii="Times New Roman" w:hAnsi="Times New Roman"/>
              <w:sz w:val="22"/>
              <w:szCs w:val="24"/>
              <w:u w:val="single"/>
              <w:lang w:val="en-CA" w:eastAsia="en-CA"/>
            </w:rPr>
            <w:t>Cost Plus Basis</w:t>
          </w:r>
          <w:r>
            <w:rPr>
              <w:lang w:val="en-CA" w:eastAsia="en-CA"/>
            </w:rPr>
            <w:tab/>
          </w:r>
          <w:hyperlink w:anchor="__RefHeading___Toc497548839">
            <w:r>
              <w:rPr>
                <w:rStyle w:val="IndexLink"/>
                <w:lang w:val="en-CA" w:eastAsia="en-CA"/>
              </w:rPr>
              <w:t>36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  </w:t>
          </w:r>
          <w:r>
            <w:rPr>
              <w:rFonts w:cs="Times New Roman" w:ascii="Times New Roman" w:hAnsi="Times New Roman"/>
              <w:sz w:val="22"/>
              <w:szCs w:val="24"/>
              <w:u w:val="single"/>
            </w:rPr>
            <w:t>INTENTIONALLY OMITTED</w:t>
          </w:r>
          <w:r>
            <w:rPr/>
            <w:tab/>
          </w:r>
          <w:hyperlink w:anchor="__RefHeading___Toc497548840">
            <w:r>
              <w:rPr>
                <w:rStyle w:val="IndexLink"/>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15.3   </w:t>
          </w:r>
          <w:r>
            <w:rPr>
              <w:rFonts w:cs="Times New Roman" w:ascii="Times New Roman" w:hAnsi="Times New Roman"/>
              <w:sz w:val="22"/>
              <w:szCs w:val="24"/>
              <w:u w:val="single"/>
              <w:lang w:val="en-CA" w:eastAsia="en-CA"/>
            </w:rPr>
            <w:t>Seller’s Drawings, Etc. for Use by Purchaser</w:t>
          </w:r>
          <w:r>
            <w:rPr>
              <w:lang w:val="en-CA" w:eastAsia="en-CA"/>
            </w:rPr>
            <w:tab/>
          </w:r>
          <w:hyperlink w:anchor="__RefHeading___Toc497548841">
            <w:r>
              <w:rPr>
                <w:rStyle w:val="IndexLink"/>
                <w:lang w:val="en-CA" w:eastAsia="en-CA"/>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15.4   </w:t>
          </w:r>
          <w:r>
            <w:rPr>
              <w:rFonts w:cs="Times New Roman" w:ascii="Times New Roman" w:hAnsi="Times New Roman"/>
              <w:sz w:val="22"/>
              <w:szCs w:val="24"/>
              <w:u w:val="single"/>
              <w:lang w:val="en-CA" w:eastAsia="en-CA"/>
            </w:rPr>
            <w:t>Licensing Procedure</w:t>
          </w:r>
          <w:r>
            <w:rPr>
              <w:lang w:val="en-CA" w:eastAsia="en-CA"/>
            </w:rPr>
            <w:tab/>
          </w:r>
          <w:hyperlink w:anchor="__RefHeading___Toc497548842">
            <w:r>
              <w:rPr>
                <w:rStyle w:val="IndexLink"/>
                <w:lang w:val="en-CA" w:eastAsia="en-CA"/>
              </w:rPr>
              <w:t>37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15.2.2   </w:t>
          </w:r>
          <w:r>
            <w:rPr>
              <w:rFonts w:cs="Times New Roman" w:ascii="Times New Roman" w:hAnsi="Times New Roman"/>
              <w:sz w:val="22"/>
              <w:szCs w:val="24"/>
              <w:u w:val="single"/>
              <w:lang w:val="en-CA" w:eastAsia="en-CA"/>
            </w:rPr>
            <w:t>Infringement Cures and Defense</w:t>
          </w:r>
          <w:r>
            <w:rPr>
              <w:lang w:val="en-CA" w:eastAsia="en-CA"/>
            </w:rPr>
            <w:tab/>
          </w:r>
          <w:hyperlink w:anchor="__RefHeading___Toc497548843">
            <w:r>
              <w:rPr>
                <w:rStyle w:val="IndexLink"/>
                <w:lang w:val="en-CA" w:eastAsia="en-CA"/>
              </w:rPr>
              <w:t>37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XIII.  </w:t>
          </w:r>
          <w:r>
            <w:rPr>
              <w:rFonts w:cs="Times New Roman" w:ascii="Times New Roman" w:hAnsi="Times New Roman"/>
              <w:sz w:val="22"/>
              <w:szCs w:val="24"/>
              <w:u w:val="single"/>
            </w:rPr>
            <w:t>ORDER OF PRECEDENCE</w:t>
          </w:r>
          <w:r>
            <w:rPr/>
            <w:tab/>
          </w:r>
          <w:hyperlink w:anchor="__RefHeading___Toc497548844">
            <w:r>
              <w:rPr>
                <w:rStyle w:val="IndexLink"/>
              </w:rPr>
              <w:t>39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13.1   </w:t>
          </w:r>
          <w:r>
            <w:rPr>
              <w:rFonts w:cs="Times New Roman" w:ascii="Times New Roman" w:hAnsi="Times New Roman"/>
              <w:sz w:val="22"/>
              <w:szCs w:val="24"/>
              <w:u w:val="single"/>
              <w:lang w:val="en-CA" w:eastAsia="en-CA"/>
            </w:rPr>
            <w:t>Order of Precedence</w:t>
          </w:r>
          <w:r>
            <w:rPr>
              <w:lang w:val="en-CA" w:eastAsia="en-CA"/>
            </w:rPr>
            <w:tab/>
          </w:r>
          <w:hyperlink w:anchor="__RefHeading___Toc497548845">
            <w:r>
              <w:rPr>
                <w:rStyle w:val="IndexLink"/>
                <w:lang w:val="en-CA" w:eastAsia="en-CA"/>
              </w:rPr>
              <w:t>39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XIV.  </w:t>
          </w:r>
          <w:r>
            <w:rPr>
              <w:rFonts w:cs="Times New Roman" w:ascii="Times New Roman" w:hAnsi="Times New Roman"/>
              <w:sz w:val="22"/>
              <w:szCs w:val="24"/>
              <w:u w:val="single"/>
            </w:rPr>
            <w:t>WARRANTY</w:t>
          </w:r>
          <w:r>
            <w:rPr/>
            <w:tab/>
          </w:r>
          <w:hyperlink w:anchor="__RefHeading___Toc497548846">
            <w:r>
              <w:rPr>
                <w:rStyle w:val="IndexLink"/>
              </w:rPr>
              <w:t>40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   </w:t>
          </w:r>
          <w:r>
            <w:rPr>
              <w:rFonts w:cs="Times New Roman" w:ascii="Times New Roman" w:hAnsi="Times New Roman"/>
              <w:sz w:val="22"/>
              <w:szCs w:val="24"/>
              <w:u w:val="single"/>
              <w:lang w:val="en-CA" w:eastAsia="en-CA"/>
            </w:rPr>
            <w:t>Seller’s Warranty</w:t>
          </w:r>
          <w:r>
            <w:rPr>
              <w:lang w:val="en-CA" w:eastAsia="en-CA"/>
            </w:rPr>
            <w:tab/>
          </w:r>
          <w:hyperlink w:anchor="__RefHeading___Toc497548847">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14.1.1   </w:t>
          </w:r>
          <w:r>
            <w:rPr>
              <w:rFonts w:cs="Times New Roman" w:ascii="Times New Roman" w:hAnsi="Times New Roman"/>
              <w:sz w:val="22"/>
              <w:szCs w:val="24"/>
              <w:u w:val="single"/>
              <w:lang w:val="en-CA" w:eastAsia="en-CA"/>
            </w:rPr>
            <w:t>Primary Warranty Period</w:t>
          </w:r>
          <w:r>
            <w:rPr>
              <w:lang w:val="en-CA" w:eastAsia="en-CA"/>
            </w:rPr>
            <w:tab/>
          </w:r>
          <w:hyperlink w:anchor="__RefHeading___Toc497548848">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14.1.2   </w:t>
          </w:r>
          <w:r>
            <w:rPr>
              <w:rFonts w:cs="Times New Roman" w:ascii="Times New Roman" w:hAnsi="Times New Roman"/>
              <w:sz w:val="22"/>
              <w:szCs w:val="24"/>
              <w:u w:val="single"/>
              <w:lang w:val="en-CA" w:eastAsia="en-CA"/>
            </w:rPr>
            <w:t>Warranty Clarification</w:t>
          </w:r>
          <w:r>
            <w:rPr>
              <w:lang w:val="en-CA" w:eastAsia="en-CA"/>
            </w:rPr>
            <w:tab/>
          </w:r>
          <w:hyperlink w:anchor="__RefHeading___Toc497548849">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14.1.3   </w:t>
          </w:r>
          <w:r>
            <w:rPr>
              <w:rFonts w:cs="Times New Roman" w:ascii="Times New Roman" w:hAnsi="Times New Roman"/>
              <w:sz w:val="22"/>
              <w:szCs w:val="24"/>
              <w:u w:val="single"/>
              <w:lang w:val="en-CA" w:eastAsia="en-CA"/>
            </w:rPr>
            <w:t>Warranty Breach Notice</w:t>
          </w:r>
          <w:r>
            <w:rPr>
              <w:lang w:val="en-CA" w:eastAsia="en-CA"/>
            </w:rPr>
            <w:tab/>
          </w:r>
          <w:hyperlink w:anchor="__RefHeading___Toc497548850">
            <w:r>
              <w:rPr>
                <w:rStyle w:val="IndexLink"/>
                <w:lang w:val="en-CA" w:eastAsia="en-CA"/>
              </w:rPr>
              <w:t>40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   </w:t>
          </w:r>
          <w:r>
            <w:rPr>
              <w:rFonts w:cs="Times New Roman" w:ascii="Times New Roman" w:hAnsi="Times New Roman"/>
              <w:sz w:val="22"/>
              <w:szCs w:val="24"/>
              <w:u w:val="single"/>
              <w:lang w:val="en-CA" w:eastAsia="en-CA"/>
            </w:rPr>
            <w:t>Remedy</w:t>
          </w:r>
          <w:r>
            <w:rPr>
              <w:lang w:val="en-CA" w:eastAsia="en-CA"/>
            </w:rPr>
            <w:tab/>
          </w:r>
          <w:hyperlink w:anchor="__RefHeading___Toc497548851">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14.3.1   </w:t>
          </w:r>
          <w:r>
            <w:rPr>
              <w:rFonts w:cs="Times New Roman" w:ascii="Times New Roman" w:hAnsi="Times New Roman"/>
              <w:sz w:val="22"/>
              <w:szCs w:val="24"/>
              <w:u w:val="single"/>
              <w:lang w:val="en-CA" w:eastAsia="en-CA"/>
            </w:rPr>
            <w:t>Obligations, Responsibilities and Recourse</w:t>
          </w:r>
          <w:r>
            <w:rPr>
              <w:lang w:val="en-CA" w:eastAsia="en-CA"/>
            </w:rPr>
            <w:tab/>
          </w:r>
          <w:hyperlink w:anchor="__RefHeading___Toc497548852">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14.2.1   </w:t>
          </w:r>
          <w:r>
            <w:rPr>
              <w:rFonts w:cs="Times New Roman" w:ascii="Times New Roman" w:hAnsi="Times New Roman"/>
              <w:sz w:val="22"/>
              <w:szCs w:val="24"/>
              <w:u w:val="single"/>
              <w:lang w:val="en-CA" w:eastAsia="en-CA"/>
            </w:rPr>
            <w:t>Continued Warranty on Corrections or Repairs Performed During the Primary Warranty Period</w:t>
          </w:r>
          <w:r>
            <w:rPr>
              <w:lang w:val="en-CA" w:eastAsia="en-CA"/>
            </w:rPr>
            <w:tab/>
          </w:r>
          <w:hyperlink w:anchor="__RefHeading___Toc497548853">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   </w:t>
          </w:r>
          <w:r>
            <w:rPr>
              <w:rFonts w:cs="Times New Roman" w:ascii="Times New Roman" w:hAnsi="Times New Roman"/>
              <w:sz w:val="22"/>
              <w:szCs w:val="24"/>
              <w:u w:val="single"/>
              <w:lang w:val="en-CA" w:eastAsia="en-CA"/>
            </w:rPr>
            <w:t>Extended Warranty Period</w:t>
          </w:r>
          <w:r>
            <w:rPr>
              <w:lang w:val="en-CA" w:eastAsia="en-CA"/>
            </w:rPr>
            <w:tab/>
          </w:r>
          <w:hyperlink w:anchor="__RefHeading___Toc497548854">
            <w:r>
              <w:rPr>
                <w:rStyle w:val="IndexLink"/>
                <w:lang w:val="en-CA" w:eastAsia="en-CA"/>
              </w:rPr>
              <w:t>41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14.2.2   </w:t>
          </w:r>
          <w:r>
            <w:rPr>
              <w:rFonts w:cs="Times New Roman" w:ascii="Times New Roman" w:hAnsi="Times New Roman"/>
              <w:sz w:val="22"/>
              <w:szCs w:val="24"/>
              <w:u w:val="single"/>
              <w:lang w:val="en-CA" w:eastAsia="en-CA"/>
            </w:rPr>
            <w:t>Extension of Warranty Due to Unavailability</w:t>
          </w:r>
          <w:r>
            <w:rPr>
              <w:lang w:val="en-CA" w:eastAsia="en-CA"/>
            </w:rPr>
            <w:tab/>
          </w:r>
          <w:hyperlink w:anchor="__RefHeading___Toc497548855">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14.4   </w:t>
          </w:r>
          <w:r>
            <w:rPr>
              <w:rFonts w:cs="Times New Roman" w:ascii="Times New Roman" w:hAnsi="Times New Roman"/>
              <w:sz w:val="22"/>
              <w:szCs w:val="24"/>
              <w:u w:val="single"/>
              <w:lang w:val="en-CA" w:eastAsia="en-CA"/>
            </w:rPr>
            <w:t>Vendor Warranty</w:t>
          </w:r>
          <w:r>
            <w:rPr>
              <w:lang w:val="en-CA" w:eastAsia="en-CA"/>
            </w:rPr>
            <w:tab/>
          </w:r>
          <w:hyperlink w:anchor="__RefHeading___Toc497548856">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14.5   </w:t>
          </w:r>
          <w:r>
            <w:rPr>
              <w:rFonts w:cs="Times New Roman" w:ascii="Times New Roman" w:hAnsi="Times New Roman"/>
              <w:sz w:val="22"/>
              <w:szCs w:val="24"/>
              <w:u w:val="single"/>
              <w:lang w:val="en-CA" w:eastAsia="en-CA"/>
            </w:rPr>
            <w:t>Limited Warranty</w:t>
          </w:r>
          <w:r>
            <w:rPr>
              <w:lang w:val="en-CA" w:eastAsia="en-CA"/>
            </w:rPr>
            <w:tab/>
          </w:r>
          <w:hyperlink w:anchor="__RefHeading___Toc497548857">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14.6   </w:t>
          </w:r>
          <w:r>
            <w:rPr>
              <w:rFonts w:cs="Times New Roman" w:ascii="Times New Roman" w:hAnsi="Times New Roman"/>
              <w:sz w:val="22"/>
              <w:szCs w:val="24"/>
              <w:u w:val="single"/>
              <w:lang w:val="en-CA" w:eastAsia="en-CA"/>
            </w:rPr>
            <w:t>Defective Equipment</w:t>
          </w:r>
          <w:r>
            <w:rPr>
              <w:lang w:val="en-CA" w:eastAsia="en-CA"/>
            </w:rPr>
            <w:tab/>
          </w:r>
          <w:hyperlink w:anchor="__RefHeading___Toc497548858">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14.7   </w:t>
          </w:r>
          <w:r>
            <w:rPr>
              <w:rFonts w:cs="Times New Roman" w:ascii="Times New Roman" w:hAnsi="Times New Roman"/>
              <w:sz w:val="22"/>
              <w:szCs w:val="24"/>
              <w:u w:val="single"/>
              <w:lang w:val="en-CA" w:eastAsia="en-CA"/>
            </w:rPr>
            <w:t>Termination of Warranty</w:t>
          </w:r>
          <w:r>
            <w:rPr>
              <w:lang w:val="en-CA" w:eastAsia="en-CA"/>
            </w:rPr>
            <w:tab/>
          </w:r>
          <w:hyperlink w:anchor="__RefHeading___Toc497548859">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14.8   </w:t>
          </w:r>
          <w:r>
            <w:rPr>
              <w:rFonts w:cs="Times New Roman" w:ascii="Times New Roman" w:hAnsi="Times New Roman"/>
              <w:sz w:val="22"/>
              <w:szCs w:val="24"/>
              <w:u w:val="single"/>
              <w:lang w:val="en-CA" w:eastAsia="en-CA"/>
            </w:rPr>
            <w:t>Damage to Other Facility Equipment</w:t>
          </w:r>
          <w:r>
            <w:rPr>
              <w:lang w:val="en-CA" w:eastAsia="en-CA"/>
            </w:rPr>
            <w:tab/>
          </w:r>
          <w:hyperlink w:anchor="__RefHeading___Toc497548860">
            <w:r>
              <w:rPr>
                <w:rStyle w:val="IndexLink"/>
                <w:lang w:val="en-CA" w:eastAsia="en-CA"/>
              </w:rPr>
              <w:t>42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  </w:t>
          </w:r>
          <w:r>
            <w:rPr>
              <w:rFonts w:cs="Times New Roman" w:ascii="Times New Roman" w:hAnsi="Times New Roman"/>
              <w:sz w:val="22"/>
              <w:szCs w:val="24"/>
              <w:u w:val="single"/>
            </w:rPr>
            <w:t>RISK OF LOSS AND TITLE</w:t>
          </w:r>
          <w:r>
            <w:rPr/>
            <w:tab/>
          </w:r>
          <w:hyperlink w:anchor="__RefHeading___Toc497548861">
            <w:r>
              <w:rPr>
                <w:rStyle w:val="IndexLink"/>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15.1   </w:t>
          </w:r>
          <w:r>
            <w:rPr>
              <w:rFonts w:cs="Times New Roman" w:ascii="Times New Roman" w:hAnsi="Times New Roman"/>
              <w:sz w:val="22"/>
              <w:szCs w:val="24"/>
              <w:u w:val="single"/>
              <w:lang w:val="en-CA" w:eastAsia="en-CA"/>
            </w:rPr>
            <w:t>Risk of Loss</w:t>
          </w:r>
          <w:r>
            <w:rPr>
              <w:lang w:val="en-CA" w:eastAsia="en-CA"/>
            </w:rPr>
            <w:tab/>
          </w:r>
          <w:hyperlink w:anchor="__RefHeading___Toc497548862">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   </w:t>
          </w:r>
          <w:r>
            <w:rPr>
              <w:rFonts w:cs="Times New Roman" w:ascii="Times New Roman" w:hAnsi="Times New Roman"/>
              <w:sz w:val="22"/>
              <w:szCs w:val="24"/>
              <w:u w:val="single"/>
              <w:lang w:val="en-CA" w:eastAsia="en-CA"/>
            </w:rPr>
            <w:t>Title</w:t>
          </w:r>
          <w:r>
            <w:rPr>
              <w:lang w:val="en-CA" w:eastAsia="en-CA"/>
            </w:rPr>
            <w:tab/>
          </w:r>
          <w:hyperlink w:anchor="__RefHeading___Toc497548863">
            <w:r>
              <w:rPr>
                <w:rStyle w:val="IndexLink"/>
                <w:lang w:val="en-CA" w:eastAsia="en-CA"/>
              </w:rPr>
              <w:t>43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15.2.1   </w:t>
          </w:r>
          <w:r>
            <w:rPr>
              <w:rFonts w:cs="Times New Roman" w:ascii="Times New Roman" w:hAnsi="Times New Roman"/>
              <w:sz w:val="22"/>
              <w:szCs w:val="24"/>
              <w:u w:val="single"/>
              <w:lang w:val="en-CA" w:eastAsia="en-CA"/>
            </w:rPr>
            <w:t>Passage of Title</w:t>
          </w:r>
          <w:r>
            <w:rPr>
              <w:lang w:val="en-CA" w:eastAsia="en-CA"/>
            </w:rPr>
            <w:tab/>
          </w:r>
          <w:hyperlink w:anchor="__RefHeading___Toc497548864">
            <w:r>
              <w:rPr>
                <w:rStyle w:val="IndexLink"/>
                <w:lang w:val="en-CA" w:eastAsia="en-CA"/>
              </w:rPr>
              <w:t>43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  </w:t>
          </w:r>
          <w:r>
            <w:rPr>
              <w:rFonts w:cs="Times New Roman" w:ascii="Times New Roman" w:hAnsi="Times New Roman"/>
              <w:sz w:val="22"/>
              <w:szCs w:val="24"/>
              <w:u w:val="single"/>
            </w:rPr>
            <w:t>INTENTIONALLY OMITTED</w:t>
          </w:r>
          <w:r>
            <w:rPr/>
            <w:tab/>
          </w:r>
          <w:hyperlink w:anchor="__RefHeading___Toc497548865">
            <w:r>
              <w:rPr>
                <w:rStyle w:val="IndexLink"/>
              </w:rPr>
              <w:t>44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  </w:t>
          </w:r>
          <w:r>
            <w:rPr>
              <w:rFonts w:cs="Times New Roman" w:ascii="Times New Roman" w:hAnsi="Times New Roman"/>
              <w:sz w:val="22"/>
              <w:szCs w:val="24"/>
              <w:u w:val="single"/>
            </w:rPr>
            <w:t>DEFAULT</w:t>
          </w:r>
          <w:r>
            <w:rPr/>
            <w:tab/>
          </w:r>
          <w:hyperlink w:anchor="__RefHeading___Toc497548866">
            <w:r>
              <w:rPr>
                <w:rStyle w:val="IndexLink"/>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17.1   </w:t>
          </w:r>
          <w:r>
            <w:rPr>
              <w:rFonts w:cs="Times New Roman" w:ascii="Times New Roman" w:hAnsi="Times New Roman"/>
              <w:sz w:val="22"/>
              <w:szCs w:val="24"/>
              <w:u w:val="single"/>
              <w:lang w:val="en-CA" w:eastAsia="en-CA"/>
            </w:rPr>
            <w:t>Event of Default by Seller</w:t>
          </w:r>
          <w:r>
            <w:rPr>
              <w:lang w:val="en-CA" w:eastAsia="en-CA"/>
            </w:rPr>
            <w:tab/>
          </w:r>
          <w:hyperlink w:anchor="__RefHeading___Toc497548867">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17.2   </w:t>
          </w:r>
          <w:r>
            <w:rPr>
              <w:rFonts w:cs="Times New Roman" w:ascii="Times New Roman" w:hAnsi="Times New Roman"/>
              <w:sz w:val="22"/>
              <w:szCs w:val="24"/>
              <w:u w:val="single"/>
              <w:lang w:val="en-CA" w:eastAsia="en-CA"/>
            </w:rPr>
            <w:t>Purchaser's Remedies Against Seller</w:t>
          </w:r>
          <w:r>
            <w:rPr>
              <w:lang w:val="en-CA" w:eastAsia="en-CA"/>
            </w:rPr>
            <w:tab/>
          </w:r>
          <w:hyperlink w:anchor="__RefHeading___Toc497548868">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17.3   </w:t>
          </w:r>
          <w:r>
            <w:rPr>
              <w:rFonts w:cs="Times New Roman" w:ascii="Times New Roman" w:hAnsi="Times New Roman"/>
              <w:sz w:val="22"/>
              <w:szCs w:val="24"/>
              <w:u w:val="single"/>
              <w:lang w:val="en-CA" w:eastAsia="en-CA"/>
            </w:rPr>
            <w:t>General Obligations</w:t>
          </w:r>
          <w:r>
            <w:rPr>
              <w:lang w:val="en-CA" w:eastAsia="en-CA"/>
            </w:rPr>
            <w:tab/>
          </w:r>
          <w:hyperlink w:anchor="__RefHeading___Toc497548869">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   </w:t>
          </w:r>
          <w:r>
            <w:rPr>
              <w:rFonts w:cs="Times New Roman" w:ascii="Times New Roman" w:hAnsi="Times New Roman"/>
              <w:sz w:val="22"/>
              <w:szCs w:val="24"/>
              <w:u w:val="single"/>
              <w:lang w:val="en-CA" w:eastAsia="en-CA"/>
            </w:rPr>
            <w:t>Payment Obligations</w:t>
          </w:r>
          <w:r>
            <w:rPr>
              <w:lang w:val="en-CA" w:eastAsia="en-CA"/>
            </w:rPr>
            <w:tab/>
          </w:r>
          <w:hyperlink w:anchor="__RefHeading___Toc497548870">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17.5   </w:t>
          </w:r>
          <w:r>
            <w:rPr>
              <w:rFonts w:cs="Times New Roman" w:ascii="Times New Roman" w:hAnsi="Times New Roman"/>
              <w:sz w:val="22"/>
              <w:szCs w:val="24"/>
              <w:u w:val="single"/>
              <w:lang w:val="en-CA" w:eastAsia="en-CA"/>
            </w:rPr>
            <w:t>Events of Default by Purchaser</w:t>
          </w:r>
          <w:r>
            <w:rPr>
              <w:lang w:val="en-CA" w:eastAsia="en-CA"/>
            </w:rPr>
            <w:tab/>
          </w:r>
          <w:hyperlink w:anchor="__RefHeading___Toc497548871">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17.6   </w:t>
          </w:r>
          <w:r>
            <w:rPr>
              <w:rFonts w:cs="Times New Roman" w:ascii="Times New Roman" w:hAnsi="Times New Roman"/>
              <w:sz w:val="22"/>
              <w:szCs w:val="24"/>
              <w:u w:val="single"/>
              <w:lang w:val="en-CA" w:eastAsia="en-CA"/>
            </w:rPr>
            <w:t>Seller Remedies</w:t>
          </w:r>
          <w:r>
            <w:rPr>
              <w:lang w:val="en-CA" w:eastAsia="en-CA"/>
            </w:rPr>
            <w:tab/>
          </w:r>
          <w:hyperlink w:anchor="__RefHeading___Toc497548872">
            <w:r>
              <w:rPr>
                <w:rStyle w:val="IndexLink"/>
                <w:lang w:val="en-CA" w:eastAsia="en-CA"/>
              </w:rPr>
              <w:t>46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XVIII.  </w:t>
          </w:r>
          <w:r>
            <w:rPr>
              <w:rFonts w:cs="Times New Roman" w:ascii="Times New Roman" w:hAnsi="Times New Roman"/>
              <w:sz w:val="22"/>
              <w:szCs w:val="24"/>
              <w:u w:val="single"/>
            </w:rPr>
            <w:t>FORCE MAJEURE</w:t>
          </w:r>
          <w:r>
            <w:rPr/>
            <w:tab/>
          </w:r>
          <w:hyperlink w:anchor="__RefHeading___Toc497548873">
            <w:r>
              <w:rPr>
                <w:rStyle w:val="IndexLink"/>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18.1   </w:t>
          </w:r>
          <w:r>
            <w:rPr>
              <w:rFonts w:cs="Times New Roman" w:ascii="Times New Roman" w:hAnsi="Times New Roman"/>
              <w:sz w:val="22"/>
              <w:szCs w:val="24"/>
              <w:u w:val="single"/>
              <w:lang w:val="en-CA" w:eastAsia="en-CA"/>
            </w:rPr>
            <w:t>Failure to Perform Due to an Event of Force Majeure</w:t>
          </w:r>
          <w:r>
            <w:rPr>
              <w:lang w:val="en-CA" w:eastAsia="en-CA"/>
            </w:rPr>
            <w:tab/>
          </w:r>
          <w:hyperlink w:anchor="__RefHeading___Toc497548874">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18.2   </w:t>
          </w:r>
          <w:r>
            <w:rPr>
              <w:rFonts w:cs="Times New Roman" w:ascii="Times New Roman" w:hAnsi="Times New Roman"/>
              <w:sz w:val="22"/>
              <w:szCs w:val="24"/>
              <w:u w:val="single"/>
              <w:lang w:val="en-CA" w:eastAsia="en-CA"/>
            </w:rPr>
            <w:t>Events of Force Majeure</w:t>
          </w:r>
          <w:r>
            <w:rPr>
              <w:lang w:val="en-CA" w:eastAsia="en-CA"/>
            </w:rPr>
            <w:tab/>
          </w:r>
          <w:hyperlink w:anchor="__RefHeading___Toc497548875">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18.3   </w:t>
          </w:r>
          <w:r>
            <w:rPr>
              <w:rFonts w:cs="Times New Roman" w:ascii="Times New Roman" w:hAnsi="Times New Roman"/>
              <w:sz w:val="22"/>
              <w:szCs w:val="24"/>
              <w:u w:val="single"/>
              <w:lang w:val="en-CA" w:eastAsia="en-CA"/>
            </w:rPr>
            <w:t>Notice of Force Majeure</w:t>
          </w:r>
          <w:r>
            <w:rPr>
              <w:lang w:val="en-CA" w:eastAsia="en-CA"/>
            </w:rPr>
            <w:tab/>
          </w:r>
          <w:hyperlink w:anchor="__RefHeading___Toc497548876">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18.4   </w:t>
          </w:r>
          <w:r>
            <w:rPr>
              <w:rFonts w:cs="Times New Roman" w:ascii="Times New Roman" w:hAnsi="Times New Roman"/>
              <w:sz w:val="22"/>
              <w:szCs w:val="24"/>
              <w:u w:val="single"/>
              <w:lang w:val="en-CA" w:eastAsia="en-CA"/>
            </w:rPr>
            <w:t>Events of Force Majeure</w:t>
          </w:r>
          <w:r>
            <w:rPr>
              <w:lang w:val="en-CA" w:eastAsia="en-CA"/>
            </w:rPr>
            <w:tab/>
          </w:r>
          <w:hyperlink w:anchor="__RefHeading___Toc497548877">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18.5   </w:t>
          </w:r>
          <w:r>
            <w:rPr>
              <w:rFonts w:cs="Times New Roman" w:ascii="Times New Roman" w:hAnsi="Times New Roman"/>
              <w:sz w:val="22"/>
              <w:szCs w:val="24"/>
              <w:u w:val="single"/>
              <w:lang w:val="en-CA" w:eastAsia="en-CA"/>
            </w:rPr>
            <w:t>Certain Events Not Excused</w:t>
          </w:r>
          <w:r>
            <w:rPr>
              <w:lang w:val="en-CA" w:eastAsia="en-CA"/>
            </w:rPr>
            <w:tab/>
          </w:r>
          <w:hyperlink w:anchor="__RefHeading___Toc497548878">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18.6   </w:t>
          </w:r>
          <w:r>
            <w:rPr>
              <w:rFonts w:cs="Times New Roman" w:ascii="Times New Roman" w:hAnsi="Times New Roman"/>
              <w:sz w:val="22"/>
              <w:szCs w:val="24"/>
              <w:u w:val="single"/>
              <w:lang w:val="en-CA" w:eastAsia="en-CA"/>
            </w:rPr>
            <w:t>Continued Performance</w:t>
          </w:r>
          <w:r>
            <w:rPr>
              <w:lang w:val="en-CA" w:eastAsia="en-CA"/>
            </w:rPr>
            <w:tab/>
          </w:r>
          <w:hyperlink w:anchor="__RefHeading___Toc497548879">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18.7   </w:t>
          </w:r>
          <w:r>
            <w:rPr>
              <w:rFonts w:cs="Times New Roman" w:ascii="Times New Roman" w:hAnsi="Times New Roman"/>
              <w:sz w:val="22"/>
              <w:szCs w:val="24"/>
              <w:u w:val="single"/>
              <w:lang w:val="en-CA" w:eastAsia="en-CA"/>
            </w:rPr>
            <w:t>Not Used</w:t>
          </w:r>
          <w:r>
            <w:rPr>
              <w:lang w:val="en-CA" w:eastAsia="en-CA"/>
            </w:rPr>
            <w:tab/>
          </w:r>
          <w:hyperlink w:anchor="__RefHeading___Toc497548880">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18.8   </w:t>
          </w:r>
          <w:r>
            <w:rPr>
              <w:rFonts w:cs="Times New Roman" w:ascii="Times New Roman" w:hAnsi="Times New Roman"/>
              <w:sz w:val="22"/>
              <w:szCs w:val="24"/>
              <w:u w:val="single"/>
              <w:lang w:val="en-CA" w:eastAsia="en-CA"/>
            </w:rPr>
            <w:t xml:space="preserve">Force Majeure </w:t>
            <w:noBreakHyphen/>
            <w:t xml:space="preserve"> Delays</w:t>
          </w:r>
          <w:r>
            <w:rPr>
              <w:lang w:val="en-CA" w:eastAsia="en-CA"/>
            </w:rPr>
            <w:tab/>
          </w:r>
          <w:hyperlink w:anchor="__RefHeading___Toc497548881">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18.9   </w:t>
          </w:r>
          <w:r>
            <w:rPr>
              <w:rFonts w:cs="Times New Roman" w:ascii="Times New Roman" w:hAnsi="Times New Roman"/>
              <w:sz w:val="22"/>
              <w:szCs w:val="24"/>
              <w:u w:val="single"/>
              <w:lang w:val="en-CA" w:eastAsia="en-CA"/>
            </w:rPr>
            <w:t xml:space="preserve">Force Majeure </w:t>
            <w:noBreakHyphen/>
            <w:t xml:space="preserve"> Cost</w:t>
          </w:r>
          <w:r>
            <w:rPr>
              <w:lang w:val="en-CA" w:eastAsia="en-CA"/>
            </w:rPr>
            <w:tab/>
          </w:r>
          <w:hyperlink w:anchor="__RefHeading___Toc497548882">
            <w:r>
              <w:rPr>
                <w:rStyle w:val="IndexLink"/>
                <w:lang w:val="en-CA" w:eastAsia="en-CA"/>
              </w:rPr>
              <w:t>49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INSURANCE</w:t>
          </w:r>
          <w:r>
            <w:rPr/>
            <w:tab/>
          </w:r>
          <w:hyperlink w:anchor="__RefHeading___Toc497548883">
            <w:r>
              <w:rPr>
                <w:rStyle w:val="IndexLink"/>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   </w:t>
          </w:r>
          <w:r>
            <w:rPr>
              <w:rFonts w:cs="Times New Roman" w:ascii="Times New Roman" w:hAnsi="Times New Roman"/>
              <w:sz w:val="22"/>
              <w:szCs w:val="24"/>
              <w:u w:val="single"/>
              <w:lang w:val="en-CA" w:eastAsia="en-CA"/>
            </w:rPr>
            <w:t xml:space="preserve">Insurance </w:t>
            <w:noBreakHyphen/>
            <w:t xml:space="preserve"> General</w:t>
          </w:r>
          <w:r>
            <w:rPr>
              <w:lang w:val="en-CA" w:eastAsia="en-CA"/>
            </w:rPr>
            <w:tab/>
          </w:r>
          <w:hyperlink w:anchor="__RefHeading___Toc497548884">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   </w:t>
          </w:r>
          <w:r>
            <w:rPr>
              <w:rFonts w:cs="Times New Roman" w:ascii="Times New Roman" w:hAnsi="Times New Roman"/>
              <w:sz w:val="22"/>
              <w:szCs w:val="24"/>
              <w:u w:val="single"/>
              <w:lang w:val="en-CA" w:eastAsia="en-CA"/>
            </w:rPr>
            <w:t>All Risk</w:t>
          </w:r>
          <w:r>
            <w:rPr>
              <w:lang w:val="en-CA" w:eastAsia="en-CA"/>
            </w:rPr>
            <w:tab/>
          </w:r>
          <w:hyperlink w:anchor="__RefHeading___Toc497548885">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19.1.2   </w:t>
          </w:r>
          <w:r>
            <w:rPr>
              <w:rFonts w:cs="Times New Roman" w:ascii="Times New Roman" w:hAnsi="Times New Roman"/>
              <w:sz w:val="22"/>
              <w:szCs w:val="24"/>
              <w:u w:val="single"/>
              <w:lang w:val="en-CA" w:eastAsia="en-CA"/>
            </w:rPr>
            <w:t>Workers Compensation and Employers Liability Insurance</w:t>
          </w:r>
          <w:r>
            <w:rPr>
              <w:lang w:val="en-CA" w:eastAsia="en-CA"/>
            </w:rPr>
            <w:tab/>
          </w:r>
          <w:hyperlink w:anchor="__RefHeading___Toc497548886">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19.1.3   </w:t>
          </w:r>
          <w:r>
            <w:rPr>
              <w:rFonts w:cs="Times New Roman" w:ascii="Times New Roman" w:hAnsi="Times New Roman"/>
              <w:sz w:val="22"/>
              <w:szCs w:val="24"/>
              <w:u w:val="single"/>
              <w:lang w:val="en-CA" w:eastAsia="en-CA"/>
            </w:rPr>
            <w:t>Commercial General Liability Insurance</w:t>
          </w:r>
          <w:r>
            <w:rPr>
              <w:lang w:val="en-CA" w:eastAsia="en-CA"/>
            </w:rPr>
            <w:tab/>
          </w:r>
          <w:hyperlink w:anchor="__RefHeading___Toc497548887">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19.1.4   </w:t>
          </w:r>
          <w:r>
            <w:rPr>
              <w:rFonts w:cs="Times New Roman" w:ascii="Times New Roman" w:hAnsi="Times New Roman"/>
              <w:sz w:val="22"/>
              <w:szCs w:val="24"/>
              <w:u w:val="single"/>
              <w:lang w:val="en-CA" w:eastAsia="en-CA"/>
            </w:rPr>
            <w:t>Hull and Protection and Indemnity Insurance</w:t>
          </w:r>
          <w:r>
            <w:rPr>
              <w:lang w:val="en-CA" w:eastAsia="en-CA"/>
            </w:rPr>
            <w:tab/>
          </w:r>
          <w:hyperlink w:anchor="__RefHeading___Toc497548888">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19.1.5   </w:t>
          </w:r>
          <w:r>
            <w:rPr>
              <w:rFonts w:cs="Times New Roman" w:ascii="Times New Roman" w:hAnsi="Times New Roman"/>
              <w:sz w:val="22"/>
              <w:szCs w:val="24"/>
              <w:u w:val="single"/>
              <w:lang w:val="en-CA" w:eastAsia="en-CA"/>
            </w:rPr>
            <w:t>Business Automobile Liability Insurance</w:t>
          </w:r>
          <w:r>
            <w:rPr>
              <w:lang w:val="en-CA" w:eastAsia="en-CA"/>
            </w:rPr>
            <w:tab/>
          </w:r>
          <w:hyperlink w:anchor="__RefHeading___Toc497548889">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19.1.6   </w:t>
          </w:r>
          <w:r>
            <w:rPr>
              <w:rFonts w:cs="Times New Roman" w:ascii="Times New Roman" w:hAnsi="Times New Roman"/>
              <w:sz w:val="22"/>
              <w:szCs w:val="24"/>
              <w:u w:val="single"/>
              <w:lang w:val="en-CA" w:eastAsia="en-CA"/>
            </w:rPr>
            <w:t>Aircraft Liability Insurance</w:t>
          </w:r>
          <w:r>
            <w:rPr>
              <w:lang w:val="en-CA" w:eastAsia="en-CA"/>
            </w:rPr>
            <w:tab/>
          </w:r>
          <w:hyperlink w:anchor="__RefHeading___Toc497548890">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19.1.7   </w:t>
          </w:r>
          <w:r>
            <w:rPr>
              <w:rFonts w:cs="Times New Roman" w:ascii="Times New Roman" w:hAnsi="Times New Roman"/>
              <w:sz w:val="22"/>
              <w:szCs w:val="24"/>
              <w:u w:val="single"/>
              <w:lang w:val="en-CA" w:eastAsia="en-CA"/>
            </w:rPr>
            <w:t>Excess Umbrella Lability Coverage</w:t>
          </w:r>
          <w:r>
            <w:rPr>
              <w:lang w:val="en-CA" w:eastAsia="en-CA"/>
            </w:rPr>
            <w:tab/>
          </w:r>
          <w:hyperlink w:anchor="__RefHeading___Toc497548891">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19.1.8   </w:t>
          </w:r>
          <w:r>
            <w:rPr>
              <w:rFonts w:cs="Times New Roman" w:ascii="Times New Roman" w:hAnsi="Times New Roman"/>
              <w:sz w:val="22"/>
              <w:szCs w:val="24"/>
              <w:u w:val="single"/>
              <w:lang w:val="en-CA" w:eastAsia="en-CA"/>
            </w:rPr>
            <w:t>Vendors</w:t>
          </w:r>
          <w:r>
            <w:rPr>
              <w:lang w:val="en-CA" w:eastAsia="en-CA"/>
            </w:rPr>
            <w:tab/>
          </w:r>
          <w:hyperlink w:anchor="__RefHeading___Toc497548892">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19.1.9   </w:t>
          </w:r>
          <w:r>
            <w:rPr>
              <w:rFonts w:cs="Times New Roman" w:ascii="Times New Roman" w:hAnsi="Times New Roman"/>
              <w:sz w:val="22"/>
              <w:szCs w:val="24"/>
              <w:u w:val="single"/>
              <w:lang w:val="en-CA" w:eastAsia="en-CA"/>
            </w:rPr>
            <w:t>Certificate of Insurance</w:t>
          </w:r>
          <w:r>
            <w:rPr>
              <w:lang w:val="en-CA" w:eastAsia="en-CA"/>
            </w:rPr>
            <w:tab/>
          </w:r>
          <w:hyperlink w:anchor="__RefHeading___Toc497548893">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19.1.10  </w:t>
          </w:r>
          <w:r>
            <w:rPr>
              <w:rFonts w:cs="Times New Roman" w:ascii="Times New Roman" w:hAnsi="Times New Roman"/>
              <w:sz w:val="22"/>
              <w:szCs w:val="24"/>
              <w:u w:val="single"/>
              <w:lang w:val="en-CA" w:eastAsia="en-CA"/>
            </w:rPr>
            <w:t>Other Requirements</w:t>
          </w:r>
          <w:r>
            <w:rPr>
              <w:lang w:val="en-CA" w:eastAsia="en-CA"/>
            </w:rPr>
            <w:tab/>
          </w:r>
          <w:hyperlink w:anchor="__RefHeading___Toc497548894">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19.1.11  </w:t>
          </w:r>
          <w:r>
            <w:rPr>
              <w:rFonts w:cs="Times New Roman" w:ascii="Times New Roman" w:hAnsi="Times New Roman"/>
              <w:sz w:val="22"/>
              <w:szCs w:val="24"/>
              <w:u w:val="single"/>
              <w:lang w:val="en-CA" w:eastAsia="en-CA"/>
            </w:rPr>
            <w:t>Vendor Waiver of Subrogation</w:t>
          </w:r>
          <w:r>
            <w:rPr>
              <w:lang w:val="en-CA" w:eastAsia="en-CA"/>
            </w:rPr>
            <w:tab/>
          </w:r>
          <w:hyperlink w:anchor="__RefHeading___Toc497548895">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19.1.12  </w:t>
          </w:r>
          <w:r>
            <w:rPr>
              <w:rFonts w:cs="Times New Roman" w:ascii="Times New Roman" w:hAnsi="Times New Roman"/>
              <w:sz w:val="22"/>
              <w:szCs w:val="24"/>
              <w:u w:val="single"/>
              <w:lang w:val="en-CA" w:eastAsia="en-CA"/>
            </w:rPr>
            <w:t>Compliance with Insurance</w:t>
          </w:r>
          <w:r>
            <w:rPr>
              <w:lang w:val="en-CA" w:eastAsia="en-CA"/>
            </w:rPr>
            <w:tab/>
          </w:r>
          <w:hyperlink w:anchor="__RefHeading___Toc497548896">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19.1.13 </w:t>
          </w:r>
          <w:r>
            <w:rPr>
              <w:rFonts w:cs="Times New Roman" w:ascii="Times New Roman" w:hAnsi="Times New Roman"/>
              <w:sz w:val="22"/>
              <w:szCs w:val="24"/>
              <w:u w:val="single"/>
              <w:lang w:val="en-CA" w:eastAsia="en-CA"/>
            </w:rPr>
            <w:t>Limitation</w:t>
          </w:r>
          <w:r>
            <w:rPr>
              <w:lang w:val="en-CA" w:eastAsia="en-CA"/>
            </w:rPr>
            <w:tab/>
          </w:r>
          <w:hyperlink w:anchor="__RefHeading___Toc497548897">
            <w:r>
              <w:rPr>
                <w:rStyle w:val="IndexLink"/>
                <w:lang w:val="en-CA" w:eastAsia="en-CA"/>
              </w:rPr>
              <w:t>52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   </w:t>
          </w:r>
          <w:r>
            <w:rPr>
              <w:rFonts w:cs="Times New Roman" w:ascii="Times New Roman" w:hAnsi="Times New Roman"/>
              <w:sz w:val="22"/>
              <w:szCs w:val="24"/>
              <w:u w:val="single"/>
              <w:lang w:val="en-CA" w:eastAsia="en-CA"/>
            </w:rPr>
            <w:t>Purchaser Policies</w:t>
          </w:r>
          <w:r>
            <w:rPr>
              <w:lang w:val="en-CA" w:eastAsia="en-CA"/>
            </w:rPr>
            <w:tab/>
          </w:r>
          <w:hyperlink w:anchor="__RefHeading___Toc497548898">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19.3.2   </w:t>
          </w:r>
          <w:r>
            <w:rPr>
              <w:rFonts w:cs="Times New Roman" w:ascii="Times New Roman" w:hAnsi="Times New Roman"/>
              <w:sz w:val="22"/>
              <w:szCs w:val="24"/>
              <w:u w:val="single"/>
              <w:lang w:val="en-CA" w:eastAsia="en-CA"/>
            </w:rPr>
            <w:t>Not Used</w:t>
          </w:r>
          <w:r>
            <w:rPr>
              <w:lang w:val="en-CA" w:eastAsia="en-CA"/>
            </w:rPr>
            <w:tab/>
          </w:r>
          <w:hyperlink w:anchor="__RefHeading___Toc497548899">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19.3.3   </w:t>
          </w:r>
          <w:r>
            <w:rPr>
              <w:rFonts w:cs="Times New Roman" w:ascii="Times New Roman" w:hAnsi="Times New Roman"/>
              <w:sz w:val="22"/>
              <w:szCs w:val="24"/>
              <w:u w:val="single"/>
              <w:lang w:val="en-CA" w:eastAsia="en-CA"/>
            </w:rPr>
            <w:t>Primary Insurance</w:t>
          </w:r>
          <w:r>
            <w:rPr>
              <w:lang w:val="en-CA" w:eastAsia="en-CA"/>
            </w:rPr>
            <w:tab/>
          </w:r>
          <w:hyperlink w:anchor="__RefHeading___Toc497548900">
            <w:r>
              <w:rPr>
                <w:rStyle w:val="IndexLink"/>
                <w:lang w:val="en-CA" w:eastAsia="en-CA"/>
              </w:rPr>
              <w:t>53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  </w:t>
          </w:r>
          <w:r>
            <w:rPr>
              <w:rFonts w:cs="Times New Roman" w:ascii="Times New Roman" w:hAnsi="Times New Roman"/>
              <w:sz w:val="22"/>
              <w:szCs w:val="24"/>
              <w:u w:val="single"/>
            </w:rPr>
            <w:t>INDEMNIFICATION</w:t>
          </w:r>
          <w:r>
            <w:rPr/>
            <w:tab/>
          </w:r>
          <w:hyperlink w:anchor="__RefHeading___Toc497548901">
            <w:r>
              <w:rPr>
                <w:rStyle w:val="IndexLink"/>
              </w:rPr>
              <w:t>54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20.1   </w:t>
          </w:r>
          <w:r>
            <w:rPr>
              <w:rFonts w:cs="Times New Roman" w:ascii="Times New Roman" w:hAnsi="Times New Roman"/>
              <w:sz w:val="22"/>
              <w:szCs w:val="24"/>
              <w:u w:val="single"/>
              <w:lang w:val="en-CA" w:eastAsia="en-CA"/>
            </w:rPr>
            <w:t>Third Party</w:t>
          </w:r>
          <w:r>
            <w:rPr>
              <w:lang w:val="en-CA" w:eastAsia="en-CA"/>
            </w:rPr>
            <w:tab/>
          </w:r>
          <w:hyperlink w:anchor="__RefHeading___Toc497548902">
            <w:r>
              <w:rPr>
                <w:rStyle w:val="IndexLink"/>
                <w:lang w:val="en-CA" w:eastAsia="en-CA"/>
              </w:rPr>
              <w:t>54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20.2   </w:t>
          </w:r>
          <w:r>
            <w:rPr>
              <w:rFonts w:cs="Times New Roman" w:ascii="Times New Roman" w:hAnsi="Times New Roman"/>
              <w:sz w:val="22"/>
              <w:szCs w:val="24"/>
              <w:u w:val="single"/>
              <w:lang w:val="en-CA" w:eastAsia="en-CA"/>
            </w:rPr>
            <w:t>Notice</w:t>
          </w:r>
          <w:r>
            <w:rPr>
              <w:lang w:val="en-CA" w:eastAsia="en-CA"/>
            </w:rPr>
            <w:tab/>
          </w:r>
          <w:hyperlink w:anchor="__RefHeading___Toc497548903">
            <w:r>
              <w:rPr>
                <w:rStyle w:val="IndexLink"/>
                <w:lang w:val="en-CA" w:eastAsia="en-CA"/>
              </w:rPr>
              <w:t>54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20.4   </w:t>
          </w:r>
          <w:r>
            <w:rPr>
              <w:rFonts w:cs="Times New Roman" w:ascii="Times New Roman" w:hAnsi="Times New Roman"/>
              <w:sz w:val="22"/>
              <w:szCs w:val="24"/>
              <w:u w:val="single"/>
              <w:lang w:val="en-CA" w:eastAsia="en-CA"/>
            </w:rPr>
            <w:t>Survival of Obligation</w:t>
          </w:r>
          <w:r>
            <w:rPr>
              <w:lang w:val="en-CA" w:eastAsia="en-CA"/>
            </w:rPr>
            <w:tab/>
          </w:r>
          <w:hyperlink w:anchor="__RefHeading___Toc497548904">
            <w:r>
              <w:rPr>
                <w:rStyle w:val="IndexLink"/>
                <w:lang w:val="en-CA" w:eastAsia="en-CA"/>
              </w:rPr>
              <w:t>55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  </w:t>
          </w:r>
          <w:r>
            <w:rPr>
              <w:rFonts w:cs="Times New Roman" w:ascii="Times New Roman" w:hAnsi="Times New Roman"/>
              <w:sz w:val="22"/>
              <w:szCs w:val="24"/>
              <w:u w:val="single"/>
            </w:rPr>
            <w:t>NON</w:t>
            <w:noBreakHyphen/>
            <w:t>DISCLOSURE OF INFORMATION</w:t>
          </w:r>
          <w:r>
            <w:rPr/>
            <w:tab/>
          </w:r>
          <w:hyperlink w:anchor="__RefHeading___Toc497548905">
            <w:r>
              <w:rPr>
                <w:rStyle w:val="IndexLink"/>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21.1   </w:t>
          </w:r>
          <w:r>
            <w:rPr>
              <w:rFonts w:cs="Times New Roman" w:ascii="Times New Roman" w:hAnsi="Times New Roman"/>
              <w:sz w:val="22"/>
              <w:szCs w:val="24"/>
              <w:u w:val="single"/>
              <w:lang w:val="en-CA" w:eastAsia="en-CA"/>
            </w:rPr>
            <w:t>Proprietary Information</w:t>
          </w:r>
          <w:r>
            <w:rPr>
              <w:lang w:val="en-CA" w:eastAsia="en-CA"/>
            </w:rPr>
            <w:tab/>
          </w:r>
          <w:hyperlink w:anchor="__RefHeading___Toc497548906">
            <w:r>
              <w:rPr>
                <w:rStyle w:val="IndexLink"/>
                <w:lang w:val="en-CA" w:eastAsia="en-CA"/>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21.2   </w:t>
          </w:r>
          <w:r>
            <w:rPr>
              <w:rFonts w:cs="Times New Roman" w:ascii="Times New Roman" w:hAnsi="Times New Roman"/>
              <w:sz w:val="22"/>
              <w:szCs w:val="24"/>
              <w:u w:val="single"/>
              <w:lang w:val="en-CA" w:eastAsia="en-CA"/>
            </w:rPr>
            <w:t>Press Releases</w:t>
          </w:r>
          <w:r>
            <w:rPr>
              <w:lang w:val="en-CA" w:eastAsia="en-CA"/>
            </w:rPr>
            <w:tab/>
          </w:r>
          <w:hyperlink w:anchor="__RefHeading___Toc497548907">
            <w:r>
              <w:rPr>
                <w:rStyle w:val="IndexLink"/>
                <w:lang w:val="en-CA" w:eastAsia="en-CA"/>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21.3   </w:t>
          </w:r>
          <w:r>
            <w:rPr>
              <w:rFonts w:cs="Times New Roman" w:ascii="Times New Roman" w:hAnsi="Times New Roman"/>
              <w:sz w:val="22"/>
              <w:szCs w:val="24"/>
              <w:u w:val="single"/>
              <w:lang w:val="en-CA" w:eastAsia="en-CA"/>
            </w:rPr>
            <w:t>Confidentiality</w:t>
          </w:r>
          <w:r>
            <w:rPr>
              <w:lang w:val="en-CA" w:eastAsia="en-CA"/>
            </w:rPr>
            <w:tab/>
          </w:r>
          <w:hyperlink w:anchor="__RefHeading___Toc497548908">
            <w:r>
              <w:rPr>
                <w:rStyle w:val="IndexLink"/>
                <w:lang w:val="en-CA" w:eastAsia="en-CA"/>
              </w:rPr>
              <w:t>56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  </w:t>
          </w:r>
          <w:r>
            <w:rPr>
              <w:rFonts w:cs="Times New Roman" w:ascii="Times New Roman" w:hAnsi="Times New Roman"/>
              <w:sz w:val="22"/>
              <w:szCs w:val="24"/>
              <w:u w:val="single"/>
            </w:rPr>
            <w:t>ASSIGNMENT</w:t>
          </w:r>
          <w:r>
            <w:rPr/>
            <w:tab/>
          </w:r>
          <w:hyperlink w:anchor="__RefHeading___Toc497548909">
            <w:r>
              <w:rPr>
                <w:rStyle w:val="IndexLink"/>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22.1   </w:t>
          </w:r>
          <w:r>
            <w:rPr>
              <w:rFonts w:cs="Times New Roman" w:ascii="Times New Roman" w:hAnsi="Times New Roman"/>
              <w:sz w:val="22"/>
              <w:szCs w:val="24"/>
              <w:u w:val="single"/>
              <w:lang w:val="en-CA" w:eastAsia="en-CA"/>
            </w:rPr>
            <w:t>Assignment by Seller</w:t>
          </w:r>
          <w:r>
            <w:rPr>
              <w:lang w:val="en-CA" w:eastAsia="en-CA"/>
            </w:rPr>
            <w:tab/>
          </w:r>
          <w:hyperlink w:anchor="__RefHeading___Toc497548910">
            <w:r>
              <w:rPr>
                <w:rStyle w:val="IndexLink"/>
                <w:lang w:val="en-CA" w:eastAsia="en-CA"/>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22.2   </w:t>
          </w:r>
          <w:r>
            <w:rPr>
              <w:rFonts w:cs="Times New Roman" w:ascii="Times New Roman" w:hAnsi="Times New Roman"/>
              <w:sz w:val="22"/>
              <w:szCs w:val="24"/>
              <w:u w:val="single"/>
              <w:lang w:val="en-CA" w:eastAsia="en-CA"/>
            </w:rPr>
            <w:t>Assignment by Purchaser</w:t>
          </w:r>
          <w:r>
            <w:rPr>
              <w:lang w:val="en-CA" w:eastAsia="en-CA"/>
            </w:rPr>
            <w:tab/>
          </w:r>
          <w:hyperlink w:anchor="__RefHeading___Toc497548911">
            <w:r>
              <w:rPr>
                <w:rStyle w:val="IndexLink"/>
                <w:lang w:val="en-CA" w:eastAsia="en-CA"/>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22.3   </w:t>
          </w:r>
          <w:r>
            <w:rPr>
              <w:rFonts w:cs="Times New Roman" w:ascii="Times New Roman" w:hAnsi="Times New Roman"/>
              <w:sz w:val="22"/>
              <w:szCs w:val="24"/>
              <w:u w:val="single"/>
              <w:lang w:val="en-CA" w:eastAsia="en-CA"/>
            </w:rPr>
            <w:t>Agreement with Lender</w:t>
          </w:r>
          <w:r>
            <w:rPr>
              <w:lang w:val="en-CA" w:eastAsia="en-CA"/>
            </w:rPr>
            <w:tab/>
          </w:r>
          <w:hyperlink w:anchor="__RefHeading___Toc497548912">
            <w:r>
              <w:rPr>
                <w:rStyle w:val="IndexLink"/>
                <w:lang w:val="en-CA" w:eastAsia="en-CA"/>
              </w:rPr>
              <w:t>57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XXIII.  </w:t>
          </w:r>
          <w:r>
            <w:rPr>
              <w:rFonts w:cs="Times New Roman" w:ascii="Times New Roman" w:hAnsi="Times New Roman"/>
              <w:sz w:val="22"/>
              <w:szCs w:val="24"/>
              <w:u w:val="single"/>
            </w:rPr>
            <w:t>RELATIONSHIP OF THE PARTIES</w:t>
          </w:r>
          <w:r>
            <w:rPr/>
            <w:tab/>
          </w:r>
          <w:hyperlink w:anchor="__RefHeading___Toc497548913">
            <w:r>
              <w:rPr>
                <w:rStyle w:val="IndexLink"/>
              </w:rPr>
              <w:t>58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23.1   </w:t>
          </w:r>
          <w:r>
            <w:rPr>
              <w:rFonts w:cs="Times New Roman" w:ascii="Times New Roman" w:hAnsi="Times New Roman"/>
              <w:sz w:val="22"/>
              <w:szCs w:val="24"/>
              <w:u w:val="single"/>
              <w:lang w:val="en-CA" w:eastAsia="en-CA"/>
            </w:rPr>
            <w:t>Independent Contractor</w:t>
          </w:r>
          <w:r>
            <w:rPr>
              <w:lang w:val="en-CA" w:eastAsia="en-CA"/>
            </w:rPr>
            <w:tab/>
          </w:r>
          <w:hyperlink w:anchor="__RefHeading___Toc497548914">
            <w:r>
              <w:rPr>
                <w:rStyle w:val="IndexLink"/>
                <w:lang w:val="en-CA" w:eastAsia="en-CA"/>
              </w:rPr>
              <w:t>58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23.2   </w:t>
          </w:r>
          <w:r>
            <w:rPr>
              <w:rFonts w:cs="Times New Roman" w:ascii="Times New Roman" w:hAnsi="Times New Roman"/>
              <w:sz w:val="22"/>
              <w:szCs w:val="24"/>
              <w:u w:val="single"/>
              <w:lang w:val="en-CA" w:eastAsia="en-CA"/>
            </w:rPr>
            <w:t>Responsibilities of Seller as Principal for its Employees</w:t>
          </w:r>
          <w:r>
            <w:rPr>
              <w:lang w:val="en-CA" w:eastAsia="en-CA"/>
            </w:rPr>
            <w:tab/>
          </w:r>
          <w:hyperlink w:anchor="__RefHeading___Toc497548915">
            <w:r>
              <w:rPr>
                <w:rStyle w:val="IndexLink"/>
                <w:lang w:val="en-CA" w:eastAsia="en-CA"/>
              </w:rPr>
              <w:t>58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XXIV.  </w:t>
          </w:r>
          <w:r>
            <w:rPr>
              <w:rFonts w:cs="Times New Roman" w:ascii="Times New Roman" w:hAnsi="Times New Roman"/>
              <w:sz w:val="22"/>
              <w:szCs w:val="24"/>
              <w:u w:val="single"/>
            </w:rPr>
            <w:t>LIENS AND CLAIMS</w:t>
          </w:r>
          <w:r>
            <w:rPr/>
            <w:tab/>
          </w:r>
          <w:hyperlink w:anchor="__RefHeading___Toc497548916">
            <w:r>
              <w:rPr>
                <w:rStyle w:val="IndexLink"/>
              </w:rPr>
              <w:t>59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  </w:t>
          </w:r>
          <w:r>
            <w:rPr>
              <w:rFonts w:cs="Times New Roman" w:ascii="Times New Roman" w:hAnsi="Times New Roman"/>
              <w:sz w:val="22"/>
              <w:szCs w:val="24"/>
              <w:u w:val="single"/>
            </w:rPr>
            <w:t>NOTICES AND COMMUNICATIONS</w:t>
          </w:r>
          <w:r>
            <w:rPr/>
            <w:tab/>
          </w:r>
          <w:hyperlink w:anchor="__RefHeading___Toc497548917">
            <w:r>
              <w:rPr>
                <w:rStyle w:val="IndexLink"/>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25.1   </w:t>
          </w:r>
          <w:r>
            <w:rPr>
              <w:rFonts w:cs="Times New Roman" w:ascii="Times New Roman" w:hAnsi="Times New Roman"/>
              <w:sz w:val="22"/>
              <w:szCs w:val="24"/>
              <w:u w:val="single"/>
              <w:lang w:val="en-CA" w:eastAsia="en-CA"/>
            </w:rPr>
            <w:t>Notices</w:t>
          </w:r>
          <w:r>
            <w:rPr>
              <w:lang w:val="en-CA" w:eastAsia="en-CA"/>
            </w:rPr>
            <w:tab/>
          </w:r>
          <w:hyperlink w:anchor="__RefHeading___Toc497548918">
            <w:r>
              <w:rPr>
                <w:rStyle w:val="IndexLink"/>
                <w:lang w:val="en-CA" w:eastAsia="en-CA"/>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25.2   </w:t>
          </w:r>
          <w:r>
            <w:rPr>
              <w:rFonts w:cs="Times New Roman" w:ascii="Times New Roman" w:hAnsi="Times New Roman"/>
              <w:sz w:val="22"/>
              <w:szCs w:val="24"/>
              <w:u w:val="single"/>
              <w:lang w:val="en-CA" w:eastAsia="en-CA"/>
            </w:rPr>
            <w:t>Effectiveness of Notices</w:t>
          </w:r>
          <w:r>
            <w:rPr>
              <w:lang w:val="en-CA" w:eastAsia="en-CA"/>
            </w:rPr>
            <w:tab/>
          </w:r>
          <w:hyperlink w:anchor="__RefHeading___Toc497548919">
            <w:r>
              <w:rPr>
                <w:rStyle w:val="IndexLink"/>
                <w:lang w:val="en-CA" w:eastAsia="en-CA"/>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25.3   </w:t>
          </w:r>
          <w:r>
            <w:rPr>
              <w:rFonts w:cs="Times New Roman" w:ascii="Times New Roman" w:hAnsi="Times New Roman"/>
              <w:sz w:val="22"/>
              <w:szCs w:val="24"/>
              <w:u w:val="single"/>
              <w:lang w:val="en-CA" w:eastAsia="en-CA"/>
            </w:rPr>
            <w:t>Technical Communications</w:t>
          </w:r>
          <w:r>
            <w:rPr>
              <w:lang w:val="en-CA" w:eastAsia="en-CA"/>
            </w:rPr>
            <w:tab/>
          </w:r>
          <w:hyperlink w:anchor="__RefHeading___Toc497548920">
            <w:r>
              <w:rPr>
                <w:rStyle w:val="IndexLink"/>
                <w:lang w:val="en-CA" w:eastAsia="en-CA"/>
              </w:rPr>
              <w:t>60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  </w:t>
          </w:r>
          <w:r>
            <w:rPr>
              <w:rFonts w:cs="Times New Roman" w:ascii="Times New Roman" w:hAnsi="Times New Roman"/>
              <w:sz w:val="22"/>
              <w:szCs w:val="24"/>
              <w:u w:val="single"/>
            </w:rPr>
            <w:t>ARBITRATION</w:t>
          </w:r>
          <w:r>
            <w:rPr/>
            <w:tab/>
          </w:r>
          <w:hyperlink w:anchor="__RefHeading___Toc497548921">
            <w:r>
              <w:rPr>
                <w:rStyle w:val="IndexLink"/>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26.1   </w:t>
          </w:r>
          <w:r>
            <w:rPr>
              <w:rFonts w:cs="Times New Roman" w:ascii="Times New Roman" w:hAnsi="Times New Roman"/>
              <w:sz w:val="22"/>
              <w:szCs w:val="24"/>
              <w:u w:val="single"/>
              <w:lang w:val="en-CA" w:eastAsia="en-CA"/>
            </w:rPr>
            <w:t>Negotiation of Disputes and Disagreements</w:t>
          </w:r>
          <w:r>
            <w:rPr>
              <w:lang w:val="en-CA" w:eastAsia="en-CA"/>
            </w:rPr>
            <w:tab/>
          </w:r>
          <w:hyperlink w:anchor="__RefHeading___Toc497548922">
            <w:r>
              <w:rPr>
                <w:rStyle w:val="IndexLink"/>
                <w:lang w:val="en-CA" w:eastAsia="en-CA"/>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26.2   </w:t>
          </w:r>
          <w:r>
            <w:rPr>
              <w:rFonts w:cs="Times New Roman" w:ascii="Times New Roman" w:hAnsi="Times New Roman"/>
              <w:sz w:val="22"/>
              <w:szCs w:val="24"/>
              <w:u w:val="single"/>
              <w:lang w:val="en-CA" w:eastAsia="en-CA"/>
            </w:rPr>
            <w:t>Arbitration Resolution</w:t>
          </w:r>
          <w:r>
            <w:rPr>
              <w:lang w:val="en-CA" w:eastAsia="en-CA"/>
            </w:rPr>
            <w:tab/>
          </w:r>
          <w:hyperlink w:anchor="__RefHeading___Toc497548923">
            <w:r>
              <w:rPr>
                <w:rStyle w:val="IndexLink"/>
                <w:lang w:val="en-CA" w:eastAsia="en-CA"/>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26.3   </w:t>
          </w:r>
          <w:r>
            <w:rPr>
              <w:rFonts w:cs="Times New Roman" w:ascii="Times New Roman" w:hAnsi="Times New Roman"/>
              <w:sz w:val="22"/>
              <w:szCs w:val="24"/>
              <w:u w:val="single"/>
              <w:lang w:val="en-CA" w:eastAsia="en-CA"/>
            </w:rPr>
            <w:t>Continuation of Work</w:t>
          </w:r>
          <w:r>
            <w:rPr>
              <w:lang w:val="en-CA" w:eastAsia="en-CA"/>
            </w:rPr>
            <w:tab/>
          </w:r>
          <w:hyperlink w:anchor="__RefHeading___Toc497548924">
            <w:r>
              <w:rPr>
                <w:rStyle w:val="IndexLink"/>
                <w:lang w:val="en-CA" w:eastAsia="en-CA"/>
              </w:rPr>
              <w:t>61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  </w:t>
          </w:r>
          <w:r>
            <w:rPr>
              <w:rFonts w:cs="Times New Roman" w:ascii="Times New Roman" w:hAnsi="Times New Roman"/>
              <w:sz w:val="22"/>
              <w:szCs w:val="24"/>
              <w:u w:val="single"/>
            </w:rPr>
            <w:t>LIMITATION OF LIABILITY</w:t>
          </w:r>
          <w:r>
            <w:rPr/>
            <w:tab/>
          </w:r>
          <w:hyperlink w:anchor="__RefHeading___Toc497548925">
            <w:r>
              <w:rPr>
                <w:rStyle w:val="IndexLink"/>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27.1   </w:t>
          </w:r>
          <w:r>
            <w:rPr>
              <w:rFonts w:cs="Times New Roman" w:ascii="Times New Roman" w:hAnsi="Times New Roman"/>
              <w:sz w:val="22"/>
              <w:szCs w:val="24"/>
              <w:u w:val="single"/>
              <w:lang w:val="en-CA" w:eastAsia="en-CA"/>
            </w:rPr>
            <w:t>Maximum Liability</w:t>
          </w:r>
          <w:r>
            <w:rPr>
              <w:lang w:val="en-CA" w:eastAsia="en-CA"/>
            </w:rPr>
            <w:tab/>
          </w:r>
          <w:hyperlink w:anchor="__RefHeading___Toc497548926">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27.2   </w:t>
          </w:r>
          <w:r>
            <w:rPr>
              <w:rFonts w:cs="Times New Roman" w:ascii="Times New Roman" w:hAnsi="Times New Roman"/>
              <w:sz w:val="22"/>
              <w:szCs w:val="24"/>
              <w:u w:val="single"/>
              <w:lang w:val="en-CA" w:eastAsia="en-CA"/>
            </w:rPr>
            <w:t>Consequential Damages</w:t>
          </w:r>
          <w:r>
            <w:rPr>
              <w:lang w:val="en-CA" w:eastAsia="en-CA"/>
            </w:rPr>
            <w:tab/>
          </w:r>
          <w:hyperlink w:anchor="__RefHeading___Toc497548927">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27.3   </w:t>
          </w:r>
          <w:r>
            <w:rPr>
              <w:rFonts w:cs="Times New Roman" w:ascii="Times New Roman" w:hAnsi="Times New Roman"/>
              <w:sz w:val="22"/>
              <w:szCs w:val="24"/>
              <w:u w:val="single"/>
              <w:lang w:val="en-CA" w:eastAsia="en-CA"/>
            </w:rPr>
            <w:t>Releases Valid in All Events</w:t>
          </w:r>
          <w:r>
            <w:rPr>
              <w:lang w:val="en-CA" w:eastAsia="en-CA"/>
            </w:rPr>
            <w:tab/>
          </w:r>
          <w:hyperlink w:anchor="__RefHeading___Toc497548928">
            <w:r>
              <w:rPr>
                <w:rStyle w:val="IndexLink"/>
                <w:lang w:val="en-CA" w:eastAsia="en-CA"/>
              </w:rPr>
              <w:t>62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XXVIII.  </w:t>
          </w:r>
          <w:r>
            <w:rPr>
              <w:rFonts w:cs="Times New Roman" w:ascii="Times New Roman" w:hAnsi="Times New Roman"/>
              <w:sz w:val="22"/>
              <w:szCs w:val="24"/>
              <w:u w:val="single"/>
            </w:rPr>
            <w:t>DRUG AND ALCOHOL</w:t>
            <w:noBreakHyphen/>
            <w:t>FREE WORKPLACE</w:t>
          </w:r>
          <w:r>
            <w:rPr/>
            <w:tab/>
          </w:r>
          <w:hyperlink w:anchor="__RefHeading___Toc497548929">
            <w:r>
              <w:rPr>
                <w:rStyle w:val="IndexLink"/>
              </w:rPr>
              <w:t>63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MISCELLANEOUS</w:t>
          </w:r>
          <w:r>
            <w:rPr/>
            <w:tab/>
          </w:r>
          <w:hyperlink w:anchor="__RefHeading___Toc497548930">
            <w:r>
              <w:rPr>
                <w:rStyle w:val="IndexLink"/>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   </w:t>
          </w:r>
          <w:r>
            <w:rPr>
              <w:rFonts w:cs="Times New Roman" w:ascii="Times New Roman" w:hAnsi="Times New Roman"/>
              <w:sz w:val="22"/>
              <w:szCs w:val="24"/>
              <w:u w:val="single"/>
              <w:lang w:val="en-CA" w:eastAsia="en-CA"/>
            </w:rPr>
            <w:t>Validity and Enforceability</w:t>
          </w:r>
          <w:r>
            <w:rPr>
              <w:lang w:val="en-CA" w:eastAsia="en-CA"/>
            </w:rPr>
            <w:tab/>
          </w:r>
          <w:hyperlink w:anchor="__RefHeading___Toc497548931">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29.2   </w:t>
          </w:r>
          <w:r>
            <w:rPr>
              <w:rFonts w:cs="Times New Roman" w:ascii="Times New Roman" w:hAnsi="Times New Roman"/>
              <w:sz w:val="22"/>
              <w:szCs w:val="24"/>
              <w:u w:val="single"/>
              <w:lang w:val="en-CA" w:eastAsia="en-CA"/>
            </w:rPr>
            <w:t>Governing Law</w:t>
          </w:r>
          <w:r>
            <w:rPr>
              <w:lang w:val="en-CA" w:eastAsia="en-CA"/>
            </w:rPr>
            <w:tab/>
          </w:r>
          <w:hyperlink w:anchor="__RefHeading___Toc497548932">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29.3   </w:t>
          </w:r>
          <w:r>
            <w:rPr>
              <w:rFonts w:cs="Times New Roman" w:ascii="Times New Roman" w:hAnsi="Times New Roman"/>
              <w:sz w:val="22"/>
              <w:szCs w:val="24"/>
              <w:u w:val="single"/>
              <w:lang w:val="en-CA" w:eastAsia="en-CA"/>
            </w:rPr>
            <w:t>Entire Agreement</w:t>
          </w:r>
          <w:r>
            <w:rPr>
              <w:lang w:val="en-CA" w:eastAsia="en-CA"/>
            </w:rPr>
            <w:tab/>
          </w:r>
          <w:hyperlink w:anchor="__RefHeading___Toc497548933">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29.4   </w:t>
          </w:r>
          <w:r>
            <w:rPr>
              <w:rFonts w:cs="Times New Roman" w:ascii="Times New Roman" w:hAnsi="Times New Roman"/>
              <w:sz w:val="22"/>
              <w:szCs w:val="24"/>
              <w:u w:val="single"/>
              <w:lang w:val="en-CA" w:eastAsia="en-CA"/>
            </w:rPr>
            <w:t>Agreement Modification</w:t>
          </w:r>
          <w:r>
            <w:rPr>
              <w:lang w:val="en-CA" w:eastAsia="en-CA"/>
            </w:rPr>
            <w:tab/>
          </w:r>
          <w:hyperlink w:anchor="__RefHeading___Toc497548934">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29.5   </w:t>
          </w:r>
          <w:r>
            <w:rPr>
              <w:rFonts w:cs="Times New Roman" w:ascii="Times New Roman" w:hAnsi="Times New Roman"/>
              <w:sz w:val="22"/>
              <w:szCs w:val="24"/>
              <w:u w:val="single"/>
              <w:lang w:val="en-CA" w:eastAsia="en-CA"/>
            </w:rPr>
            <w:t>Waiver</w:t>
          </w:r>
          <w:r>
            <w:rPr>
              <w:lang w:val="en-CA" w:eastAsia="en-CA"/>
            </w:rPr>
            <w:tab/>
          </w:r>
          <w:hyperlink w:anchor="__RefHeading___Toc497548935">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29.6   </w:t>
          </w:r>
          <w:r>
            <w:rPr>
              <w:rFonts w:cs="Times New Roman" w:ascii="Times New Roman" w:hAnsi="Times New Roman"/>
              <w:sz w:val="22"/>
              <w:szCs w:val="24"/>
              <w:u w:val="single"/>
              <w:lang w:val="en-CA" w:eastAsia="en-CA"/>
            </w:rPr>
            <w:t>Headings</w:t>
          </w:r>
          <w:r>
            <w:rPr>
              <w:lang w:val="en-CA" w:eastAsia="en-CA"/>
            </w:rPr>
            <w:tab/>
          </w:r>
          <w:hyperlink w:anchor="__RefHeading___Toc497548936">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29.7   </w:t>
          </w:r>
          <w:r>
            <w:rPr>
              <w:rFonts w:cs="Times New Roman" w:ascii="Times New Roman" w:hAnsi="Times New Roman"/>
              <w:sz w:val="22"/>
              <w:szCs w:val="24"/>
              <w:u w:val="single"/>
              <w:lang w:val="en-CA" w:eastAsia="en-CA"/>
            </w:rPr>
            <w:t>Third</w:t>
            <w:noBreakHyphen/>
            <w:t>Party Beneficiaries</w:t>
          </w:r>
          <w:r>
            <w:rPr>
              <w:lang w:val="en-CA" w:eastAsia="en-CA"/>
            </w:rPr>
            <w:tab/>
          </w:r>
          <w:hyperlink w:anchor="__RefHeading___Toc497548937">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29.8   </w:t>
          </w:r>
          <w:r>
            <w:rPr>
              <w:rFonts w:cs="Times New Roman" w:ascii="Times New Roman" w:hAnsi="Times New Roman"/>
              <w:sz w:val="22"/>
              <w:szCs w:val="24"/>
              <w:u w:val="single"/>
              <w:lang w:val="en-CA" w:eastAsia="en-CA"/>
            </w:rPr>
            <w:t>Counterparts</w:t>
          </w:r>
          <w:r>
            <w:rPr>
              <w:lang w:val="en-CA" w:eastAsia="en-CA"/>
            </w:rPr>
            <w:tab/>
          </w:r>
          <w:hyperlink w:anchor="__RefHeading___Toc497548938">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29.9   </w:t>
          </w:r>
          <w:r>
            <w:rPr>
              <w:rFonts w:cs="Times New Roman" w:ascii="Times New Roman" w:hAnsi="Times New Roman"/>
              <w:sz w:val="22"/>
              <w:szCs w:val="24"/>
              <w:u w:val="single"/>
              <w:lang w:val="en-CA" w:eastAsia="en-CA"/>
            </w:rPr>
            <w:t>Equal Employment Opportunity</w:t>
          </w:r>
          <w:r>
            <w:rPr>
              <w:lang w:val="en-CA" w:eastAsia="en-CA"/>
            </w:rPr>
            <w:tab/>
          </w:r>
          <w:hyperlink w:anchor="__RefHeading___Toc497548939">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29.10  </w:t>
          </w:r>
          <w:r>
            <w:rPr>
              <w:rFonts w:cs="Times New Roman" w:ascii="Times New Roman" w:hAnsi="Times New Roman"/>
              <w:sz w:val="22"/>
              <w:szCs w:val="24"/>
              <w:u w:val="single"/>
              <w:lang w:val="en-CA" w:eastAsia="en-CA"/>
            </w:rPr>
            <w:t>Cooperation on Site</w:t>
          </w:r>
          <w:r>
            <w:rPr>
              <w:lang w:val="en-CA" w:eastAsia="en-CA"/>
            </w:rPr>
            <w:tab/>
          </w:r>
          <w:hyperlink w:anchor="__RefHeading___Toc497548940">
            <w:r>
              <w:rPr>
                <w:rStyle w:val="IndexLink"/>
                <w:lang w:val="en-CA" w:eastAsia="en-CA"/>
              </w:rPr>
              <w:t>65</w:t>
            </w:r>
          </w:hyperlink>
          <w:r>
            <w:rPr>
              <w:rStyle w:val="IndexLink"/>
              <w:lang w:val="en-CA" w:eastAsia="en-CA"/>
            </w:rPr>
            <w:fldChar w:fldCharType="end"/>
          </w:r>
        </w:p>
      </w:sdtContent>
    </w:sdt>
    <w:p>
      <w:pPr>
        <w:pStyle w:val="Normal"/>
        <w:widowControl/>
        <w:jc w:val="center"/>
        <w:rPr>
          <w:rFonts w:ascii="Times New Roman" w:hAnsi="Times New Roman" w:cs="Times New Roman"/>
          <w:sz w:val="22"/>
          <w:szCs w:val="24"/>
          <w:lang w:val="en-CA" w:eastAsia="en-CA"/>
        </w:rPr>
      </w:pPr>
      <w:r>
        <w:rPr>
          <w:rFonts w:cs="Times New Roman" w:ascii="Times New Roman" w:hAnsi="Times New Roman"/>
          <w:sz w:val="22"/>
          <w:szCs w:val="24"/>
          <w:lang w:val="en-CA" w:eastAsia="en-CA"/>
        </w:rPr>
      </w:r>
      <w:r>
        <w:br w:type="page"/>
      </w:r>
    </w:p>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7548734"/>
      <w:bookmarkEnd w:id="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bCs/>
          <w:sz w:val="22"/>
        </w:rPr>
      </w:pPr>
      <w:r>
        <w:rPr>
          <w:rFonts w:cs="Times New Roman" w:ascii="Times New Roman" w:hAnsi="Times New Roman"/>
          <w:b/>
          <w:bCs/>
          <w:sz w:val="22"/>
        </w:rPr>
        <w:t>[PLEASE NOTE:  the definitions have not been updated to reflect changes from the form document]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Shall have the meaning as set forth in Section 10.9.</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Shall mean this Agreement for the purchase of the Equipment, including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Shall have the meaning as set forth in Section 5.4.1(c).</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7</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Shall have the meaning as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8</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z w:val="22"/>
          <w:u w:val="single"/>
        </w:rPr>
        <w:t>Delay Event</w:t>
      </w:r>
      <w:r>
        <w:rPr>
          <w:rFonts w:cs="Times New Roman" w:ascii="Times New Roman" w:hAnsi="Times New Roman"/>
          <w:sz w:val="22"/>
        </w:rPr>
        <w:t>.  Shall have the meaning set forth in Section 10.3.1.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1.10</w:t>
        <w:tab/>
      </w:r>
      <w:r>
        <w:rPr>
          <w:rFonts w:cs="Times New Roman" w:ascii="Times New Roman" w:hAnsi="Times New Roman"/>
          <w:sz w:val="22"/>
          <w:u w:val="single"/>
        </w:rPr>
        <w:t>Delay Liquidated Damages</w:t>
      </w:r>
      <w:r>
        <w:rPr>
          <w:rFonts w:cs="Times New Roman" w:ascii="Times New Roman" w:hAnsi="Times New Roman"/>
          <w:sz w:val="22"/>
        </w:rPr>
        <w:t>.  Shall have the meaning set forth in Section 10.3.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.11</w:t>
        <w:tab/>
      </w:r>
      <w:r>
        <w:rPr>
          <w:rFonts w:cs="Times New Roman" w:ascii="Times New Roman" w:hAnsi="Times New Roman"/>
          <w:sz w:val="22"/>
          <w:u w:val="single"/>
        </w:rPr>
        <w:t>Delivery Point</w:t>
      </w:r>
      <w:r>
        <w:rPr>
          <w:rFonts w:cs="Times New Roman" w:ascii="Times New Roman" w:hAnsi="Times New Roman"/>
          <w:sz w:val="22"/>
        </w:rPr>
        <w:t>.  For all Equipment, delivery shall mean a location designated by Purchaser. [Note: for pricing purposes it is assumed that delivery will be in Connecticut.]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.12</w:t>
        <w:tab/>
      </w:r>
      <w:r>
        <w:rPr>
          <w:rFonts w:cs="Times New Roman" w:ascii="Times New Roman" w:hAnsi="Times New Roman"/>
          <w:sz w:val="22"/>
          <w:u w:val="single"/>
        </w:rPr>
        <w:t>Document Delivery Date</w:t>
      </w:r>
      <w:r>
        <w:rPr>
          <w:rFonts w:cs="Times New Roman" w:ascii="Times New Roman" w:hAnsi="Times New Roman"/>
          <w:sz w:val="22"/>
        </w:rPr>
        <w:t>.  Shall have the meaning as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.13</w:t>
        <w:tab/>
      </w:r>
      <w:r>
        <w:rPr>
          <w:rFonts w:cs="Times New Roman" w:ascii="Times New Roman" w:hAnsi="Times New Roman"/>
          <w:sz w:val="22"/>
          <w:u w:val="single"/>
        </w:rPr>
        <w:t>Document Liquidated Damages</w:t>
      </w:r>
      <w:r>
        <w:rPr>
          <w:rFonts w:cs="Times New Roman" w:ascii="Times New Roman" w:hAnsi="Times New Roman"/>
          <w:sz w:val="22"/>
        </w:rPr>
        <w:t>.  Shall have the meaning as set forth 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.14</w:t>
        <w:tab/>
      </w:r>
      <w:r>
        <w:rPr>
          <w:rFonts w:cs="Times New Roman" w:ascii="Times New Roman" w:hAnsi="Times New Roman"/>
          <w:sz w:val="22"/>
          <w:u w:val="single"/>
        </w:rPr>
        <w:t>Due Date</w:t>
      </w:r>
      <w:r>
        <w:rPr>
          <w:rFonts w:cs="Times New Roman" w:ascii="Times New Roman" w:hAnsi="Times New Roman"/>
          <w:sz w:val="22"/>
        </w:rPr>
        <w:t>.  Shall have the meaning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.15</w:t>
        <w:tab/>
      </w:r>
      <w:r>
        <w:rPr>
          <w:rFonts w:cs="Times New Roman" w:ascii="Times New Roman" w:hAnsi="Times New Roman"/>
          <w:sz w:val="22"/>
          <w:u w:val="single"/>
        </w:rPr>
        <w:t>Effective Date</w:t>
      </w:r>
      <w:r>
        <w:rPr>
          <w:rFonts w:cs="Times New Roman" w:ascii="Times New Roman" w:hAnsi="Times New Roman"/>
          <w:sz w:val="22"/>
        </w:rPr>
        <w:t>.  Shall have the meaning as set forth in Section 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[1.16</w:t>
        <w:tab/>
      </w:r>
      <w:r>
        <w:rPr>
          <w:rFonts w:cs="Times New Roman" w:ascii="Times New Roman" w:hAnsi="Times New Roman"/>
          <w:sz w:val="22"/>
          <w:u w:val="single"/>
        </w:rPr>
        <w:t>Heat Rate</w:t>
      </w:r>
      <w:r>
        <w:rPr>
          <w:rFonts w:cs="Times New Roman" w:ascii="Times New Roman" w:hAnsi="Times New Roman"/>
          <w:sz w:val="22"/>
        </w:rPr>
        <w:t>.  Shall mean .</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1.17</w:t>
        <w:tab/>
      </w:r>
      <w:r>
        <w:rPr>
          <w:rFonts w:cs="Times New Roman" w:ascii="Times New Roman" w:hAnsi="Times New Roman"/>
          <w:sz w:val="22"/>
          <w:u w:val="single"/>
        </w:rPr>
        <w:t>Heat Rate Guarantee</w:t>
      </w:r>
      <w:r>
        <w:rPr>
          <w:rFonts w:cs="Times New Roman" w:ascii="Times New Roman" w:hAnsi="Times New Roman"/>
          <w:sz w:val="22"/>
        </w:rPr>
        <w:t>.  Shall have the meaning set forth in Section 10.4.1.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.18</w:t>
        <w:tab/>
      </w:r>
      <w:r>
        <w:rPr>
          <w:rFonts w:cs="Times New Roman" w:ascii="Times New Roman" w:hAnsi="Times New Roman"/>
          <w:sz w:val="22"/>
          <w:u w:val="single"/>
        </w:rPr>
        <w:t>Heat Rate Liquidated Damages</w:t>
      </w:r>
      <w:r>
        <w:rPr>
          <w:rFonts w:cs="Times New Roman" w:ascii="Times New Roman" w:hAnsi="Times New Roman"/>
          <w:sz w:val="22"/>
        </w:rPr>
        <w:t xml:space="preserve">.  Shall have the meaning set forth in Sections 10.4.3 and 10.4.4.]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.19</w:t>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 specifically including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.20</w:t>
        <w:tab/>
      </w:r>
      <w:r>
        <w:rPr>
          <w:rFonts w:cs="Times New Roman" w:ascii="Times New Roman" w:hAnsi="Times New Roman"/>
          <w:sz w:val="22"/>
          <w:u w:val="single"/>
        </w:rPr>
        <w:t>Event of Force Majeure</w:t>
      </w:r>
      <w:r>
        <w:rPr>
          <w:rFonts w:cs="Times New Roman" w:ascii="Times New Roman" w:hAnsi="Times New Roman"/>
          <w:sz w:val="22"/>
        </w:rPr>
        <w:t>.  Shall have the meaning as defined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.21</w:t>
        <w:tab/>
      </w:r>
      <w:r>
        <w:rPr>
          <w:rFonts w:cs="Times New Roman" w:ascii="Times New Roman" w:hAnsi="Times New Roman"/>
          <w:sz w:val="22"/>
          <w:u w:val="single"/>
        </w:rPr>
        <w:t>Event of Purchaser Default</w:t>
      </w:r>
      <w:r>
        <w:rPr>
          <w:rFonts w:cs="Times New Roman" w:ascii="Times New Roman" w:hAnsi="Times New Roman"/>
          <w:sz w:val="22"/>
        </w:rPr>
        <w:t>.  Shall have the meaning as defined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.22</w:t>
        <w:tab/>
      </w:r>
      <w:r>
        <w:rPr>
          <w:rFonts w:cs="Times New Roman" w:ascii="Times New Roman" w:hAnsi="Times New Roman"/>
          <w:sz w:val="22"/>
          <w:u w:val="single"/>
        </w:rPr>
        <w:t>Event of Seller Default</w:t>
      </w:r>
      <w:r>
        <w:rPr>
          <w:rFonts w:cs="Times New Roman" w:ascii="Times New Roman" w:hAnsi="Times New Roman"/>
          <w:sz w:val="22"/>
        </w:rPr>
        <w:t>.  Shall have the meaning as defined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.23</w:t>
        <w:tab/>
      </w:r>
      <w:r>
        <w:rPr>
          <w:rFonts w:cs="Times New Roman" w:ascii="Times New Roman" w:hAnsi="Times New Roman"/>
          <w:sz w:val="22"/>
          <w:u w:val="single"/>
        </w:rPr>
        <w:t>Excess Termination Costs</w:t>
      </w:r>
      <w:r>
        <w:rPr>
          <w:rFonts w:cs="Times New Roman" w:ascii="Times New Roman" w:hAnsi="Times New Roman"/>
          <w:sz w:val="22"/>
        </w:rPr>
        <w:t>.  Shall have the meaning set forth in Section 17.4.3.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.24</w:t>
        <w:tab/>
      </w:r>
      <w:r>
        <w:rPr>
          <w:rFonts w:cs="Times New Roman" w:ascii="Times New Roman" w:hAnsi="Times New Roman"/>
          <w:sz w:val="22"/>
          <w:u w:val="single"/>
        </w:rPr>
        <w:t>Extended Warranty Period</w:t>
      </w:r>
      <w:r>
        <w:rPr>
          <w:rFonts w:cs="Times New Roman" w:ascii="Times New Roman" w:hAnsi="Times New Roman"/>
          <w:sz w:val="22"/>
        </w:rPr>
        <w:t>.  Shall have the meaning as set forth in Section 14.2.1.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.25</w:t>
        <w:tab/>
      </w:r>
      <w:r>
        <w:rPr>
          <w:rFonts w:cs="Times New Roman" w:ascii="Times New Roman" w:hAnsi="Times New Roman"/>
          <w:sz w:val="22"/>
          <w:u w:val="single"/>
        </w:rPr>
        <w:t>Facility</w:t>
      </w:r>
      <w:r>
        <w:rPr>
          <w:rFonts w:cs="Times New Roman" w:ascii="Times New Roman" w:hAnsi="Times New Roman"/>
          <w:sz w:val="22"/>
        </w:rPr>
        <w:t>.  Shall mean each electric generation plant comprised of the specified number of Units and the Balance of Plant.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.26</w:t>
        <w:tab/>
      </w:r>
      <w:r>
        <w:rPr>
          <w:rFonts w:cs="Times New Roman" w:ascii="Times New Roman" w:hAnsi="Times New Roman"/>
          <w:sz w:val="22"/>
          <w:u w:val="single"/>
        </w:rPr>
        <w:t>Guaranteed Installation Date</w:t>
      </w:r>
      <w:r>
        <w:rPr>
          <w:rFonts w:cs="Times New Roman" w:ascii="Times New Roman" w:hAnsi="Times New Roman"/>
          <w:sz w:val="22"/>
        </w:rPr>
        <w:t>.  Shall have the meaning as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.27</w:t>
        <w:tab/>
      </w:r>
      <w:r>
        <w:rPr>
          <w:rFonts w:cs="Times New Roman" w:ascii="Times New Roman" w:hAnsi="Times New Roman"/>
          <w:sz w:val="22"/>
          <w:u w:val="single"/>
        </w:rPr>
        <w:t>Hazardous Materials</w:t>
      </w:r>
      <w:r>
        <w:rPr>
          <w:rFonts w:cs="Times New Roman" w:ascii="Times New Roman" w:hAnsi="Times New Roman"/>
          <w:sz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1.28</w:t>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[1.29</w:t>
        <w:tab/>
      </w:r>
      <w:r>
        <w:rPr>
          <w:rFonts w:cs="Times New Roman" w:ascii="Times New Roman" w:hAnsi="Times New Roman"/>
          <w:sz w:val="22"/>
          <w:u w:val="single"/>
        </w:rPr>
        <w:t>Installation Liquidated Damages</w:t>
      </w:r>
      <w:r>
        <w:rPr>
          <w:rFonts w:cs="Times New Roman" w:ascii="Times New Roman" w:hAnsi="Times New Roman"/>
          <w:sz w:val="22"/>
        </w:rPr>
        <w:t>.  Shall have the meaning as set forth in Section 10.3.1.]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.30</w:t>
        <w:tab/>
      </w:r>
      <w:r>
        <w:rPr>
          <w:rFonts w:cs="Times New Roman" w:ascii="Times New Roman" w:hAnsi="Times New Roman"/>
          <w:sz w:val="22"/>
          <w:u w:val="single"/>
        </w:rPr>
        <w:t>Insurability Certificate</w:t>
      </w:r>
      <w:r>
        <w:rPr>
          <w:rFonts w:cs="Times New Roman" w:ascii="Times New Roman" w:hAnsi="Times New Roman"/>
          <w:sz w:val="22"/>
        </w:rPr>
        <w:t>.  Shall have the meaning as set forth in Section 3.10.2.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1.31</w:t>
        <w:tab/>
      </w:r>
      <w:r>
        <w:rPr>
          <w:rFonts w:cs="Times New Roman" w:ascii="Times New Roman" w:hAnsi="Times New Roman"/>
          <w:sz w:val="22"/>
          <w:u w:val="single"/>
        </w:rPr>
        <w:t>Indemnified Party</w:t>
      </w:r>
      <w:r>
        <w:rPr>
          <w:rFonts w:cs="Times New Roman" w:ascii="Times New Roman" w:hAnsi="Times New Roman"/>
          <w:sz w:val="22"/>
        </w:rPr>
        <w:t>.  Shall have the meaning as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.32</w:t>
        <w:tab/>
      </w:r>
      <w:r>
        <w:rPr>
          <w:rFonts w:cs="Times New Roman" w:ascii="Times New Roman" w:hAnsi="Times New Roman"/>
          <w:sz w:val="22"/>
          <w:u w:val="single"/>
        </w:rPr>
        <w:t>Insurance Representative</w:t>
      </w:r>
      <w:r>
        <w:rPr>
          <w:rFonts w:cs="Times New Roman" w:ascii="Times New Roman" w:hAnsi="Times New Roman"/>
          <w:sz w:val="22"/>
        </w:rPr>
        <w:t>.  Shall have the meaning as set forth in Section 3.10.1.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.33</w:t>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.34</w:t>
        <w:tab/>
      </w:r>
      <w:r>
        <w:rPr>
          <w:rFonts w:cs="Times New Roman" w:ascii="Times New Roman" w:hAnsi="Times New Roman"/>
          <w:sz w:val="22"/>
          <w:u w:val="single"/>
        </w:rPr>
        <w:t>kW</w:t>
      </w:r>
      <w:r>
        <w:rPr>
          <w:rFonts w:cs="Times New Roman" w:ascii="Times New Roman" w:hAnsi="Times New Roman"/>
          <w:sz w:val="22"/>
        </w:rPr>
        <w:t>.  Shall mean kilowatt.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.35</w:t>
        <w:tab/>
      </w:r>
      <w:r>
        <w:rPr>
          <w:rFonts w:cs="Times New Roman" w:ascii="Times New Roman" w:hAnsi="Times New Roman"/>
          <w:sz w:val="22"/>
          <w:u w:val="single"/>
        </w:rPr>
        <w:t>kWh or 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.36</w:t>
        <w:tab/>
      </w:r>
      <w:r>
        <w:rPr>
          <w:rFonts w:cs="Times New Roman" w:ascii="Times New Roman" w:hAnsi="Times New Roman"/>
          <w:sz w:val="22"/>
          <w:u w:val="single"/>
        </w:rPr>
        <w:t>Lender</w:t>
      </w:r>
      <w:r>
        <w:rPr>
          <w:rFonts w:cs="Times New Roman" w:ascii="Times New Roman" w:hAnsi="Times New Roman"/>
          <w:sz w:val="22"/>
        </w:rPr>
        <w:t>.  Shall mean any financial institution from which Purchaser is obtaining financing in connection with the Facility and associated facilities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.39</w:t>
        <w:tab/>
      </w:r>
      <w:r>
        <w:rPr>
          <w:rFonts w:cs="Times New Roman" w:ascii="Times New Roman" w:hAnsi="Times New Roman"/>
          <w:sz w:val="22"/>
          <w:u w:val="single"/>
        </w:rPr>
        <w:t>Milestone</w:t>
      </w:r>
      <w:r>
        <w:rPr>
          <w:rFonts w:cs="Times New Roman" w:ascii="Times New Roman" w:hAnsi="Times New Roman"/>
          <w:sz w:val="22"/>
        </w:rPr>
        <w:t>.  Shall mean an event that triggers a responsibility of Purchaser to pay a Milestone Payment Amount as set forth and listed in Section 6.1.2.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.43</w:t>
        <w:tab/>
      </w:r>
      <w:r>
        <w:rPr>
          <w:rFonts w:cs="Times New Roman" w:ascii="Times New Roman" w:hAnsi="Times New Roman"/>
          <w:sz w:val="22"/>
          <w:u w:val="single"/>
        </w:rPr>
        <w:t>Net Cancellation Charge</w:t>
      </w:r>
      <w:r>
        <w:rPr>
          <w:rFonts w:cs="Times New Roman" w:ascii="Times New Roman" w:hAnsi="Times New Roman"/>
          <w:sz w:val="22"/>
        </w:rPr>
        <w:t>.  Shall have the meaning as set forth in Section 5.4.1(d).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.44</w:t>
        <w:tab/>
      </w:r>
      <w:r>
        <w:rPr>
          <w:rFonts w:cs="Times New Roman" w:ascii="Times New Roman" w:hAnsi="Times New Roman"/>
          <w:sz w:val="22"/>
          <w:u w:val="single"/>
        </w:rPr>
        <w:t>Notice</w:t>
      </w:r>
      <w:r>
        <w:rPr>
          <w:rFonts w:cs="Times New Roman" w:ascii="Times New Roman" w:hAnsi="Times New Roman"/>
          <w:sz w:val="22"/>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.45</w:t>
        <w:tab/>
      </w:r>
      <w:r>
        <w:rPr>
          <w:rFonts w:cs="Times New Roman" w:ascii="Times New Roman" w:hAnsi="Times New Roman"/>
          <w:sz w:val="22"/>
          <w:u w:val="single"/>
        </w:rPr>
        <w:t>Notice to Proceed or NTP</w:t>
      </w:r>
      <w:r>
        <w:rPr>
          <w:rFonts w:cs="Times New Roman" w:ascii="Times New Roman" w:hAnsi="Times New Roman"/>
          <w:sz w:val="22"/>
        </w:rPr>
        <w:t>.  Shall have the meaning as set forth in Section 7.2.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5"/>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5"/>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.49</w:t>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.50</w:t>
        <w:tab/>
      </w:r>
      <w:r>
        <w:rPr>
          <w:rFonts w:cs="Times New Roman" w:ascii="Times New Roman" w:hAnsi="Times New Roman"/>
          <w:sz w:val="22"/>
          <w:u w:val="single"/>
        </w:rPr>
        <w:t>Performance Test</w:t>
      </w:r>
      <w:r>
        <w:rPr>
          <w:rFonts w:cs="Times New Roman" w:ascii="Times New Roman" w:hAnsi="Times New Roman"/>
          <w:sz w:val="22"/>
        </w:rPr>
        <w:t>.  Shall mean the test(s) conducted at each Site on each Unit in accordance with the Test Procedures to determine whether the tested Unit meets Emissions, Heat Rate, Electrical Output and Water Consumption Guarantees.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.51</w:t>
        <w:tab/>
      </w:r>
      <w:r>
        <w:rPr>
          <w:rFonts w:cs="Times New Roman" w:ascii="Times New Roman" w:hAnsi="Times New Roman"/>
          <w:sz w:val="22"/>
          <w:u w:val="single"/>
        </w:rPr>
        <w:t>Performance Test Certificate</w:t>
      </w:r>
      <w:r>
        <w:rPr>
          <w:rFonts w:cs="Times New Roman" w:ascii="Times New Roman" w:hAnsi="Times New Roman"/>
          <w:sz w:val="22"/>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.52</w:t>
        <w:tab/>
      </w:r>
      <w:r>
        <w:rPr>
          <w:rFonts w:cs="Times New Roman" w:ascii="Times New Roman" w:hAnsi="Times New Roman"/>
          <w:sz w:val="22"/>
          <w:u w:val="single"/>
        </w:rPr>
        <w:t>Primary Warranty Period</w:t>
      </w:r>
      <w:r>
        <w:rPr>
          <w:rFonts w:cs="Times New Roman" w:ascii="Times New Roman" w:hAnsi="Times New Roman"/>
          <w:sz w:val="22"/>
        </w:rPr>
        <w:t>.  Shall have the meaning as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.53</w:t>
        <w:tab/>
      </w:r>
      <w:r>
        <w:rPr>
          <w:rFonts w:cs="Times New Roman" w:ascii="Times New Roman" w:hAnsi="Times New Roman"/>
          <w:sz w:val="22"/>
          <w:u w:val="single"/>
        </w:rPr>
        <w:t>Project Manager</w:t>
      </w:r>
      <w:r>
        <w:rPr>
          <w:rFonts w:cs="Times New Roman" w:ascii="Times New Roman" w:hAnsi="Times New Roman"/>
          <w:sz w:val="22"/>
        </w:rPr>
        <w:t xml:space="preserve">.  Shall mean the project manager designated by Seller pursuant to Section 3.3(a) 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.54</w:t>
        <w:tab/>
      </w:r>
      <w:r>
        <w:rPr>
          <w:rFonts w:cs="Times New Roman" w:ascii="Times New Roman" w:hAnsi="Times New Roman"/>
          <w:sz w:val="22"/>
          <w:u w:val="single"/>
        </w:rPr>
        <w:t>Proper Scope Value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.55</w:t>
        <w:tab/>
      </w:r>
      <w:r>
        <w:rPr>
          <w:rFonts w:cs="Times New Roman" w:ascii="Times New Roman" w:hAnsi="Times New Roman"/>
          <w:sz w:val="22"/>
          <w:u w:val="single"/>
        </w:rPr>
        <w:t>Purchase Amount</w:t>
      </w:r>
      <w:r>
        <w:rPr>
          <w:rFonts w:cs="Times New Roman" w:ascii="Times New Roman" w:hAnsi="Times New Roman"/>
          <w:sz w:val="22"/>
        </w:rPr>
        <w:t>.  Shall have the meaning set forth in Section 5.1.1, as such amount may be adjusted from time to time.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.56</w:t>
        <w:tab/>
      </w:r>
      <w:r>
        <w:rPr>
          <w:rFonts w:cs="Times New Roman" w:ascii="Times New Roman" w:hAnsi="Times New Roman"/>
          <w:sz w:val="22"/>
          <w:u w:val="single"/>
        </w:rPr>
        <w:t>Purchaser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.57</w:t>
        <w:tab/>
      </w:r>
      <w:r>
        <w:rPr>
          <w:rFonts w:cs="Times New Roman" w:ascii="Times New Roman" w:hAnsi="Times New Roman"/>
          <w:sz w:val="22"/>
          <w:u w:val="single"/>
        </w:rPr>
        <w:t>Purchaser's Representative</w:t>
      </w:r>
      <w:r>
        <w:rPr>
          <w:rFonts w:cs="Times New Roman" w:ascii="Times New Roman" w:hAnsi="Times New Roman"/>
          <w:sz w:val="22"/>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1.58</w:t>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.59</w:t>
        <w:tab/>
      </w:r>
      <w:r>
        <w:rPr>
          <w:rFonts w:cs="Times New Roman" w:ascii="Times New Roman" w:hAnsi="Times New Roman"/>
          <w:sz w:val="22"/>
          <w:u w:val="single"/>
        </w:rPr>
        <w:t>Refund Amount</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.62</w:t>
        <w:tab/>
      </w:r>
      <w:r>
        <w:rPr>
          <w:rFonts w:cs="Times New Roman" w:ascii="Times New Roman" w:hAnsi="Times New Roman"/>
          <w:sz w:val="22"/>
          <w:u w:val="single"/>
        </w:rPr>
        <w:t>Scope of Supply</w:t>
      </w:r>
      <w:r>
        <w:rPr>
          <w:rFonts w:cs="Times New Roman" w:ascii="Times New Roman" w:hAnsi="Times New Roman"/>
          <w:sz w:val="22"/>
        </w:rPr>
        <w:t>.  Shall have the meaning as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.63</w:t>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 The Scope of Work is generally described in Exhibit B?_.</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.64</w:t>
        <w:tab/>
      </w:r>
      <w:r>
        <w:rPr>
          <w:rFonts w:cs="Times New Roman" w:ascii="Times New Roman" w:hAnsi="Times New Roman"/>
          <w:sz w:val="22"/>
          <w:u w:val="single"/>
        </w:rPr>
        <w:t>Scope Value Due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.65</w:t>
        <w:tab/>
      </w:r>
      <w:r>
        <w:rPr>
          <w:rFonts w:cs="Times New Roman" w:ascii="Times New Roman" w:hAnsi="Times New Roman"/>
          <w:sz w:val="22"/>
          <w:u w:val="single"/>
        </w:rPr>
        <w:t>Seller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.66</w:t>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.67</w:t>
        <w:tab/>
      </w:r>
      <w:r>
        <w:rPr>
          <w:rFonts w:cs="Times New Roman" w:ascii="Times New Roman" w:hAnsi="Times New Roman"/>
          <w:sz w:val="22"/>
          <w:u w:val="single"/>
        </w:rPr>
        <w:t>Specification</w:t>
      </w:r>
      <w:r>
        <w:rPr>
          <w:rFonts w:cs="Times New Roman" w:ascii="Times New Roman" w:hAnsi="Times New Roman"/>
          <w:sz w:val="22"/>
        </w:rPr>
        <w:t>.  Shall mean the specifications issued by Purchaser for the design, manufacture, assembly, and supply of the Units as set forth in Exhibit B</w:t>
        <w:noBreakHyphen/>
        <w:t>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.68</w:t>
        <w:tab/>
      </w:r>
      <w:r>
        <w:rPr>
          <w:rFonts w:cs="Times New Roman" w:ascii="Times New Roman" w:hAnsi="Times New Roman"/>
          <w:sz w:val="22"/>
          <w:u w:val="single"/>
        </w:rPr>
        <w:t>Termination Costs</w:t>
      </w:r>
      <w:r>
        <w:rPr>
          <w:rFonts w:cs="Times New Roman" w:ascii="Times New Roman" w:hAnsi="Times New Roman"/>
          <w:sz w:val="22"/>
        </w:rPr>
        <w:t>.  Shall have the meaning as set forth in Section 17.4.2.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.69</w:t>
        <w:tab/>
      </w:r>
      <w:r>
        <w:rPr>
          <w:rFonts w:cs="Times New Roman" w:ascii="Times New Roman" w:hAnsi="Times New Roman"/>
          <w:sz w:val="22"/>
          <w:u w:val="single"/>
        </w:rPr>
        <w:t>Termination Settlement</w:t>
      </w:r>
      <w:r>
        <w:rPr>
          <w:rFonts w:cs="Times New Roman" w:ascii="Times New Roman" w:hAnsi="Times New Roman"/>
          <w:sz w:val="22"/>
        </w:rPr>
        <w:t>.  Shall have the meaning as set forth in Section 17.4.4.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.70</w:t>
        <w:tab/>
        <w:t>[</w:t>
      </w:r>
      <w:r>
        <w:rPr>
          <w:rFonts w:cs="Times New Roman" w:ascii="Times New Roman" w:hAnsi="Times New Roman"/>
          <w:sz w:val="22"/>
          <w:u w:val="single"/>
        </w:rPr>
        <w:t>Test Procedures</w:t>
      </w:r>
      <w:r>
        <w:rPr>
          <w:rFonts w:cs="Times New Roman" w:ascii="Times New Roman" w:hAnsi="Times New Roman"/>
          <w:sz w:val="22"/>
        </w:rPr>
        <w:t>.  Shall have the meaning as set forth in Exhibit B-1. will these be ready?]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.71</w:t>
        <w:tab/>
      </w:r>
      <w:r>
        <w:rPr>
          <w:rFonts w:cs="Times New Roman" w:ascii="Times New Roman" w:hAnsi="Times New Roman"/>
          <w:sz w:val="22"/>
          <w:u w:val="single"/>
        </w:rPr>
        <w:t>Unit</w:t>
      </w:r>
      <w:r>
        <w:rPr>
          <w:rFonts w:cs="Times New Roman" w:ascii="Times New Roman" w:hAnsi="Times New Roman"/>
          <w:sz w:val="22"/>
        </w:rPr>
        <w:t xml:space="preserve">.  Singularly, any of the fuel cell powerplants and associated equipment that Seller is furnishing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.72</w:t>
        <w:tab/>
      </w:r>
      <w:r>
        <w:rPr>
          <w:rFonts w:cs="Times New Roman" w:ascii="Times New Roman" w:hAnsi="Times New Roman"/>
          <w:sz w:val="22"/>
          <w:u w:val="single"/>
        </w:rPr>
        <w:t>Vendor</w:t>
      </w:r>
      <w:r>
        <w:rPr>
          <w:rFonts w:cs="Times New Roman" w:ascii="Times New Roman" w:hAnsi="Times New Roman"/>
          <w:sz w:val="22"/>
        </w:rPr>
        <w:t>.  Shall mean any vendor, supplier or subcontractor utilized by Seller in the performance of the Scope of Work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7548735"/>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97548736"/>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pPr>
      <w:r>
        <w:rPr>
          <w:rFonts w:cs="Times New Roman" w:ascii="Times New Roman" w:hAnsi="Times New Roman"/>
          <w:sz w:val="22"/>
        </w:rPr>
        <w:t xml:space="preserve">      </w:t>
      </w:r>
      <w:r>
        <w:rPr>
          <w:rFonts w:cs="Times New Roman" w:ascii="Times New Roman" w:hAnsi="Times New Roman"/>
          <w:sz w:val="22"/>
        </w:rPr>
        <w:t>(a)</w:t>
        <w:tab/>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w:t>
      </w:r>
      <w:del w:id="0" w:author="kmann" w:date="2000-10-26T21:46:00Z">
        <w:r>
          <w:rPr>
            <w:rFonts w:cs="Times New Roman" w:ascii="Times New Roman" w:hAnsi="Times New Roman"/>
            <w:sz w:val="22"/>
          </w:rPr>
          <w:delText xml:space="preserve"> </w:delText>
        </w:r>
      </w:del>
      <w:r>
        <w:rPr>
          <w:rFonts w:cs="Times New Roman" w:ascii="Times New Roman" w:hAnsi="Times New Roman"/>
          <w:sz w:val="22"/>
        </w:rPr>
        <w:t xml:space="preserve"> but not to amend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designation of the expected configuration and location for up to five (5) sites within ninety (90) days of Release, with such designation be subject to change by Purchaser upon ten (10) days notice until four (4) months prior to the [Expected Delivery Date] for the Unit;</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adequate road access to the Facility from the nearest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those materials, items and services specifically identified in Exhibit _ .</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97548737"/>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97548738"/>
      <w:bookmarkEnd w:id="4"/>
      <w:r>
        <w:rPr>
          <w:rFonts w:cs="Times New Roman" w:ascii="Times New Roman" w:hAnsi="Times New Roman"/>
          <w:sz w:val="22"/>
        </w:rPr>
        <w:t>.  Except as expressly set forth in this Agreement, Seller shall provide the materials and supplies, competent personnel and supervision required for Seller to fulfill its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97548739"/>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97548740"/>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97548741"/>
      <w:bookmarkEnd w:id="7"/>
      <w:r>
        <w:rPr>
          <w:rFonts w:cs="Times New Roman" w:ascii="Times New Roman" w:hAnsi="Times New Roman"/>
          <w:sz w:val="22"/>
        </w:rPr>
        <w:t>.  Seller shall offload and install the Units at the Site in accordance with Exhibit N-3.  Purchaser shall have the right to approve any subcontractor that Seller desires to employ in carrying out the transportation of the Units and the installation services, such approval not to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3.2.3   </w:t>
      </w:r>
      <w:r>
        <w:rPr>
          <w:rFonts w:cs="Times New Roman" w:ascii="Times New Roman" w:hAnsi="Times New Roman"/>
          <w:sz w:val="22"/>
          <w:u w:val="single"/>
        </w:rPr>
        <w:t>Maximize Assembly</w:t>
      </w:r>
      <w:r>
        <w:fldChar w:fldCharType="begin"/>
      </w:r>
      <w:r>
        <w:rPr/>
        <w:instrText xml:space="preserve"> TC "3.2.4   Maximize Assembly" \l 3 </w:instrText>
      </w:r>
      <w:r>
        <w:rPr/>
        <w:fldChar w:fldCharType="separate"/>
      </w:r>
      <w:r>
        <w:rPr/>
      </w:r>
      <w:r>
        <w:rPr/>
        <w:fldChar w:fldCharType="end"/>
      </w:r>
      <w:bookmarkStart w:id="8" w:name="__RefHeading___Toc497548742"/>
      <w:bookmarkEnd w:id="8"/>
      <w:r>
        <w:rPr>
          <w:rFonts w:cs="Times New Roman" w:ascii="Times New Roman" w:hAnsi="Times New Roman"/>
          <w:sz w:val="22"/>
        </w:rPr>
        <w:t>. Seller shall use commercially reasonable efforts to maximize the assembly of the Equipment prior to Shipment.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9" w:name="__RefHeading___Toc497548743"/>
      <w:bookmarkEnd w:id="9"/>
      <w:r>
        <w:rPr>
          <w:rFonts w:cs="Times New Roman" w:ascii="Times New Roman" w:hAnsi="Times New Roman"/>
          <w:sz w:val="22"/>
        </w:rPr>
        <w:t>.  Seller shall provide on a timely basis to Purchaser information reasonably necessary to fulfill Seller’s obligation pursuant to this Agreement, including: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within thirty (30)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such information as is reasonably requested by Purchaser in dealing with its customers and/or any governmental authority in matters relating to the Scope of Work;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 xml:space="preserve">such documents as required by or as reasonably required to implement the Project Management Plan (see Section 3.16). </w:t>
      </w:r>
    </w:p>
    <w:p>
      <w:pPr>
        <w:pStyle w:val="Normal"/>
        <w:widowControl/>
        <w:spacing w:lineRule="auto" w:line="300"/>
        <w:jc w:val="both"/>
        <w:rPr/>
      </w:pPr>
      <w:r>
        <w:rPr>
          <w:rFonts w:cs="Times New Roman" w:ascii="Times New Roman" w:hAnsi="Times New Roman"/>
          <w:sz w:val="22"/>
        </w:rPr>
        <w:tab/>
        <w:t xml:space="preserve">3.4   </w:t>
      </w:r>
      <w:r>
        <w:rPr>
          <w:rFonts w:cs="Times New Roman" w:ascii="Times New Roman" w:hAnsi="Times New Roman"/>
          <w:sz w:val="22"/>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0" w:name="__RefHeading___Toc497548744"/>
      <w:bookmarkEnd w:id="1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Seller warrants to Purchaser that  it will use reasonable skill and care to ensure that there will not be Hazardous Material specified or incorporated into the Equipment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 shall  upon the request of Purchaser promptly certify in writing that to the best of its knowledge that no Hazardous Materials have been specified or incorporated in the Scope of Work. In the event Seller, with Purchaser's approval, incorporates any Hazardous Materials into the Equipment to be installed at the Site, Seller shall provide Purchaser with notification as set forth in Exhibit 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1" w:name="__RefHeading___Toc497548745"/>
      <w:bookmarkEnd w:id="11"/>
      <w:r>
        <w:rPr>
          <w:rFonts w:cs="Times New Roman" w:ascii="Times New Roman" w:hAnsi="Times New Roman"/>
          <w:sz w:val="22"/>
        </w:rPr>
        <w:t>.  Whenever required by Applicable Law or  generally accepted engineering and construction practices, Seller agrees to employ licensed personnel to perform engineering, and design  services in the performance of its obligations under this Agreement .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2" w:name="__RefHeading___Toc497548746"/>
      <w:bookmarkEnd w:id="12"/>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3" w:name="__RefHeading___Toc497548747"/>
      <w:bookmarkEnd w:id="1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4" w:name="__RefHeading___Toc497548748"/>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5" w:name="__RefHeading___Toc497548749"/>
      <w:bookmarkEnd w:id="15"/>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 to cause the Scope of Work to so comply with the Specification and Applicable Laws, Seller shall correct such non-complying Scope of Work or portion thereof as necessary to comply with the above, and shall not be entitled to a change order.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6" w:name="__RefHeading___Toc497548750"/>
      <w:bookmarkEnd w:id="16"/>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 – include in project management plan]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7" w:name="__RefHeading___Toc497548751"/>
      <w:bookmarkEnd w:id="1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8" w:name="__RefHeading___Toc497548752"/>
      <w:bookmarkEnd w:id="18"/>
      <w:r>
        <w:rPr>
          <w:rFonts w:cs="Times New Roman" w:ascii="Times New Roman" w:hAnsi="Times New Roman"/>
          <w:sz w:val="22"/>
        </w:rPr>
        <w:t xml:space="preserve">.  Seller shall perform all packaging of the Equipment in accordance with commercially reasonably standards so that the Equipment so as to  prevent damage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3.10.2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3.10.3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19" w:name="__RefHeading___Toc497548753"/>
      <w:bookmarkEnd w:id="19"/>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0" w:name="__RefHeading___Toc497548754"/>
      <w:bookmarkEnd w:id="20"/>
      <w:r>
        <w:rPr>
          <w:rFonts w:cs="Times New Roman" w:ascii="Times New Roman" w:hAnsi="Times New Roman"/>
          <w:sz w:val="22"/>
        </w:rPr>
        <w:t>.  Purchaser shall be entitled to make packing recommendations; however, Seller shall use its best judgment in packing. 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21" w:name="__RefHeading___Toc497548755"/>
      <w:bookmarkEnd w:id="21"/>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22" w:name="__RefHeading___Toc497548756"/>
      <w:bookmarkEnd w:id="22"/>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23" w:name="__RefHeading___Toc497548757"/>
      <w:bookmarkEnd w:id="2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4" w:name="__RefHeading___Toc497548758"/>
      <w:bookmarkEnd w:id="24"/>
      <w:r>
        <w:rPr>
          <w:rFonts w:cs="Times New Roman" w:ascii="Times New Roman" w:hAnsi="Times New Roman"/>
          <w:sz w:val="22"/>
        </w:rPr>
        <w:t>.[FCE to provide suggestions on this section. Concept is to provide a conceptual/functional list with not to exceed pricing for budget purposes. The price list will be firm for (12) months after order.]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5" w:name="__RefHeading___Toc497548759"/>
      <w:bookmarkEnd w:id="25"/>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6" w:name="__RefHeading___Toc497548760"/>
      <w:bookmarkEnd w:id="2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7" w:name="__RefHeading___Toc497548761"/>
      <w:bookmarkEnd w:id="27"/>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8" w:name="__RefHeading___Toc497548762"/>
      <w:bookmarkEnd w:id="28"/>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29" w:name="__RefHeading___Toc497548763"/>
      <w:bookmarkEnd w:id="29"/>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0" w:name="__RefHeading___Toc497548764"/>
      <w:bookmarkEnd w:id="30"/>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31" w:name="__RefHeading___Toc497548765"/>
      <w:bookmarkEnd w:id="31"/>
      <w:r>
        <w:rPr>
          <w:rFonts w:cs="Times New Roman" w:ascii="Times New Roman" w:hAnsi="Times New Roman"/>
          <w:sz w:val="22"/>
        </w:rPr>
        <w:t>.  Seller shall provide Purchaser with resumes for the  Project Manager and Site Manager.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tabs>
          <w:tab w:val="clear" w:pos="720"/>
          <w:tab w:val="left" w:pos="-1440" w:leader="none"/>
          <w:tab w:val="left" w:pos="0" w:leader="none"/>
          <w:tab w:val="left" w:pos="180" w:leader="none"/>
        </w:tabs>
        <w:spacing w:lineRule="auto" w:line="300"/>
        <w:ind w:hanging="720" w:start="9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2" w:name="__RefHeading___Toc497548767"/>
      <w:bookmarkEnd w:id="3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33" w:name="__RefHeading___Toc497548768"/>
      <w:bookmarkEnd w:id="33"/>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4" w:name="__RefHeading___Toc497548769"/>
      <w:bookmarkEnd w:id="34"/>
      <w:r>
        <w:rPr>
          <w:rFonts w:cs="Times New Roman" w:ascii="Times New Roman" w:hAnsi="Times New Roman"/>
          <w:sz w:val="22"/>
        </w:rPr>
        <w:t xml:space="preserve">.  .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5" w:name="__RefHeading___Toc497548770"/>
      <w:bookmarkEnd w:id="35"/>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 xml:space="preserve">Seller has the right and authority to convey and grant all the rights of ownership as set forth in [Section 15.2];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(g)</w:t>
        <w:tab/>
        <w:t xml:space="preserve">All services, equipment, documentation, materials and information,  presented to Purchaser for acceptance hereunder are complete, and accurate,  and meet the requirements of this Agreement;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hanging="720" w:start="1440" w:end="0"/>
        <w:rPr>
          <w:rFonts w:ascii="Times New Roman" w:hAnsi="Times New Roman" w:cs="Times New Roman"/>
          <w:sz w:val="22"/>
        </w:rPr>
      </w:pPr>
      <w:r>
        <w:rPr>
          <w:rFonts w:cs="Times New Roman" w:ascii="Times New Roman" w:hAnsi="Times New Roman"/>
          <w:sz w:val="22"/>
        </w:rPr>
        <w:t>(j)</w:t>
        <w:tab/>
        <w:t>Seller has the manufacturing capacity to meet the requirements of this Agreement and a Release thereunder, and shall identify manufacturing slots for any Equipment ordered in accordance with the terms of this Agreement, and will devote sufficient resources to meet the requirements of this Agreement, including the Project Schedule.</w:t>
      </w:r>
      <w:r>
        <w:br w:type="page"/>
      </w:r>
    </w:p>
    <w:p>
      <w:pPr>
        <w:pStyle w:val="Normal"/>
        <w:widowControl/>
        <w:spacing w:lineRule="auto" w:line="300"/>
        <w:ind w:start="1440" w:end="0"/>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6" w:name="__RefHeading___Toc497548771"/>
      <w:bookmarkEnd w:id="36"/>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7" w:name="__RefHeading___Toc497548772"/>
      <w:bookmarkEnd w:id="3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38" w:name="__RefHeading___Toc497548773"/>
      <w:bookmarkEnd w:id="38"/>
      <w:r>
        <w:rPr>
          <w:rFonts w:cs="Times New Roman" w:ascii="Times New Roman" w:hAnsi="Times New Roman"/>
          <w:sz w:val="22"/>
        </w:rPr>
        <w:t>.  The purchase amount for the Equipment  and their associated services  (including  assembly and installation as described in Exhibit N-3) shall be as stated in Exhibit A (the "Purchase Amount"), which is fixed and not subject to escalation for any Release submitted prior to March 1, 2001. The Purchase Amount for any Release submitted after March 1, 2001 shall be [mechanism?]. The Purchase Amount shall be complete compensation for Seller to perform its obligations under this Agreement, with the exception of shipping charges.  Shipping charges shall be  invoiced at the lesser of the actual cost or $87,000 per Unit.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39" w:name="__RefHeading___Toc497548774"/>
      <w:bookmarkEnd w:id="39"/>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0" w:name="__RefHeading___Toc497548775"/>
      <w:bookmarkEnd w:id="40"/>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1" w:name="__RefHeading___Toc497548776"/>
      <w:bookmarkEnd w:id="41"/>
      <w:r>
        <w:rPr>
          <w:rFonts w:cs="Times New Roman" w:ascii="Times New Roman" w:hAnsi="Times New Roman"/>
          <w:sz w:val="22"/>
        </w:rPr>
        <w:t>. Except as set forth herein, Seller is responsible for taxes arising out of its performance of the Work including import duties (if any), harbor taxes, personal and corporate taxes.  The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r>
        <w:rPr>
          <w:rFonts w:cs="Times New Roman" w:ascii="Times New Roman" w:hAnsi="Times New Roman"/>
          <w:sz w:val="22"/>
          <w:u w:val="single"/>
        </w:rPr>
        <w:t xml:space="preserve"> Intentionally Deleted</w:t>
      </w:r>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42" w:name="__RefHeading___Toc497548777"/>
      <w:bookmarkEnd w:id="4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5.2.4   </w:t>
      </w:r>
      <w:r>
        <w:rPr>
          <w:rFonts w:cs="Times New Roman" w:ascii="Times New Roman" w:hAnsi="Times New Roman"/>
          <w:sz w:val="22"/>
          <w:u w:val="single"/>
        </w:rPr>
        <w:t>Tax Penalties</w:t>
      </w:r>
      <w:r>
        <w:fldChar w:fldCharType="begin"/>
      </w:r>
      <w:r>
        <w:rPr/>
        <w:instrText xml:space="preserve"> TC "5.2.4   Tax Penalties" \l 3 </w:instrText>
      </w:r>
      <w:r>
        <w:rPr/>
        <w:fldChar w:fldCharType="separate"/>
      </w:r>
      <w:r>
        <w:rPr/>
      </w:r>
      <w:r>
        <w:rPr/>
        <w:fldChar w:fldCharType="end"/>
      </w:r>
      <w:bookmarkStart w:id="43" w:name="__RefHeading___Toc497548778"/>
      <w:bookmarkEnd w:id="43"/>
      <w:r>
        <w:rPr>
          <w:rFonts w:cs="Times New Roman" w:ascii="Times New Roman" w:hAnsi="Times New Roman"/>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Section 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Increases to the Purchase Amount</w:t>
      </w:r>
      <w:r>
        <w:fldChar w:fldCharType="begin"/>
      </w:r>
      <w:r>
        <w:rPr/>
        <w:instrText xml:space="preserve"> TC "5.3   Changes to the Purchase Amount" \l 2 </w:instrText>
      </w:r>
      <w:r>
        <w:rPr/>
        <w:fldChar w:fldCharType="separate"/>
      </w:r>
      <w:r>
        <w:rPr/>
      </w:r>
      <w:r>
        <w:rPr/>
        <w:fldChar w:fldCharType="end"/>
      </w:r>
      <w:bookmarkStart w:id="44" w:name="__RefHeading___Toc497548779"/>
      <w:bookmarkEnd w:id="44"/>
      <w:r>
        <w:rPr>
          <w:rFonts w:cs="Times New Roman" w:ascii="Times New Roman" w:hAnsi="Times New Roman"/>
          <w:sz w:val="22"/>
        </w:rPr>
        <w:t>. The Purchase Amount may only be increased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5" w:name="__RefHeading___Toc497548780"/>
      <w:bookmarkEnd w:id="45"/>
      <w:r>
        <w:rPr>
          <w:rFonts w:cs="Times New Roman" w:ascii="Times New Roman" w:hAnsi="Times New Roman"/>
          <w:sz w:val="22"/>
        </w:rPr>
        <w:t xml:space="preserve">. </w:t>
      </w:r>
      <w:r>
        <w:fldChar w:fldCharType="begin"/>
      </w:r>
      <w:r>
        <w:rPr/>
        <w:instrText xml:space="preserve"> TC "5.4.1   Cancellation by Purchaser" \l 3 </w:instrText>
      </w:r>
      <w:r>
        <w:rPr/>
        <w:fldChar w:fldCharType="separate"/>
      </w:r>
      <w:r>
        <w:rPr/>
      </w:r>
      <w:r>
        <w:rPr/>
        <w:fldChar w:fldCharType="end"/>
      </w:r>
      <w:bookmarkStart w:id="46" w:name="__RefHeading___Toc497548781"/>
      <w:bookmarkEnd w:id="46"/>
      <w:r>
        <w:rPr>
          <w:rFonts w:cs="Times New Roman" w:ascii="Times New Roman" w:hAnsi="Times New Roman"/>
          <w:sz w:val="22"/>
        </w:rPr>
        <w:t xml:space="preserve">Once a Unit has been included in a Release, neither party may cancel the order for the Unit for convenience.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 xml:space="preserve">. </w:t>
      </w:r>
      <w:r>
        <w:br w:type="page"/>
      </w:r>
    </w:p>
    <w:p>
      <w:pPr>
        <w:pStyle w:val="BodyText"/>
        <w:rPr>
          <w:rFonts w:ascii="Times New Roman" w:hAnsi="Times New Roman" w:cs="Times New Roman"/>
        </w:rPr>
      </w:pPr>
      <w:r>
        <w:rPr>
          <w:rFonts w:cs="Times New Roman" w:ascii="Times New Roman" w:hAnsi="Times New Roman"/>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47" w:name="__RefHeading___Toc497548782"/>
      <w:bookmarkEnd w:id="47"/>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48" w:name="__RefHeading___Toc497548783"/>
      <w:bookmarkEnd w:id="4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49" w:name="__RefHeading___Toc497548784"/>
      <w:bookmarkEnd w:id="49"/>
      <w:r>
        <w:rPr>
          <w:rFonts w:cs="Times New Roman" w:ascii="Times New Roman" w:hAnsi="Times New Roman"/>
          <w:sz w:val="22"/>
        </w:rPr>
        <w:t xml:space="preserve">  Upon Acceptance of a Unit, Seller shall invoice Purchaser for the Purchase Amount related to that Unit,including any approved Change Orders.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50" w:name="__RefHeading___Toc497548785"/>
      <w:bookmarkEnd w:id="50"/>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Seller’s proper delivery of all of the O&amp;M Spare Parts to the Delivery Point in accordance with terms of the Change Order;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51" w:name="__RefHeading___Toc497548786"/>
      <w:bookmarkEnd w:id="51"/>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   </w:t>
      </w:r>
      <w:r>
        <w:rPr>
          <w:rFonts w:cs="Times New Roman" w:ascii="Times New Roman" w:hAnsi="Times New Roman"/>
          <w:sz w:val="22"/>
          <w:u w:val="single"/>
        </w:rPr>
        <w:t>Payments Withheld or Offset – move to acceptance section</w:t>
      </w:r>
      <w:r>
        <w:fldChar w:fldCharType="begin"/>
      </w:r>
      <w:r>
        <w:rPr/>
        <w:instrText xml:space="preserve"> TC "6.3   Payments Withheld or Offset" \l 2 </w:instrText>
      </w:r>
      <w:r>
        <w:rPr/>
        <w:fldChar w:fldCharType="separate"/>
      </w:r>
      <w:r>
        <w:rPr/>
      </w:r>
      <w:r>
        <w:rPr/>
        <w:fldChar w:fldCharType="end"/>
      </w:r>
      <w:bookmarkStart w:id="52" w:name="__RefHeading___Toc497548787"/>
      <w:bookmarkEnd w:id="5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53" w:name="__RefHeading___Toc497548788"/>
      <w:bookmarkEnd w:id="53"/>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4" w:name="__RefHeading___Toc497548789"/>
      <w:bookmarkEnd w:id="54"/>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r>
        <w:rPr>
          <w:rFonts w:cs="Times New Roman" w:ascii="Times New Roman" w:hAnsi="Times New Roman"/>
          <w:sz w:val="22"/>
          <w:u w:val="single"/>
        </w:rPr>
        <w:t>Purchaser Delay; Payment.</w:t>
      </w:r>
      <w:r>
        <w:rPr>
          <w:rFonts w:cs="Times New Roman" w:ascii="Times New Roman" w:hAnsi="Times New Roman"/>
          <w:sz w:val="22"/>
        </w:rPr>
        <w:t xml:space="preserve">  The following shall constitute an event or act of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construction obligations in accordance with the Final Project Schedule, so long as Seller has delivered the Major Components to the site in accordance with  said schedule. </w:t>
      </w:r>
      <w:r>
        <w:fldChar w:fldCharType="begin"/>
      </w:r>
      <w:r>
        <w:rPr/>
        <w:instrText xml:space="preserve"> TC "6.4   Payment of Liquidated Damages" \l 2 </w:instrText>
      </w:r>
      <w:r>
        <w:rPr/>
        <w:fldChar w:fldCharType="separate"/>
      </w:r>
      <w:r>
        <w:rPr/>
      </w:r>
      <w:r>
        <w:rPr/>
        <w:fldChar w:fldCharType="end"/>
      </w:r>
      <w:bookmarkStart w:id="55" w:name="__RefHeading___Toc497548790"/>
      <w:bookmarkEnd w:id="55"/>
      <w:r>
        <w:rPr>
          <w:rFonts w:cs="Times New Roman" w:ascii="Times New Roman" w:hAnsi="Times New Roman"/>
          <w:sz w:val="22"/>
        </w:rPr>
        <w:t xml:space="preserve">Seller shall be entitled to a day-to-day extension in the Project Schedule (including the termination dates referenced in Section 17.1 (d)) for any Units  for which a  Purchaser Delay directly causes the Acceptance of a Unit to be delayed, so long as Seller is in compliance with the Project Schedule. If an event or act of Purchaser Delay continues for forty-five (45) days or more, then upon the later of [one hundred and five (105) days] from the Guaranteed Delivery Date or the actual delivery date, Purchaser shall pay Seller the Purchase Amount for the affected Unit. Seller’s right to receive payment shall be contingent upon Seller providing five (5) days Notice of actual delay caused by the above, shall be subject to any offset permitted under this Agreement, and shall be subject to refund should the Unit fail to successfully pass the Performance Tests.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56" w:name="__RefHeading___Toc497548791"/>
      <w:bookmarkEnd w:id="56"/>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57" w:name="__RefHeading___Toc497548792"/>
      <w:bookmarkEnd w:id="57"/>
      <w:r>
        <w:rPr>
          <w:rFonts w:cs="Times New Roman" w:ascii="Times New Roman" w:hAnsi="Times New Roman"/>
          <w:sz w:val="22"/>
        </w:rPr>
        <w:t xml:space="preserve">.  Seller represents that all amounts reflected on invoices submitted by Seller for payment are accurate, just, due and owing under the terms of this Agreement.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and shall provide Purchaser with a lien release in conformity with [Exhibit 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58" w:name="__RefHeading___Toc497548793"/>
      <w:bookmarkEnd w:id="5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59" w:name="__RefHeading___Toc497548794"/>
      <w:bookmarkEnd w:id="59"/>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60" w:name="__RefHeading___Toc497548795"/>
      <w:bookmarkEnd w:id="60"/>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61" w:name="__RefHeading___Toc497548796"/>
      <w:bookmarkEnd w:id="61"/>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62" w:name="__RefHeading___Toc497548797"/>
      <w:bookmarkEnd w:id="62"/>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63" w:name="__RefHeading___Toc497548798"/>
      <w:bookmarkEnd w:id="63"/>
      <w:r>
        <w:rPr>
          <w:rFonts w:cs="Times New Roman" w:ascii="Times New Roman" w:hAnsi="Times New Roman"/>
          <w:sz w:val="22"/>
        </w:rPr>
        <w:t>.   Purchaser  waives no rights under this Agreement by making payment hereunder, including any partial payment or payments prior to Acceptance for a particular Unit.[hall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RELEASE</w:t>
      </w:r>
      <w:r>
        <w:fldChar w:fldCharType="begin"/>
      </w:r>
      <w:r>
        <w:rPr/>
        <w:instrText xml:space="preserve"> TC "ARTICLE VII.  EFFECTIVE DATE, COMMENCEMENT OF THE WORK, TERMINATION" \l 1 </w:instrText>
      </w:r>
      <w:r>
        <w:rPr/>
        <w:fldChar w:fldCharType="separate"/>
      </w:r>
      <w:r>
        <w:rPr/>
      </w:r>
      <w:r>
        <w:rPr/>
        <w:fldChar w:fldCharType="end"/>
      </w:r>
      <w:bookmarkStart w:id="64" w:name="__RefHeading___Toc497548799"/>
      <w:bookmarkEnd w:id="6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Effective Period for Submitting Release</w:t>
      </w:r>
      <w:r>
        <w:fldChar w:fldCharType="begin"/>
      </w:r>
      <w:r>
        <w:rPr/>
        <w:instrText xml:space="preserve"> TC "7.1   Effective Date" \l 2 </w:instrText>
      </w:r>
      <w:r>
        <w:rPr/>
        <w:fldChar w:fldCharType="separate"/>
      </w:r>
      <w:r>
        <w:rPr/>
      </w:r>
      <w:r>
        <w:rPr/>
        <w:fldChar w:fldCharType="end"/>
      </w:r>
      <w:bookmarkStart w:id="65" w:name="__RefHeading___Toc497548800"/>
      <w:bookmarkEnd w:id="65"/>
      <w:r>
        <w:rPr>
          <w:rFonts w:cs="Times New Roman" w:ascii="Times New Roman" w:hAnsi="Times New Roman"/>
          <w:sz w:val="22"/>
        </w:rPr>
        <w:t>.  This Agreement shall terminate one year after the Effective Date if Purchaser has not submitted a Release (as defined below) by that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7.2   </w:t>
      </w:r>
      <w:r>
        <w:rPr>
          <w:rFonts w:cs="Times New Roman" w:ascii="Times New Roman" w:hAnsi="Times New Roman"/>
          <w:sz w:val="22"/>
          <w:u w:val="single"/>
        </w:rPr>
        <w:t>Release.</w:t>
      </w:r>
      <w:r>
        <w:fldChar w:fldCharType="begin"/>
      </w:r>
      <w:r>
        <w:rPr/>
        <w:instrText xml:space="preserve"> TC "7.2   Commencement of Work" \l 2 </w:instrText>
      </w:r>
      <w:r>
        <w:rPr/>
        <w:fldChar w:fldCharType="separate"/>
      </w:r>
      <w:r>
        <w:rPr/>
      </w:r>
      <w:r>
        <w:rPr/>
        <w:fldChar w:fldCharType="end"/>
      </w:r>
      <w:bookmarkStart w:id="66" w:name="__RefHeading___Toc497548801"/>
      <w:bookmarkEnd w:id="66"/>
      <w:r>
        <w:rPr>
          <w:rFonts w:cs="Times New Roman" w:ascii="Times New Roman" w:hAnsi="Times New Roman"/>
          <w:sz w:val="22"/>
        </w:rPr>
        <w:t xml:space="preserve"> Should Purchaser desire to place an order for Equipment, it shall submit a Release to Seller.  The date the Release is submitted shall be the Release Date. Such Release shall specify the number of Units and the [configuration] and sites for the Units, if known, subject to change in accordance with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pPr>
      <w:r>
        <w:rPr>
          <w:rFonts w:cs="Times New Roman" w:ascii="Times New Roman" w:hAnsi="Times New Roman"/>
          <w:sz w:val="22"/>
        </w:rPr>
        <w:t xml:space="preserve">ARTICLE VIII.  </w:t>
      </w:r>
      <w:r>
        <w:rPr>
          <w:rFonts w:cs="Times New Roman" w:ascii="Times New Roman" w:hAnsi="Times New Roman"/>
          <w:sz w:val="22"/>
          <w:u w:val="single"/>
        </w:rPr>
        <w:t>PROJECT MANAGEMENT PLAN; PROJECT SCHEDULE</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numPr>
          <w:ilvl w:val="1"/>
          <w:numId w:val="13"/>
        </w:numPr>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u w:val="single"/>
        </w:rPr>
        <w:t>Project Management Plan</w:t>
      </w:r>
      <w:r>
        <w:fldChar w:fldCharType="begin"/>
      </w:r>
      <w:r>
        <w:rPr/>
        <w:instrText xml:space="preserve"> TC "3.16  Project Planning and Control" \l 2 </w:instrText>
      </w:r>
      <w:r>
        <w:rPr/>
        <w:fldChar w:fldCharType="separate"/>
      </w:r>
      <w:r>
        <w:rPr/>
      </w:r>
      <w:r>
        <w:rPr/>
        <w:fldChar w:fldCharType="end"/>
      </w:r>
      <w:bookmarkStart w:id="67" w:name="__RefHeading___Toc497548766"/>
      <w:bookmarkEnd w:id="67"/>
      <w:r>
        <w:rPr>
          <w:rFonts w:cs="Times New Roman" w:ascii="Times New Roman" w:hAnsi="Times New Roman"/>
          <w:sz w:val="22"/>
        </w:rPr>
        <w:t xml:space="preserve">. Within thirty days of the Effective Date the Seller shall submit a proposed Project Management Plan.  Such plan shall include the project schedule, staffing plan, quality control plan, subcontracting plan, list of major vendors, transportation plan, document review schedule, performance test procedures, technical interface, and other matters required to successfully manage the project to conclusion. Seller shall update the plan monthly, specifically including any deviations in the project schedule. </w:t>
      </w:r>
    </w:p>
    <w:p>
      <w:pPr>
        <w:pStyle w:val="Normal"/>
        <w:widowControl/>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3"/>
        </w:numPr>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u w:val="single"/>
        </w:rPr>
        <w:t>Project Schedule.</w:t>
      </w:r>
      <w:r>
        <w:rPr>
          <w:rFonts w:cs="Times New Roman" w:ascii="Times New Roman" w:hAnsi="Times New Roman"/>
          <w:sz w:val="22"/>
        </w:rPr>
        <w:t xml:space="preserve">  [Six months following the Release Date Seller and Purchaser shall agree to the initial Project Schedule, which shall set for the critical path for each Unit to achieve Acceptance prior to the termination dates under Section __ related to such Unit. Seller shall advise the Purchaser of the expected delivery date for the order, which shall be at least sixty days prior to the estimated Installation Completion Date. Seller may revise the Expected Delivery Date, however, Seller shall give Purchaser at least four months notice of the Final Delivery Date, said Final Delivery Date to be prior to the Guaranteed Delivery Date. Purchaser shall not be obligated to have the site ready for installation prior to the Final Delivery Date.]  </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 xml:space="preserve">INSPECTION AND CORRECTION OF WORK </w:t>
      </w:r>
      <w:r>
        <w:fldChar w:fldCharType="begin"/>
      </w:r>
      <w:r>
        <w:rPr/>
        <w:instrText xml:space="preserve"> TC "ARTICLE IX.  INSPECTION AND CORRECTION OF WORK" \l 1 </w:instrText>
      </w:r>
      <w:r>
        <w:rPr/>
        <w:fldChar w:fldCharType="separate"/>
      </w:r>
      <w:r>
        <w:rPr/>
      </w:r>
      <w:r>
        <w:rPr/>
        <w:fldChar w:fldCharType="end"/>
      </w:r>
      <w:bookmarkStart w:id="68" w:name="__RefHeading___Toc497548802"/>
      <w:bookmarkEnd w:id="6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69" w:name="__RefHeading___Toc497548803"/>
      <w:bookmarkEnd w:id="69"/>
      <w:r>
        <w:rPr>
          <w:rFonts w:cs="Times New Roman" w:ascii="Times New Roman" w:hAnsi="Times New Roman"/>
          <w:sz w:val="22"/>
        </w:rPr>
        <w:t>.  Purchaser or its designated representatives, shall have the right from time to time during this Agreement and during normal business hours to review Seller’s performance of this Agreement; provided, however that Purchaser has provided Seller with five (5) days notice of such desire to inspect Seller’s performance. .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70" w:name="__RefHeading___Toc497548804"/>
      <w:bookmarkEnd w:id="70"/>
      <w:r>
        <w:rPr>
          <w:rFonts w:cs="Times New Roman" w:ascii="Times New Roman" w:hAnsi="Times New Roman"/>
          <w:sz w:val="22"/>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71" w:name="__RefHeading___Toc497548805"/>
      <w:bookmarkEnd w:id="71"/>
      <w:r>
        <w:rPr>
          <w:rFonts w:cs="Times New Roman" w:ascii="Times New Roman" w:hAnsi="Times New Roman"/>
          <w:sz w:val="22"/>
        </w:rPr>
        <w:t>.  Seller shall maintain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9001, 1994 the higher standard of the two (2) shall prevail.[standard to be determined]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bookmarkStart w:id="72" w:name="__RefHeading___Toc497548806"/>
      <w:bookmarkEnd w:id="72"/>
      <w:r>
        <w:rPr>
          <w:rFonts w:cs="Times New Roman" w:ascii="Times New Roman" w:hAnsi="Times New Roman"/>
          <w:sz w:val="22"/>
        </w:rPr>
        <w:t xml:space="preserve">.  Seller shall provide not less than fourteen (14) days notice prior to any of the witness or hold points as set forth in [Exhibit R , or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Purchaser shall be deemed to have waived the right to witness the test. .Witnessing a test (or waiving the right to witness such test) does not constitute an acceptance of any work, or waiver of any rights under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3" w:name="__RefHeading___Toc497548807"/>
      <w:bookmarkEnd w:id="73"/>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9.6   </w:t>
      </w:r>
      <w:r>
        <w:rPr>
          <w:rFonts w:cs="Times New Roman" w:ascii="Times New Roman" w:hAnsi="Times New Roman"/>
          <w:sz w:val="22"/>
          <w:u w:val="single"/>
        </w:rPr>
        <w:t>Not Used</w:t>
      </w:r>
      <w:r>
        <w:fldChar w:fldCharType="begin"/>
      </w:r>
      <w:r>
        <w:rPr/>
        <w:instrText xml:space="preserve"> TC "9.6   Not Used" \l 2 </w:instrText>
      </w:r>
      <w:r>
        <w:rPr/>
        <w:fldChar w:fldCharType="separate"/>
      </w:r>
      <w:r>
        <w:rPr/>
      </w:r>
      <w:r>
        <w:rPr/>
        <w:fldChar w:fldCharType="end"/>
      </w:r>
      <w:bookmarkStart w:id="74" w:name="__RefHeading___Toc497548808"/>
      <w:bookmarkEnd w:id="7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bookmarkStart w:id="75" w:name="__RefHeading___Toc497548809"/>
      <w:bookmarkEnd w:id="75"/>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76" w:name="__RefHeading___Toc497548810"/>
      <w:bookmarkEnd w:id="76"/>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fldChar w:fldCharType="begin"/>
      </w:r>
      <w:r>
        <w:rPr/>
        <w:instrText xml:space="preserve"> TC "10.1   Delivery of Documentation" \l 2 </w:instrText>
      </w:r>
      <w:r>
        <w:rPr/>
        <w:fldChar w:fldCharType="separate"/>
      </w:r>
      <w:r>
        <w:rPr/>
      </w:r>
      <w:r>
        <w:rPr/>
        <w:fldChar w:fldCharType="end"/>
      </w:r>
      <w:bookmarkStart w:id="77" w:name="__RefHeading___Toc497548811"/>
      <w:bookmarkEnd w:id="77"/>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10.1   </w:t>
      </w:r>
      <w:r>
        <w:rPr>
          <w:rFonts w:cs="Times New Roman" w:ascii="Times New Roman" w:hAnsi="Times New Roman"/>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78" w:name="__RefHeading___Toc497548812"/>
      <w:bookmarkEnd w:id="7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10.1.1   </w:t>
      </w:r>
      <w:r>
        <w:rPr>
          <w:rFonts w:cs="Times New Roman" w:ascii="Times New Roman" w:hAnsi="Times New Roman"/>
          <w:sz w:val="22"/>
          <w:u w:val="single"/>
        </w:rPr>
        <w:t>Establishment of Delivery and Acceptance Dates</w:t>
      </w:r>
      <w:r>
        <w:fldChar w:fldCharType="begin"/>
      </w:r>
      <w:r>
        <w:rPr/>
        <w:instrText xml:space="preserve"> TC "10.2.1   Guaranteed Installation Date" \l 3 </w:instrText>
      </w:r>
      <w:r>
        <w:rPr/>
        <w:fldChar w:fldCharType="separate"/>
      </w:r>
      <w:r>
        <w:rPr/>
      </w:r>
      <w:r>
        <w:rPr/>
        <w:fldChar w:fldCharType="end"/>
      </w:r>
      <w:bookmarkStart w:id="79" w:name="__RefHeading___Toc497548813"/>
      <w:bookmarkEnd w:id="79"/>
      <w:r>
        <w:rPr>
          <w:rFonts w:cs="Times New Roman" w:ascii="Times New Roman" w:hAnsi="Times New Roman"/>
          <w:sz w:val="22"/>
        </w:rPr>
        <w:t>. Each  Release shall specify the expected Delivery and Acceptance Dates for each Unit and its associated Equipment. Such dates may be adjusted in accordance with [Section ] Seller shall (i) cause the Equipment to be delivered to the Delivery Point in undamaged condition in accordance with the Specification and the Release on or before the Delivery Date, (ii) use commercially reasonable efforts to manufacture, deliver and install the Equipment in accordance with Exhibit N-3, (“Installation Completion”)]  and (iii) and conduct and satisfactorily complete the Performance Tests at the Site on or before the Acceptance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10.1.2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bookmarkStart w:id="80" w:name="__RefHeading___Toc497548814"/>
      <w:bookmarkEnd w:id="80"/>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4"/>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 Intentionally Deleted.   </w:t>
      </w:r>
      <w:r>
        <w:fldChar w:fldCharType="begin"/>
      </w:r>
      <w:r>
        <w:rPr/>
        <w:instrText xml:space="preserve"> TC "10.2.5   Extensions of the Guaranteed Installation Date" \l 3 </w:instrText>
      </w:r>
      <w:r>
        <w:rPr/>
        <w:fldChar w:fldCharType="separate"/>
      </w:r>
      <w:r>
        <w:rPr/>
      </w:r>
      <w:r>
        <w:rPr/>
        <w:fldChar w:fldCharType="end"/>
      </w:r>
      <w:r>
        <w:fldChar w:fldCharType="begin"/>
      </w:r>
      <w:r>
        <w:rPr/>
        <w:instrText xml:space="preserve"> TC "10.2.6   Not Used" \l 3 </w:instrText>
      </w:r>
      <w:r>
        <w:rPr/>
        <w:fldChar w:fldCharType="separate"/>
      </w:r>
      <w:bookmarkStart w:id="81" w:name="__RefHeading___Toc497548815"/>
      <w:bookmarkEnd w:id="81"/>
      <w:r>
        <w:rPr/>
      </w:r>
      <w:r>
        <w:rPr/>
        <w:fldChar w:fldCharType="end"/>
      </w:r>
      <w:r>
        <w:fldChar w:fldCharType="begin"/>
      </w:r>
      <w:r>
        <w:rPr/>
        <w:instrText xml:space="preserve"> TC "10.3.1   Installation Liquidated Damages" \l 3 </w:instrText>
      </w:r>
      <w:r>
        <w:rPr/>
        <w:fldChar w:fldCharType="separate"/>
      </w:r>
      <w:bookmarkStart w:id="82" w:name="__RefHeading___Toc497548816"/>
      <w:bookmarkEnd w:id="82"/>
      <w:r>
        <w:rPr/>
      </w:r>
      <w:r>
        <w:rPr/>
        <w:fldChar w:fldCharType="end"/>
      </w:r>
      <w:bookmarkStart w:id="83" w:name="__RefHeading___Toc497548817"/>
      <w:bookmarkEnd w:id="8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fldChar w:fldCharType="begin"/>
      </w:r>
      <w:r>
        <w:rPr/>
        <w:instrText xml:space="preserve"> TC "10.3.2   Not Used " \l 3 </w:instrText>
      </w:r>
      <w:r>
        <w:rPr/>
        <w:fldChar w:fldCharType="separate"/>
      </w:r>
      <w:r>
        <w:rPr/>
      </w:r>
      <w:r>
        <w:rPr/>
        <w:fldChar w:fldCharType="end"/>
      </w:r>
      <w:bookmarkStart w:id="84" w:name="__RefHeading___Toc497548818"/>
      <w:bookmarkEnd w:id="84"/>
      <w:r>
        <w:rPr>
          <w:rFonts w:cs="Times New Roman" w:ascii="Times New Roman" w:hAnsi="Times New Roman"/>
          <w:sz w:val="22"/>
        </w:rPr>
        <w:t xml:space="preserve">[10.3  </w:t>
      </w:r>
      <w:r>
        <w:rPr>
          <w:rFonts w:cs="Times New Roman" w:ascii="Times New Roman" w:hAnsi="Times New Roman"/>
          <w:sz w:val="22"/>
          <w:u w:val="single"/>
        </w:rPr>
        <w:t>Performance Guarantees</w:t>
      </w:r>
      <w:r>
        <w:rPr>
          <w:rFonts w:cs="Times New Roman" w:ascii="Times New Roman" w:hAnsi="Times New Roman"/>
          <w:sz w:val="22"/>
        </w:rPr>
        <w:t>. [need two levels – specific performance guarantees and the higher guarantee levels]</w:t>
      </w:r>
      <w:r>
        <w:fldChar w:fldCharType="begin"/>
      </w:r>
      <w:r>
        <w:rPr/>
        <w:instrText xml:space="preserve"> TC "10.4   Electrical Losses Guarantee" \l 2 </w:instrText>
      </w:r>
      <w:r>
        <w:rPr/>
        <w:fldChar w:fldCharType="separate"/>
      </w:r>
      <w:r>
        <w:rPr/>
      </w:r>
      <w:r>
        <w:rPr/>
        <w:fldChar w:fldCharType="end"/>
      </w:r>
      <w:bookmarkStart w:id="85" w:name="__RefHeading___Toc497548819"/>
      <w:bookmarkEnd w:id="85"/>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86" w:name="__RefHeading___Toc497548820"/>
      <w:bookmarkEnd w:id="86"/>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87" w:name="__RefHeading___Toc497548821"/>
      <w:bookmarkEnd w:id="87"/>
      <w:r>
        <w:rPr>
          <w:rFonts w:cs="Times New Roman" w:ascii="Times New Roman" w:hAnsi="Times New Roman"/>
          <w:sz w:val="22"/>
        </w:rPr>
        <w:t xml:space="preserve">  [to come]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10.3.3   </w:t>
      </w:r>
      <w:r>
        <w:fldChar w:fldCharType="begin"/>
      </w:r>
      <w:r>
        <w:rPr/>
        <w:instrText xml:space="preserve"> TC "10.4.3   Loss Evaluation Guarantee" \l 3 </w:instrText>
      </w:r>
      <w:r>
        <w:rPr/>
        <w:fldChar w:fldCharType="separate"/>
      </w:r>
      <w:r>
        <w:rPr/>
      </w:r>
      <w:r>
        <w:rPr/>
        <w:fldChar w:fldCharType="end"/>
      </w:r>
      <w:bookmarkStart w:id="88" w:name="__RefHeading___Toc497548822"/>
      <w:bookmarkEnd w:id="88"/>
      <w:r>
        <w:rPr>
          <w:rFonts w:cs="Times New Roman" w:ascii="Times New Roman" w:hAnsi="Times New Roman"/>
          <w:sz w:val="22"/>
          <w:u w:val="single"/>
        </w:rPr>
        <w:t>Emissions Guarantee</w:t>
      </w:r>
      <w:r>
        <w:rPr>
          <w:rFonts w:cs="Times New Roman" w:ascii="Times New Roman" w:hAnsi="Times New Roman"/>
          <w:sz w:val="22"/>
        </w:rPr>
        <w:t>.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pPr>
      <w:r>
        <w:rPr>
          <w:rFonts w:cs="Times New Roman" w:ascii="Times New Roman" w:hAnsi="Times New Roman"/>
          <w:sz w:val="22"/>
        </w:rPr>
        <w:t xml:space="preserve">10.3.4   </w:t>
      </w:r>
      <w:r>
        <w:fldChar w:fldCharType="begin"/>
      </w:r>
      <w:r>
        <w:rPr/>
        <w:instrText xml:space="preserve"> TC "10.4.4   Guarantee Value Table" \l 3 </w:instrText>
      </w:r>
      <w:r>
        <w:rPr/>
        <w:fldChar w:fldCharType="separate"/>
      </w:r>
      <w:r>
        <w:rPr/>
      </w:r>
      <w:r>
        <w:rPr/>
        <w:fldChar w:fldCharType="end"/>
      </w:r>
      <w:bookmarkStart w:id="89" w:name="__RefHeading___Toc497548823"/>
      <w:bookmarkEnd w:id="89"/>
      <w:r>
        <w:rPr>
          <w:rFonts w:cs="Times New Roman" w:ascii="Times New Roman" w:hAnsi="Times New Roman"/>
          <w:sz w:val="22"/>
          <w:u w:val="single"/>
        </w:rPr>
        <w:t>Water Consumption Guarantee.</w:t>
      </w:r>
      <w:r>
        <w:rPr>
          <w:rFonts w:cs="Times New Roman" w:ascii="Times New Roman" w:hAnsi="Times New Roman"/>
          <w:sz w:val="22"/>
        </w:rPr>
        <w:t xml:space="preserve">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numPr>
          <w:ilvl w:val="2"/>
          <w:numId w:val="4"/>
        </w:numPr>
        <w:spacing w:lineRule="auto" w:line="300"/>
        <w:rPr>
          <w:rFonts w:ascii="Times New Roman" w:hAnsi="Times New Roman" w:cs="Times New Roman"/>
          <w:sz w:val="22"/>
          <w:u w:val="single"/>
        </w:rPr>
      </w:pPr>
      <w:r>
        <w:rPr>
          <w:rFonts w:cs="Times New Roman" w:ascii="Times New Roman" w:hAnsi="Times New Roman"/>
          <w:sz w:val="22"/>
          <w:u w:val="single"/>
        </w:rPr>
        <w:t>Sound Guarantee.</w:t>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10.4   </w:t>
      </w:r>
      <w:r>
        <w:rPr>
          <w:rFonts w:cs="Times New Roman" w:ascii="Times New Roman" w:hAnsi="Times New Roman"/>
          <w:sz w:val="22"/>
          <w:u w:val="single"/>
        </w:rPr>
        <w:t xml:space="preserve"> Remedy for Failures to Meet Performance Guarantees.</w:t>
      </w:r>
      <w:r>
        <w:fldChar w:fldCharType="begin"/>
      </w:r>
      <w:r>
        <w:rPr/>
        <w:instrText xml:space="preserve"> TC "10.5.3   Remedy for Failures to Meet Minimum Electrical Losses Guarantee" \l 3 </w:instrText>
      </w:r>
      <w:r>
        <w:rPr/>
        <w:fldChar w:fldCharType="separate"/>
      </w:r>
      <w:r>
        <w:rPr/>
      </w:r>
      <w:r>
        <w:rPr/>
        <w:fldChar w:fldCharType="end"/>
      </w:r>
      <w:bookmarkStart w:id="90" w:name="__RefHeading___Toc497548824"/>
      <w:bookmarkEnd w:id="90"/>
      <w:r>
        <w:rPr>
          <w:rFonts w:cs="Times New Roman" w:ascii="Times New Roman" w:hAnsi="Times New Roman"/>
          <w:sz w:val="22"/>
        </w:rPr>
        <w:t xml:space="preserve">  The failure to achieve the Specific Performance Guarantees by the Acceptance Deadline [to be defined] shall constitute a default under this Agreement, and Purchaser shall have the remedies specified in Article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   </w:t>
      </w:r>
      <w:r>
        <w:rPr>
          <w:rFonts w:cs="Times New Roman" w:ascii="Times New Roman" w:hAnsi="Times New Roman"/>
          <w:sz w:val="22"/>
          <w:u w:val="single"/>
        </w:rPr>
        <w:t>Testing.</w:t>
      </w:r>
      <w:r>
        <w:fldChar w:fldCharType="begin"/>
      </w:r>
      <w:r>
        <w:rPr/>
        <w:instrText xml:space="preserve"> TC "10.8   Not Used" \l 2 </w:instrText>
      </w:r>
      <w:r>
        <w:rPr/>
        <w:fldChar w:fldCharType="separate"/>
      </w:r>
      <w:r>
        <w:rPr/>
      </w:r>
      <w:r>
        <w:rPr/>
        <w:fldChar w:fldCharType="end"/>
      </w:r>
      <w:bookmarkStart w:id="91" w:name="__RefHeading___Toc497548825"/>
      <w:bookmarkEnd w:id="9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10.5.1   </w:t>
      </w:r>
      <w:r>
        <w:rPr>
          <w:rFonts w:cs="Times New Roman" w:ascii="Times New Roman" w:hAnsi="Times New Roman"/>
          <w:sz w:val="22"/>
          <w:u w:val="single"/>
        </w:rPr>
        <w:t>Notice of Installation Completion; Conducting Tests</w:t>
      </w:r>
      <w:r>
        <w:fldChar w:fldCharType="begin"/>
      </w:r>
      <w:r>
        <w:rPr/>
        <w:instrText xml:space="preserve"> TC "10.8.1   Seller Presence at Tests" \l 3 </w:instrText>
      </w:r>
      <w:r>
        <w:rPr/>
        <w:fldChar w:fldCharType="separate"/>
      </w:r>
      <w:r>
        <w:rPr/>
      </w:r>
      <w:r>
        <w:rPr/>
        <w:fldChar w:fldCharType="end"/>
      </w:r>
      <w:bookmarkStart w:id="92" w:name="__RefHeading___Toc497548826"/>
      <w:bookmarkEnd w:id="92"/>
      <w:r>
        <w:rPr>
          <w:rFonts w:cs="Times New Roman" w:ascii="Times New Roman" w:hAnsi="Times New Roman"/>
          <w:sz w:val="22"/>
        </w:rPr>
        <w:t>. Seller shall deliver Notice to Purchaser that a Unit has achieved Installation Completion so that the Unit is ready to be tested.  Within [fourteen (14) days] of receipt of this Notice, Purchaser shall perform the Performance Tests in accordance with the Performance Test Procedure. Purchaser shall give Seller five (5) days notice of the time of the Performance Tests. Seller shall be present or to have a representative present at the Performance Tests, and shall provide technical advice during the tests; however, Purchaser may at its option conduct the test without Seller, assuming notice was properly given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93" w:name="__RefHeading___Toc497548827"/>
      <w:bookmarkEnd w:id="93"/>
      <w:r>
        <w:rPr>
          <w:rFonts w:cs="Times New Roman" w:ascii="Times New Roman" w:hAnsi="Times New Roman"/>
          <w:sz w:val="22"/>
        </w:rPr>
        <w:t xml:space="preserve">. Performance Tests shall be conducted on a unit-by-unit basis. Upon the completion of each Performance Test Purchaser will issue a Performance Test Certificate setting forth the results achieved during such test.  In the case of multiple Performance Tests, </w:t>
      </w:r>
      <w:r>
        <w:fldChar w:fldCharType="begin"/>
      </w:r>
      <w:r>
        <w:rPr/>
        <w:instrText xml:space="preserve"> TC "10.5   Most Recent Performance Test" \l 2 </w:instrText>
      </w:r>
      <w:r>
        <w:rPr/>
        <w:fldChar w:fldCharType="separate"/>
      </w:r>
      <w:r>
        <w:rPr/>
      </w:r>
      <w:r>
        <w:rPr/>
        <w:fldChar w:fldCharType="end"/>
      </w:r>
      <w:bookmarkStart w:id="94" w:name="__RefHeading___Toc497548828"/>
      <w:bookmarkEnd w:id="94"/>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10.5.3   </w:t>
      </w:r>
      <w:r>
        <w:rPr>
          <w:rFonts w:cs="Times New Roman" w:ascii="Times New Roman" w:hAnsi="Times New Roman"/>
          <w:sz w:val="22"/>
          <w:u w:val="single"/>
        </w:rPr>
        <w:t>Costs of  Retests</w:t>
      </w:r>
      <w:r>
        <w:fldChar w:fldCharType="begin"/>
      </w:r>
      <w:r>
        <w:rPr/>
        <w:instrText xml:space="preserve"> TC "10.8.3   Consumable Spare Parts During Retests" \l 3 </w:instrText>
      </w:r>
      <w:r>
        <w:rPr/>
        <w:fldChar w:fldCharType="separate"/>
      </w:r>
      <w:r>
        <w:rPr/>
      </w:r>
      <w:r>
        <w:rPr/>
        <w:fldChar w:fldCharType="end"/>
      </w:r>
      <w:bookmarkStart w:id="95" w:name="__RefHeading___Toc497548829"/>
      <w:bookmarkEnd w:id="95"/>
      <w:r>
        <w:rPr>
          <w:rFonts w:cs="Times New Roman" w:ascii="Times New Roman" w:hAnsi="Times New Roman"/>
          <w:sz w:val="22"/>
        </w:rPr>
        <w:t>.  If one or more additional Acceptance Tests are required doe to the failure of a Unit to pass its Acceptance Test, Seller will bear the additional costs (if any) incurred by Purchaser [in excess of those costs normally associated with operating the Unit]. Such additional costs may include, but not be limited to, cost of testing, instrumentation, fuel, consumable spare parts, and additional personnel required to conduct the tests.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10.6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96" w:name="__RefHeading___Toc497548830"/>
      <w:bookmarkEnd w:id="96"/>
      <w:r>
        <w:rPr>
          <w:rFonts w:cs="Times New Roman" w:ascii="Times New Roman" w:hAnsi="Times New Roman"/>
          <w:sz w:val="22"/>
        </w:rPr>
        <w:t xml:space="preserve">.  Upon the successful completion of the Performance Test for a Unit, Seller shall submit a Performance Test Certificate to Purchaser indicating that a Unit has achieved the Performance Standards and it ready for Acceptance.  Purchaser shall within ten  (10) days of receipt of such Performance Test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[Specific Performance Guarantees].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 as a result of a Performance Test indicating that the final Unit has met the [Specific Performance Guarantees];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all completion of training  and the delivery of O &amp; M Manuals and special tools required hereunder shall have occurred;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10.7</w:t>
        <w:tab/>
      </w:r>
      <w:r>
        <w:rPr>
          <w:rFonts w:cs="Times New Roman" w:ascii="Times New Roman" w:hAnsi="Times New Roman"/>
          <w:sz w:val="22"/>
          <w:u w:val="single"/>
        </w:rPr>
        <w:t>Obligation to Improve Performance.</w:t>
      </w:r>
      <w:r>
        <w:rPr>
          <w:rFonts w:cs="Times New Roman" w:ascii="Times New Roman" w:hAnsi="Times New Roman"/>
          <w:sz w:val="22"/>
        </w:rPr>
        <w:t xml:space="preserve">  If the Performance Test should indicate that a Unit has met the Specific Performance Guarantees but not the Guaranteed Performance Criteria, then for a period of [  ] days following the Performance Test Seller shall have the obligation to use reasonable efforts to improve performance so that the Guaranteed  Performance Criteria are met. Such efforts shall be at Seller’s sole cost and risk. [retest notice, costs of retest, payment following successful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    </w:t>
      </w:r>
      <w:r>
        <w:rPr>
          <w:rFonts w:cs="Times New Roman" w:ascii="Times New Roman" w:hAnsi="Times New Roman"/>
          <w:sz w:val="22"/>
          <w:u w:val="single"/>
        </w:rPr>
        <w:t>Reduced Purchase Amount for Failing to Meet Guaranteed Performance Levels.</w:t>
      </w:r>
      <w:r>
        <w:rPr>
          <w:rFonts w:cs="Times New Roman" w:ascii="Times New Roman" w:hAnsi="Times New Roman"/>
          <w:sz w:val="22"/>
        </w:rPr>
        <w:t xml:space="preserve">  Should the Performance Test of a Unit demonstrate that the Unit has met the Specific Performance Guarantees but has failed to meet the Guaranteed Performance Criteria, the Purchase Amount related to that Unit shall be reduced as follows:[ ].  Seller shall within [ ] days refund any prior payment received for the Unit in excess of the reduced Purchase Amount.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97" w:name="__RefHeading___Toc497548831"/>
      <w:bookmarkEnd w:id="97"/>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98" w:name="__RefHeading___Toc497548832"/>
      <w:bookmarkEnd w:id="98"/>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 or (d)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99" w:name="__RefHeading___Toc497548833"/>
      <w:bookmarkEnd w:id="99"/>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00" w:name="__RefHeading___Toc497548834"/>
      <w:bookmarkEnd w:id="100"/>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101" w:name="__RefHeading___Toc497548835"/>
      <w:bookmarkEnd w:id="101"/>
      <w:r>
        <w:rPr>
          <w:rFonts w:cs="Times New Roman" w:ascii="Times New Roman" w:hAnsi="Times New Roman"/>
          <w:sz w:val="22"/>
        </w:rPr>
        <w:t>.  Except as otherwise provided by Sections 3.8(c), if after the date of this Agreement there shall be any Change in Law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102" w:name="__RefHeading___Toc497548836"/>
      <w:bookmarkEnd w:id="102"/>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103" w:name="__RefHeading___Toc497548837"/>
      <w:bookmarkEnd w:id="10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104" w:name="__RefHeading___Toc497548838"/>
      <w:bookmarkEnd w:id="104"/>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105" w:name="__RefHeading___Toc497548839"/>
      <w:bookmarkEnd w:id="105"/>
      <w:r>
        <w:rPr>
          <w:rFonts w:cs="Times New Roman" w:ascii="Times New Roman" w:hAnsi="Times New Roman"/>
          <w:sz w:val="22"/>
        </w:rPr>
        <w:t xml:space="preserve">.  The following procedures will be used for the calculation of cost plus Change Orders: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For all Seller labor directly charging to an approved Change Order, Seller will be reimbursed in accordance with (c) below.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For all Seller direct charged [in scope ?] Change Order material costs, equipment charges, third party service, or related travel made exclusively for change order work, plus any applicable sales or use taxes assessed and paid in conjunction with such material purchases, Seller will be reimbursed in accordance with (c) below.</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Seller’s direct charges for an approved cost plus Change Order may include, but are not limited to the following:  hourly labor charges for outside consultants and experts, technicians, engineers; new and clean materials, alternate materials; necessary travel, natural gas and other maintenance or operating materials; and other direct charges as agreed.  Indirect charges shall be based on Seller’s Federal Government Approved provisional billing rates, which shall be subject to retroactive adjustment at the end of the Seller’s fiscal year to reflect actual indirect rates.  [In addition, a twelve percent (12%) fee shall be applied to the total  of direct and indirect costs].</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All such billings for work on the cost plus basis shall comprise the total of charges accumulated under subparagraphs (a) through (c) above and be supported by certified daily payroll records approved by both Seller’s Project Manager and Purchaser's Representative, a detailed list of equipment and material used and any third party invoices.</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11.6.3  </w:t>
      </w:r>
      <w:r>
        <w:rPr>
          <w:rFonts w:cs="Times New Roman" w:ascii="Times New Roman" w:hAnsi="Times New Roman"/>
          <w:sz w:val="22"/>
          <w:u w:val="single"/>
        </w:rPr>
        <w:t>Audit Rights.</w:t>
      </w:r>
      <w:r>
        <w:rPr>
          <w:rFonts w:cs="Times New Roman" w:ascii="Times New Roman" w:hAnsi="Times New Roman"/>
          <w:sz w:val="22"/>
        </w:rPr>
        <w:t xml:space="preserve"> For a period of three years following completion of any cost plus work performed under this Agreement, Purchaser shall have the right to audit all direct and indirect charges related thereto.  Seller shall cooperate with Purchaser in the audit, and will promptly supply all information reasonably necessary for Purchaser to conduct the audit.</w:t>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 xml:space="preserve"> INTELLECTUAL  PROPERTY RIGHTS AND INDEMNITY</w:t>
      </w:r>
      <w:r>
        <w:fldChar w:fldCharType="begin"/>
      </w:r>
      <w:r>
        <w:rPr/>
        <w:instrText xml:space="preserve"> TC "ARTICLE XII.  INTENTIONALLY OMITTED" \l 1 </w:instrText>
      </w:r>
      <w:r>
        <w:rPr/>
        <w:fldChar w:fldCharType="separate"/>
      </w:r>
      <w:r>
        <w:rPr/>
      </w:r>
      <w:r>
        <w:rPr/>
        <w:fldChar w:fldCharType="end"/>
      </w:r>
      <w:bookmarkStart w:id="106" w:name="__RefHeading___Toc497548840"/>
      <w:bookmarkEnd w:id="106"/>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12.1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bookmarkStart w:id="107" w:name="__RefHeading___Toc497548841"/>
      <w:bookmarkEnd w:id="107"/>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12.2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bookmarkStart w:id="108" w:name="__RefHeading___Toc497548842"/>
      <w:bookmarkEnd w:id="108"/>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 Purchaser agrees to abide by the terms of any license or release so long as Seller as provided Purchaser with a copy of said license.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12.3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09" w:name="__RefHeading___Toc497548843"/>
      <w:bookmarkEnd w:id="109"/>
      <w:r>
        <w:rPr>
          <w:rFonts w:cs="Times New Roman" w:ascii="Times New Roman" w:hAnsi="Times New Roman"/>
          <w:sz w:val="22"/>
        </w:rPr>
        <w:t>.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 In the event a suit or proceeding is brought against Purchaser, Purchaser, Lender, operator or their affiliates, (the "Patent Indemnitees")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THIS SECTION IS AN EXCLUSIVE STATEMENT OF ALL THE DUTIES OF THE PARTIES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110" w:name="__RefHeading___Toc497548844"/>
      <w:bookmarkEnd w:id="110"/>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111" w:name="__RefHeading___Toc497548845"/>
      <w:bookmarkEnd w:id="111"/>
      <w:r>
        <w:rPr>
          <w:rFonts w:cs="Times New Roman" w:ascii="Times New Roman" w:hAnsi="Times New Roman"/>
          <w:sz w:val="22"/>
        </w:rPr>
        <w:t>.  This Agreement shall be read as a whole and in the event of a conflict between documents, the Articles of this Agreement shall take precedence over the Exhibits, and the specific terms of a Release shall take precedence over both.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112" w:name="__RefHeading___Toc497548846"/>
      <w:bookmarkEnd w:id="11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113" w:name="__RefHeading___Toc497548847"/>
      <w:bookmarkEnd w:id="11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114" w:name="__RefHeading___Toc497548848"/>
      <w:bookmarkEnd w:id="114"/>
      <w:r>
        <w:rPr>
          <w:rFonts w:cs="Times New Roman" w:ascii="Times New Roman" w:hAnsi="Times New Roman"/>
          <w:sz w:val="22"/>
        </w:rPr>
        <w:t xml:space="preserve">.  Seller warrants that for a period of twelve months following the Acceptance Date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the Equipment and all other materials and articles furnished hereunder are new,  not repaired (except as permitted by Purchaser) and of suitable grade for the purpose intended;,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the Scope of Work was performed in a good and workmanlike manner and in accordance with the degree of care, skill and diligence consistent with electric industry standards, the Equipment is free from defects in materials and/or workmanship and the Equipment is designed and fit for the purpose of generating electric power when operated in accordance with Seller’s written instructions; </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115" w:name="__RefHeading___Toc497548849"/>
      <w:bookmarkEnd w:id="115"/>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116" w:name="__RefHeading___Toc497548850"/>
      <w:bookmarkEnd w:id="116"/>
      <w:r>
        <w:rPr>
          <w:rFonts w:cs="Times New Roman" w:ascii="Times New Roman" w:hAnsi="Times New Roman"/>
          <w:sz w:val="22"/>
        </w:rPr>
        <w:t>.  In the event Purchaser determines that a defect or other breach of warranty exists, Purchaser shall provide Seller with Notice  such a defect or other breach describing the nature of the defect or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117" w:name="__RefHeading___Toc497548851"/>
      <w:bookmarkEnd w:id="11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18" w:name="__RefHeading___Toc497548852"/>
      <w:bookmarkEnd w:id="118"/>
      <w:r>
        <w:rPr>
          <w:rFonts w:cs="Times New Roman" w:ascii="Times New Roman" w:hAnsi="Times New Roman"/>
          <w:sz w:val="22"/>
        </w:rPr>
        <w:t>.  During the Primary Warranty Period, if  Seller’s warranties [(other than Seller’s warranty under Section 14.2)]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19" w:name="__RefHeading___Toc497548853"/>
      <w:bookmarkEnd w:id="119"/>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Stack Module Warranty</w:t>
      </w:r>
      <w:r>
        <w:fldChar w:fldCharType="begin"/>
      </w:r>
      <w:r>
        <w:rPr/>
        <w:instrText xml:space="preserve"> TC "14.2   Extended Warranty Period" \l 2 </w:instrText>
      </w:r>
      <w:r>
        <w:rPr/>
        <w:fldChar w:fldCharType="separate"/>
      </w:r>
      <w:r>
        <w:rPr/>
      </w:r>
      <w:r>
        <w:rPr/>
        <w:fldChar w:fldCharType="end"/>
      </w:r>
      <w:bookmarkStart w:id="120" w:name="__RefHeading___Toc497548854"/>
      <w:bookmarkEnd w:id="120"/>
      <w:r>
        <w:rPr>
          <w:rFonts w:cs="Times New Roman" w:ascii="Times New Roman" w:hAnsi="Times New Roman"/>
          <w:sz w:val="22"/>
        </w:rPr>
        <w:t>. In addition to the other warranties contained herein, Seller warrants that for a period of thirty-six (36) months following Acceptance or forty-eight (48) months following delivery, the combined measured Electrical Output and [efficiency –defn] of the Stack Modules shall equal __ of the Output and Efficiency measured at the best Performance Test of the Unit performed prior to Acceptance. Should the Stack Modules fail to perform in accordance with the foregoing, Seller shall replace the non-performing Stack Module (including removal of the old Stack Module and Installation of the new one).  The cost of the replacement shall be $380/kW.  Purchaser shall conduct new Performance Test on the replacement Stack Module, and the replacement Stack Module shall be guaranteed for an additional thirty-six (36) months following successful completion of the Performance Tests in accordance with the terms of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21" w:name="__RefHeading___Toc497548855"/>
      <w:bookmarkEnd w:id="121"/>
      <w:r>
        <w:rPr>
          <w:rFonts w:cs="Times New Roman" w:ascii="Times New Roman" w:hAnsi="Times New Roman"/>
          <w:sz w:val="22"/>
        </w:rPr>
        <w:t>.  Notwithstanding Section 14.3.2,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22" w:name="__RefHeading___Toc497548856"/>
      <w:bookmarkEnd w:id="122"/>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23" w:name="__RefHeading___Toc497548857"/>
      <w:bookmarkEnd w:id="123"/>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14.8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24" w:name="__RefHeading___Toc497548858"/>
      <w:bookmarkEnd w:id="124"/>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14.9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25" w:name="__RefHeading___Toc497548859"/>
      <w:bookmarkEnd w:id="125"/>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[14.10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26" w:name="__RefHeading___Toc497548860"/>
      <w:bookmarkEnd w:id="126"/>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 Note: To be considered in connection with insurance]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27" w:name="__RefHeading___Toc497548861"/>
      <w:bookmarkEnd w:id="12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28" w:name="__RefHeading___Toc497548862"/>
      <w:bookmarkEnd w:id="128"/>
      <w:r>
        <w:rPr>
          <w:rFonts w:cs="Times New Roman" w:ascii="Times New Roman" w:hAnsi="Times New Roman"/>
          <w:sz w:val="22"/>
        </w:rPr>
        <w:t>.  Seller shall bear the risk of loss and damage with respect to the Equipment until Acceptance. [what if working to improve performance?]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29" w:name="__RefHeading___Toc497548863"/>
      <w:bookmarkEnd w:id="129"/>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30" w:name="__RefHeading___Toc497548864"/>
      <w:bookmarkEnd w:id="130"/>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31" w:name="__RefHeading___Toc497548865"/>
      <w:bookmarkEnd w:id="13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fldChar w:fldCharType="begin"/>
      </w:r>
      <w:r>
        <w:rPr/>
        <w:instrText xml:space="preserve"> TC "ARTICLE XVII.  DEFAULT" \l 1 </w:instrText>
      </w:r>
      <w:r>
        <w:rPr/>
        <w:fldChar w:fldCharType="separate"/>
      </w:r>
      <w:r>
        <w:rPr/>
      </w:r>
      <w:r>
        <w:rPr/>
        <w:fldChar w:fldCharType="end"/>
      </w:r>
      <w:bookmarkStart w:id="132" w:name="__RefHeading___Toc497548866"/>
      <w:bookmarkEnd w:id="13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33" w:name="__RefHeading___Toc497548867"/>
      <w:bookmarkEnd w:id="133"/>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Seller has failed to achieve Acceptance of the first Unit on or before the expiration of twenty-nine (29) months of Release, failed to achieve Acceptance of Units #2 through 8 on or before the expiration of thirty-three (33) months of Release, or failed to achieve Acceptance of all Units on or before the expiration of forty-two (42) months from Release (such dates subject to a day-to-day extension for any Units affected by Purchaser Delay in accordance with Section 6.4),</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34" w:name="__RefHeading___Toc497548868"/>
      <w:bookmarkEnd w:id="134"/>
      <w:r>
        <w:rPr>
          <w:rFonts w:cs="Times New Roman" w:ascii="Times New Roman" w:hAnsi="Times New Roman"/>
          <w:sz w:val="22"/>
        </w:rPr>
        <w:t xml:space="preserve">.  The provisions of Article XXVI hereof notwithstanding, and without limitation of Purchaser's rights, in the case of default under Section 17.1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date of the termination notice to achieve Acceptance of any Equipment delivered to the appropriate site as of the date of the termination notice.   These rights are in addition to any rights and remedies that may be available at law or in equity or as provided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35" w:name="__RefHeading___Toc497548869"/>
      <w:bookmarkEnd w:id="135"/>
      <w:r>
        <w:rPr>
          <w:rFonts w:cs="Times New Roman" w:ascii="Times New Roman" w:hAnsi="Times New Roman"/>
          <w:sz w:val="22"/>
        </w:rPr>
        <w:t>.   In the case of a partial termination pursuant to Section 17.2, Seller shall continue performing its obligations under this Agreement for all Equipment and Services not terminated by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36" w:name="__RefHeading___Toc497548870"/>
      <w:bookmarkEnd w:id="136"/>
      <w:r>
        <w:rPr>
          <w:rFonts w:cs="Times New Roman" w:ascii="Times New Roman" w:hAnsi="Times New Roman"/>
          <w:sz w:val="22"/>
        </w:rPr>
        <w:t>. Seller shall not be entitled to any payment for any terminated Equipment, and shall refund any money paid for such terminated Equipment within ten (10) days of receipt of notice of termination. Should some Equipment be terminated for default, Purchaser shall pay the Average Purchase Amount for any Equipment which is not terminated and which achieves Acceptance.  The Average Purchase Amount shall be calculated by adding the Purchase Amounts of all Units ordered, then dividing this amount by the number of Units ordered.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Criteria.</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37" w:name="__RefHeading___Toc497548871"/>
      <w:bookmarkEnd w:id="137"/>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38" w:name="__RefHeading___Toc497548872"/>
      <w:bookmarkEnd w:id="138"/>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39" w:name="__RefHeading___Toc497548873"/>
      <w:bookmarkEnd w:id="13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40" w:name="__RefHeading___Toc497548874"/>
      <w:bookmarkEnd w:id="140"/>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41" w:name="__RefHeading___Toc497548875"/>
      <w:bookmarkEnd w:id="141"/>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42" w:name="__RefHeading___Toc497548876"/>
      <w:bookmarkEnd w:id="142"/>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delivery Date and/or the Guaranteed  Acceptance Date or the basis for an adjustment of the Purchase Amount.  The burden of proof to demonstrate that a Force Majeure event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GuaranteedAcceptance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43" w:name="__RefHeading___Toc497548877"/>
      <w:bookmarkEnd w:id="143"/>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44" w:name="__RefHeading___Toc497548878"/>
      <w:bookmarkEnd w:id="144"/>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component manufacturers and suppliers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(d)</w:t>
        <w:tab/>
        <w:t>failure of Seller to act in accordance with industry standards, including, but not limited to, failure to ship the Equipment in a commercially reasonable manner.</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0" w:leader="none"/>
        </w:tabs>
        <w:ind w:hanging="630" w:end="0"/>
        <w:jc w:val="both"/>
        <w:rPr/>
      </w:pPr>
      <w:r>
        <w:rPr>
          <w:rFonts w:cs="Times New Roman" w:ascii="Times New Roman" w:hAnsi="Times New Roman"/>
          <w:sz w:val="22"/>
        </w:rPr>
        <w:t xml:space="preserve">           </w:t>
      </w: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45" w:name="__RefHeading___Toc497548879"/>
      <w:bookmarkEnd w:id="145"/>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46" w:name="__RefHeading___Toc497548880"/>
      <w:bookmarkEnd w:id="146"/>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47" w:name="__RefHeading___Toc497548881"/>
      <w:bookmarkEnd w:id="147"/>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being in default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48" w:name="__RefHeading___Toc497548882"/>
      <w:bookmarkEnd w:id="148"/>
      <w:r>
        <w:rPr>
          <w:rFonts w:cs="Times New Roman"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49" w:name="__RefHeading___Toc497548883"/>
      <w:bookmarkEnd w:id="14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[Both parties to have this reviewed by others]</w:t>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50" w:name="__RefHeading___Toc497548884"/>
      <w:bookmarkEnd w:id="150"/>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51" w:name="__RefHeading___Toc497548885"/>
      <w:bookmarkEnd w:id="151"/>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52" w:name="__RefHeading___Toc497548886"/>
      <w:bookmarkEnd w:id="152"/>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53" w:name="__RefHeading___Toc497548887"/>
      <w:bookmarkEnd w:id="153"/>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54" w:name="__RefHeading___Toc497548888"/>
      <w:bookmarkEnd w:id="154"/>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55" w:name="__RefHeading___Toc497548889"/>
      <w:bookmarkEnd w:id="155"/>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56" w:name="__RefHeading___Toc497548890"/>
      <w:bookmarkEnd w:id="156"/>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57" w:name="__RefHeading___Toc497548891"/>
      <w:bookmarkEnd w:id="157"/>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58" w:name="__RefHeading___Toc497548892"/>
      <w:bookmarkEnd w:id="158"/>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59" w:name="__RefHeading___Toc497548893"/>
      <w:bookmarkEnd w:id="159"/>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60" w:name="__RefHeading___Toc497548894"/>
      <w:bookmarkEnd w:id="160"/>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61" w:name="__RefHeading___Toc497548895"/>
      <w:bookmarkEnd w:id="161"/>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62" w:name="__RefHeading___Toc497548896"/>
      <w:bookmarkEnd w:id="162"/>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63" w:name="__RefHeading___Toc497548897"/>
      <w:bookmarkEnd w:id="16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64" w:name="__RefHeading___Toc497548898"/>
      <w:bookmarkEnd w:id="164"/>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65" w:name="__RefHeading___Toc497548899"/>
      <w:bookmarkEnd w:id="165"/>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66" w:name="__RefHeading___Toc497548900"/>
      <w:bookmarkEnd w:id="166"/>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67" w:name="__RefHeading___Toc497548901"/>
      <w:bookmarkEnd w:id="16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68" w:name="__RefHeading___Toc497548902"/>
      <w:bookmarkEnd w:id="168"/>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(“PURCHASER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69" w:name="__RefHeading___Toc497548903"/>
      <w:bookmarkEnd w:id="169"/>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20.3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70" w:name="__RefHeading___Toc497548904"/>
      <w:bookmarkEnd w:id="170"/>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71" w:name="__RefHeading___Toc497548905"/>
      <w:bookmarkEnd w:id="17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72" w:name="__RefHeading___Toc497548906"/>
      <w:bookmarkEnd w:id="172"/>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73" w:name="__RefHeading___Toc497548907"/>
      <w:bookmarkEnd w:id="173"/>
      <w:r>
        <w:rPr>
          <w:rFonts w:cs="Times New Roman" w:ascii="Times New Roman" w:hAnsi="Times New Roman"/>
          <w:sz w:val="22"/>
        </w:rPr>
        <w:t>.  Both parties shall agree in writing to any  press release, advertisement in the trade press, or tombstone in the financial or trade press issued by either concerning this Agreement, or any work related thereto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74" w:name="__RefHeading___Toc497548908"/>
      <w:bookmarkEnd w:id="174"/>
      <w:r>
        <w:rPr>
          <w:rFonts w:cs="Times New Roman" w:ascii="Times New Roman" w:hAnsi="Times New Roman"/>
          <w:sz w:val="22"/>
        </w:rPr>
        <w:t xml:space="preserve">.  [  To be consistent with existing CA.]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Authority,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75" w:name="__RefHeading___Toc497548909"/>
      <w:bookmarkEnd w:id="17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76" w:name="__RefHeading___Toc497548910"/>
      <w:bookmarkEnd w:id="176"/>
      <w:r>
        <w:rPr>
          <w:rFonts w:cs="Times New Roman" w:ascii="Times New Roman" w:hAnsi="Times New Roman"/>
          <w:sz w:val="22"/>
        </w:rPr>
        <w:t>.  This Agreement may not be assigned by Seller without the prior written consent of Purchaser, which shall not be unreasonably withheld. {FEC has request regarding FCE’s right to assign the Agreement in the case of a merger or acquisition]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77" w:name="__RefHeading___Toc497548911"/>
      <w:bookmarkEnd w:id="177"/>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the Owner of a Facility, including, but not limited to, Connecticut Resource Recovery  Authority.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(i) or (ii) above, Seller shall be entitled to receive a corporate guaranty or other commercially reasonable payment security, from an entity with a credit rating of [BBB] or better.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78" w:name="__RefHeading___Toc497548912"/>
      <w:bookmarkEnd w:id="178"/>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payment of the Purchase Amount.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79" w:name="__RefHeading___Toc497548913"/>
      <w:bookmarkEnd w:id="17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80" w:name="__RefHeading___Toc497548914"/>
      <w:bookmarkEnd w:id="180"/>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Agents</w:t>
      </w:r>
      <w:r>
        <w:fldChar w:fldCharType="begin"/>
      </w:r>
      <w:r>
        <w:rPr/>
        <w:instrText xml:space="preserve"> TC "23.2   Responsibilities of Seller as Principal for its Employees" \l 2 </w:instrText>
      </w:r>
      <w:r>
        <w:rPr/>
        <w:fldChar w:fldCharType="separate"/>
      </w:r>
      <w:r>
        <w:rPr/>
      </w:r>
      <w:r>
        <w:rPr/>
        <w:fldChar w:fldCharType="end"/>
      </w:r>
      <w:bookmarkStart w:id="181" w:name="__RefHeading___Toc497548915"/>
      <w:bookmarkEnd w:id="181"/>
      <w:r>
        <w:rPr>
          <w:rFonts w:cs="Times New Roman" w:ascii="Times New Roman" w:hAnsi="Times New Roman"/>
          <w:sz w:val="22"/>
        </w:rPr>
        <w:t>.  Seller has complete and sole responsibility as a principal for its agents, Vendors and all other hires to perform or assist in performing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23.3  </w:t>
      </w:r>
      <w:r>
        <w:rPr>
          <w:rFonts w:cs="Times New Roman" w:ascii="Times New Roman" w:hAnsi="Times New Roman"/>
          <w:sz w:val="22"/>
          <w:u w:val="single"/>
        </w:rPr>
        <w:t xml:space="preserve">Employees. </w:t>
      </w:r>
      <w:r>
        <w:rPr>
          <w:rFonts w:cs="Times New Roman"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82" w:name="__RefHeading___Toc497548916"/>
      <w:bookmarkEnd w:id="18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provide Purchaser with lien releases from any contractors and vendors performing work on any site in conformity with the form set forth in [Exhibit S?].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83" w:name="__RefHeading___Toc497548917"/>
      <w:bookmarkEnd w:id="18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84" w:name="__RefHeading___Toc497548918"/>
      <w:bookmarkEnd w:id="184"/>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85" w:name="__RefHeading___Toc497548919"/>
      <w:bookmarkEnd w:id="185"/>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86" w:name="__RefHeading___Toc497548920"/>
      <w:bookmarkEnd w:id="186"/>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ARBITRATION[FCE to provide mediation language]</w:t>
      </w:r>
      <w:r>
        <w:fldChar w:fldCharType="begin"/>
      </w:r>
      <w:r>
        <w:rPr/>
        <w:instrText xml:space="preserve"> TC "ARTICLE XXVI.  ARBITRATION" \l 1 </w:instrText>
      </w:r>
      <w:r>
        <w:rPr/>
        <w:fldChar w:fldCharType="separate"/>
      </w:r>
      <w:r>
        <w:rPr/>
      </w:r>
      <w:r>
        <w:rPr/>
        <w:fldChar w:fldCharType="end"/>
      </w:r>
      <w:bookmarkStart w:id="187" w:name="__RefHeading___Toc497548921"/>
      <w:bookmarkEnd w:id="18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188" w:name="__RefHeading___Toc497548922"/>
      <w:bookmarkEnd w:id="188"/>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189" w:name="__RefHeading___Toc497548923"/>
      <w:bookmarkEnd w:id="189"/>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190" w:name="__RefHeading___Toc497548924"/>
      <w:bookmarkEnd w:id="190"/>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191" w:name="__RefHeading___Toc497548925"/>
      <w:bookmarkEnd w:id="19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192" w:name="__RefHeading___Toc497548926"/>
      <w:bookmarkEnd w:id="192"/>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[under Article XXIV (Liens and Claims)];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[Section 3.8(a) and 3.8(b), (Compliance with Governmental Rules)];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t>[Article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193" w:name="__RefHeading___Toc497548927"/>
      <w:bookmarkEnd w:id="193"/>
      <w:r>
        <w:rPr>
          <w:rFonts w:cs="Times New Roman" w:ascii="Times New Roman" w:hAnsi="Times New Roman"/>
          <w:sz w:val="22"/>
        </w:rPr>
        <w:t xml:space="preserve">.  ,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194" w:name="__RefHeading___Toc497548928"/>
      <w:bookmarkEnd w:id="194"/>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195" w:name="__RefHeading___Toc497548929"/>
      <w:bookmarkEnd w:id="19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196" w:name="__RefHeading___Toc497548930"/>
      <w:bookmarkEnd w:id="19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197" w:name="__RefHeading___Toc497548931"/>
      <w:bookmarkEnd w:id="197"/>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198" w:name="__RefHeading___Toc497548932"/>
      <w:bookmarkEnd w:id="198"/>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199" w:name="__RefHeading___Toc497548933"/>
      <w:bookmarkEnd w:id="199"/>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200" w:name="__RefHeading___Toc497548934"/>
      <w:bookmarkEnd w:id="200"/>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201" w:name="__RefHeading___Toc497548935"/>
      <w:bookmarkEnd w:id="201"/>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202" w:name="__RefHeading___Toc497548936"/>
      <w:bookmarkEnd w:id="202"/>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03" w:name="__RefHeading___Toc497548937"/>
      <w:bookmarkEnd w:id="203"/>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204" w:name="__RefHeading___Toc497548938"/>
      <w:bookmarkEnd w:id="204"/>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05" w:name="__RefHeading___Toc497548939"/>
      <w:bookmarkEnd w:id="205"/>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206" w:name="__RefHeading___Toc497548940"/>
      <w:bookmarkEnd w:id="206"/>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FuelCellequipmentOct30.doc</w:t>
    </w:r>
    <w:r>
      <w:rPr>
        <w:sz w:val="16"/>
      </w:rPr>
      <w:fldChar w:fldCharType="end"/>
    </w:r>
    <w:r>
      <w:rPr>
        <w:sz w:val="16"/>
      </w:rPr>
      <w:tab/>
    </w:r>
    <w:r>
      <mc:AlternateContent>
        <mc:Choice Requires="wps">
          <w:drawing>
            <wp:anchor behindDoc="0" distT="0" distB="0" distL="0" distR="0" simplePos="0" locked="0" layoutInCell="0" allowOverlap="1" relativeHeight="67">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FuelCellequipmentOct30.doc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2160"/>
        </w:tabs>
        <w:ind w:start="2160" w:hanging="720"/>
      </w:pPr>
      <w:rPr/>
    </w:lvl>
  </w:abstractNum>
  <w:abstractNum w:abstractNumId="4">
    <w:lvl w:ilvl="0">
      <w:start w:val="10"/>
      <w:numFmt w:val="decimal"/>
      <w:lvlText w:val="%1"/>
      <w:lvlJc w:val="start"/>
      <w:pPr>
        <w:tabs>
          <w:tab w:val="num" w:pos="720"/>
        </w:tabs>
        <w:ind w:start="720" w:hanging="720"/>
      </w:pPr>
      <w:rPr>
        <w:u w:val="none"/>
      </w:rPr>
    </w:lvl>
    <w:lvl w:ilvl="1">
      <w:start w:val="3"/>
      <w:numFmt w:val="decimal"/>
      <w:lvlText w:val="%1.%2"/>
      <w:lvlJc w:val="start"/>
      <w:pPr>
        <w:tabs>
          <w:tab w:val="num" w:pos="720"/>
        </w:tabs>
        <w:ind w:start="720" w:hanging="720"/>
      </w:pPr>
      <w:rPr>
        <w:u w:val="none"/>
      </w:rPr>
    </w:lvl>
    <w:lvl w:ilvl="2">
      <w:start w:val="5"/>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3"/>
      <w:numFmt w:val="lowerLetter"/>
      <w:lvlText w:val="(%1)"/>
      <w:lvlJc w:val="start"/>
      <w:pPr>
        <w:tabs>
          <w:tab w:val="num" w:pos="1440"/>
        </w:tabs>
        <w:ind w:start="1440" w:hanging="720"/>
      </w:pPr>
      <w:rPr/>
    </w:lvl>
  </w:abstractNum>
  <w:abstractNum w:abstractNumId="7">
    <w:lvl w:ilvl="0">
      <w:start w:val="3"/>
      <w:numFmt w:val="lowerLetter"/>
      <w:lvlText w:val="(%1)"/>
      <w:lvlJc w:val="start"/>
      <w:pPr>
        <w:tabs>
          <w:tab w:val="num" w:pos="1440"/>
        </w:tabs>
        <w:ind w:start="1440" w:hanging="720"/>
      </w:pPr>
      <w:rPr/>
    </w:lvl>
  </w:abstractNum>
  <w:abstractNum w:abstractNumId="8">
    <w:lvl w:ilvl="0">
      <w:start w:val="4"/>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2"/>
      <w:numFmt w:val="lowerLetter"/>
      <w:lvlText w:val="(%1)"/>
      <w:lvlJc w:val="start"/>
      <w:pPr>
        <w:tabs>
          <w:tab w:val="num" w:pos="1440"/>
        </w:tabs>
        <w:ind w:start="1440" w:hanging="990"/>
      </w:pPr>
      <w:rPr/>
    </w:lvl>
  </w:abstractNum>
  <w:abstractNum w:abstractNumId="11">
    <w:lvl w:ilvl="0">
      <w:start w:val="3"/>
      <w:numFmt w:val="lowerLetter"/>
      <w:lvlText w:val="(%1)"/>
      <w:lvlJc w:val="start"/>
      <w:pPr>
        <w:tabs>
          <w:tab w:val="num" w:pos="1440"/>
        </w:tabs>
        <w:ind w:start="1440" w:hanging="720"/>
      </w:pPr>
      <w:rPr/>
    </w:lvl>
  </w:abstractNum>
  <w:abstractNum w:abstractNumId="12">
    <w:lvl w:ilvl="0">
      <w:start w:val="1"/>
      <w:numFmt w:val="decimal"/>
      <w:lvlText w:val="(%1)"/>
      <w:lvlJc w:val="start"/>
      <w:pPr>
        <w:tabs>
          <w:tab w:val="num" w:pos="2160"/>
        </w:tabs>
        <w:ind w:start="2160" w:hanging="720"/>
      </w:pPr>
      <w:rPr/>
    </w:lvl>
  </w:abstractNum>
  <w:abstractNum w:abstractNumId="13">
    <w:lvl w:ilvl="0">
      <w:start w:val="8"/>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1"/>
      <w:numFmt w:val="lowerRoman"/>
      <w:lvlText w:val="(%1)"/>
      <w:lvlJc w:val="start"/>
      <w:pPr>
        <w:tabs>
          <w:tab w:val="num" w:pos="1440"/>
        </w:tabs>
        <w:ind w:start="1440" w:hanging="720"/>
      </w:pPr>
      <w:rPr/>
    </w:lvl>
  </w:abstractNum>
  <w:abstractNum w:abstractNumId="15">
    <w:lvl w:ilvl="0">
      <w:start w:val="1"/>
      <w:numFmt w:val="decimal"/>
      <w:lvlText w:val="%1"/>
      <w:lvlJc w:val="start"/>
      <w:pPr>
        <w:tabs>
          <w:tab w:val="num" w:pos="720"/>
        </w:tabs>
        <w:ind w:start="720" w:hanging="720"/>
      </w:pPr>
      <w:rPr/>
    </w:lvl>
    <w:lvl w:ilvl="1">
      <w:start w:val="4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u w:val="none"/>
    </w:rPr>
  </w:style>
  <w:style w:type="character" w:styleId="WW8Num40z0">
    <w:name w:val="WW8Num40z0"/>
    <w:qFormat/>
    <w:rPr>
      <w:rFonts w:ascii="Lucida Console" w:hAnsi="Lucida Console" w:cs="ITC Zapf Dingbats (DV)"/>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Arial" w:hAnsi="Arial" w:cs="Aria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rFonts w:ascii="Wingdings" w:hAnsi="Wingdings" w:cs="Wingdings"/>
    </w:rPr>
  </w:style>
  <w:style w:type="character" w:styleId="WW8Num67z0">
    <w:name w:val="WW8Num67z0"/>
    <w:qFormat/>
    <w:rPr/>
  </w:style>
  <w:style w:type="character" w:styleId="WW8Num68z0">
    <w:name w:val="WW8Num68z0"/>
    <w:qFormat/>
    <w:rPr>
      <w:rFonts w:ascii="Symbol" w:hAnsi="Symbol" w:cs="Symbol"/>
      <w:color w:val="auto"/>
    </w:rPr>
  </w:style>
  <w:style w:type="character" w:styleId="WW8Num69z0">
    <w:name w:val="WW8Num69z0"/>
    <w:qFormat/>
    <w:rPr/>
  </w:style>
  <w:style w:type="character" w:styleId="WW8Num70z0">
    <w:name w:val="WW8Num70z0"/>
    <w:qFormat/>
    <w:rPr>
      <w:rFonts w:ascii="Arial" w:hAnsi="Arial" w:cs="Arial"/>
      <w:sz w:val="19"/>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rPr>
  </w:style>
  <w:style w:type="character" w:styleId="WW8Num77z0">
    <w:name w:val="WW8Num77z0"/>
    <w:qFormat/>
    <w:rPr/>
  </w:style>
  <w:style w:type="character" w:styleId="WW8Num78z0">
    <w:name w:val="WW8Num78z0"/>
    <w:qFormat/>
    <w:rPr>
      <w:rFonts w:ascii="Lucida Console" w:hAnsi="Lucida Console" w:cs="ITC Zapf Dingbats (DV)"/>
    </w:rPr>
  </w:style>
  <w:style w:type="character" w:styleId="WW8Num79z0">
    <w:name w:val="WW8Num79z0"/>
    <w:qFormat/>
    <w:rPr>
      <w:rFonts w:ascii="Symbol" w:hAnsi="Symbol" w:cs="Symbol"/>
      <w:color w:val="auto"/>
    </w:rPr>
  </w:style>
  <w:style w:type="character" w:styleId="WW8Num80z0">
    <w:name w:val="WW8Num80z0"/>
    <w:qFormat/>
    <w:rPr/>
  </w:style>
  <w:style w:type="character" w:styleId="WW8Num81z0">
    <w:name w:val="WW8Num81z0"/>
    <w:qFormat/>
    <w:rPr/>
  </w:style>
  <w:style w:type="character" w:styleId="WW8Num82z0">
    <w:name w:val="WW8Num82z0"/>
    <w:qFormat/>
    <w:rPr>
      <w:rFonts w:ascii="Arial" w:hAnsi="Arial" w:cs="Arial"/>
    </w:rPr>
  </w:style>
  <w:style w:type="character" w:styleId="WW8Num83z0">
    <w:name w:val="WW8Num83z0"/>
    <w:qFormat/>
    <w:rPr/>
  </w:style>
  <w:style w:type="character" w:styleId="WW8Num84z0">
    <w:name w:val="WW8Num84z0"/>
    <w:qFormat/>
    <w:rPr>
      <w:u w:val="singl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Arial" w:hAnsi="Arial" w:cs="Arial"/>
    </w:rPr>
  </w:style>
  <w:style w:type="character" w:styleId="WW8Num103z0">
    <w:name w:val="WW8Num103z0"/>
    <w:qFormat/>
    <w:rPr/>
  </w:style>
  <w:style w:type="character" w:styleId="WW8Num104z0">
    <w:name w:val="WW8Num104z0"/>
    <w:qFormat/>
    <w:rPr>
      <w:rFonts w:ascii="Times New Roman" w:hAnsi="Times New Roman" w:cs="Times New Roman"/>
    </w:rPr>
  </w:style>
  <w:style w:type="character" w:styleId="WW8Num105z0">
    <w:name w:val="WW8Num105z0"/>
    <w:qFormat/>
    <w:rPr/>
  </w:style>
  <w:style w:type="character" w:styleId="WW8Num106z0">
    <w:name w:val="WW8Num106z0"/>
    <w:qFormat/>
    <w:rPr>
      <w:u w:val="single"/>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u w:val="single"/>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color w:val="auto"/>
    </w:rPr>
  </w:style>
  <w:style w:type="character" w:styleId="WW8Num115z0">
    <w:name w:val="WW8Num115z0"/>
    <w:qFormat/>
    <w:rPr>
      <w:rFonts w:ascii="Symbol" w:hAnsi="Symbol" w:cs="Symbol"/>
      <w:color w:val="auto"/>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1z0">
    <w:name w:val="WW8Num121z0"/>
    <w:qFormat/>
    <w:rPr/>
  </w:style>
  <w:style w:type="character" w:styleId="WW8Num122z0">
    <w:name w:val="WW8Num122z0"/>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rFonts w:ascii="Arial" w:hAnsi="Arial" w:cs="Arial"/>
    </w:rPr>
  </w:style>
  <w:style w:type="character" w:styleId="WW8Num133z0">
    <w:name w:val="WW8Num133z0"/>
    <w:qFormat/>
    <w:rPr>
      <w:b/>
    </w:rPr>
  </w:style>
  <w:style w:type="character" w:styleId="WW8Num134z0">
    <w:name w:val="WW8Num134z0"/>
    <w:qFormat/>
    <w:rPr/>
  </w:style>
  <w:style w:type="character" w:styleId="WW8Num135z0">
    <w:name w:val="WW8Num135z0"/>
    <w:qFormat/>
    <w:rPr/>
  </w:style>
  <w:style w:type="character" w:styleId="WW8Num136z0">
    <w:name w:val="WW8Num136z0"/>
    <w:qFormat/>
    <w:rPr>
      <w:rFonts w:ascii="Arial" w:hAnsi="Arial" w:cs="Arial"/>
      <w:sz w:val="19"/>
    </w:rPr>
  </w:style>
  <w:style w:type="character" w:styleId="WW8Num137z0">
    <w:name w:val="WW8Num137z0"/>
    <w:qFormat/>
    <w:rPr>
      <w:rFonts w:ascii="Arial" w:hAnsi="Arial" w:cs="Arial"/>
      <w:sz w:val="19"/>
    </w:rPr>
  </w:style>
  <w:style w:type="character" w:styleId="WW8Num138z0">
    <w:name w:val="WW8Num138z0"/>
    <w:qFormat/>
    <w:rPr/>
  </w:style>
  <w:style w:type="character" w:styleId="WW8Num139z0">
    <w:name w:val="WW8Num139z0"/>
    <w:qFormat/>
    <w:rPr/>
  </w:style>
  <w:style w:type="character" w:styleId="WW8Num140z0">
    <w:name w:val="WW8Num140z0"/>
    <w:qFormat/>
    <w:rPr>
      <w:u w:val="single"/>
    </w:rPr>
  </w:style>
  <w:style w:type="character" w:styleId="WW8Num141z0">
    <w:name w:val="WW8Num141z0"/>
    <w:qFormat/>
    <w:rPr/>
  </w:style>
  <w:style w:type="character" w:styleId="WW8Num142z0">
    <w:name w:val="WW8Num142z0"/>
    <w:qFormat/>
    <w:rPr>
      <w:rFonts w:ascii="Arial" w:hAnsi="Arial" w:cs="Arial"/>
    </w:rPr>
  </w:style>
  <w:style w:type="character" w:styleId="WW8Num143z0">
    <w:name w:val="WW8Num143z0"/>
    <w:qFormat/>
    <w:rPr/>
  </w:style>
  <w:style w:type="character" w:styleId="WW8Num144z0">
    <w:name w:val="WW8Num144z0"/>
    <w:qFormat/>
    <w:rPr>
      <w:rFonts w:ascii="Times New Roman" w:hAnsi="Times New Roman" w:cs="Times New Roman"/>
    </w:rPr>
  </w:style>
  <w:style w:type="character" w:styleId="WW8Num145z0">
    <w:name w:val="WW8Num145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2000-10-30T17:31:00Z</dcterms:created>
  <dc:creator>EECC</dc:creator>
  <dc:description/>
  <dc:language>en-CA</dc:language>
  <cp:lastModifiedBy>kmann</cp:lastModifiedBy>
  <cp:lastPrinted>2000-10-30T18:25:00Z</cp:lastPrinted>
  <dcterms:modified xsi:type="dcterms:W3CDTF">2000-10-30T22:01:00Z</dcterms:modified>
  <cp:revision>3</cp:revision>
  <dc:subject/>
  <dc:title>AGREEMENT</dc:title>
</cp:coreProperties>
</file>