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4680" w:leader="none"/>
        </w:tabs>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AGREEMENT</w:t>
      </w:r>
    </w:p>
    <w:p>
      <w:pPr>
        <w:pStyle w:val="Normal"/>
        <w:widowControl/>
        <w:jc w:val="center"/>
        <w:rPr>
          <w:rFonts w:ascii="Times New Roman" w:hAnsi="Times New Roman" w:cs="Times New Roman"/>
          <w:b/>
          <w:sz w:val="36"/>
        </w:rPr>
      </w:pPr>
      <w:r>
        <w:rPr>
          <w:rFonts w:cs="Times New Roman" w:ascii="Times New Roman" w:hAnsi="Times New Roman"/>
          <w:b/>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By and Between</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 xml:space="preserve">[ENRON NORTH AMERICA CORP.] </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36"/>
        </w:rPr>
      </w:pPr>
      <w:r>
        <w:rPr>
          <w:rFonts w:cs="Times New Roman" w:ascii="Times New Roman" w:hAnsi="Times New Roman"/>
          <w:b/>
          <w:sz w:val="36"/>
        </w:rPr>
        <w:t>AND</w:t>
      </w:r>
    </w:p>
    <w:p>
      <w:pPr>
        <w:pStyle w:val="Normal"/>
        <w:jc w:val="center"/>
        <w:rPr>
          <w:rFonts w:ascii="Times New Roman" w:hAnsi="Times New Roman" w:cs="Times New Roman"/>
          <w:b/>
          <w:sz w:val="36"/>
        </w:rPr>
      </w:pPr>
      <w:r>
        <w:rPr>
          <w:rFonts w:cs="Times New Roman" w:ascii="Times New Roman" w:hAnsi="Times New Roman"/>
          <w:b/>
          <w:sz w:val="36"/>
        </w:rPr>
      </w:r>
    </w:p>
    <w:p>
      <w:pPr>
        <w:pStyle w:val="Normal"/>
        <w:widowControl/>
        <w:jc w:val="center"/>
        <w:rPr>
          <w:rFonts w:ascii="Times New Roman" w:hAnsi="Times New Roman" w:cs="Times New Roman"/>
          <w:sz w:val="36"/>
        </w:rPr>
      </w:pPr>
      <w:r>
        <w:rPr>
          <w:rFonts w:cs="Times New Roman" w:ascii="Times New Roman" w:hAnsi="Times New Roman"/>
          <w:sz w:val="36"/>
        </w:rPr>
        <w:t>FUELCELL ENERGY, INC.</w:t>
      </w:r>
    </w:p>
    <w:p>
      <w:pPr>
        <w:pStyle w:val="Normal"/>
        <w:widowControl/>
        <w:tabs>
          <w:tab w:val="clear" w:pos="720"/>
          <w:tab w:val="center" w:pos="4680" w:leader="none"/>
        </w:tabs>
        <w:jc w:val="center"/>
        <w:rPr>
          <w:rFonts w:ascii="Times New Roman" w:hAnsi="Times New Roman" w:cs="Times New Roman"/>
          <w:sz w:val="36"/>
        </w:rPr>
      </w:pPr>
      <w:r>
        <w:rPr>
          <w:rFonts w:cs="Times New Roman" w:ascii="Times New Roman" w:hAnsi="Times New Roman"/>
          <w:sz w:val="36"/>
        </w:rPr>
        <w:t>For</w:t>
      </w:r>
    </w:p>
    <w:p>
      <w:pPr>
        <w:pStyle w:val="Normal"/>
        <w:widowControl/>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pPr>
      <w:r>
        <w:rPr>
          <w:rFonts w:cs="Times New Roman" w:ascii="Times New Roman" w:hAnsi="Times New Roman"/>
          <w:sz w:val="36"/>
        </w:rPr>
        <w:t xml:space="preserve"> </w:t>
      </w:r>
      <w:r>
        <w:rPr>
          <w:rFonts w:cs="Times New Roman" w:ascii="Times New Roman" w:hAnsi="Times New Roman"/>
          <w:sz w:val="36"/>
        </w:rPr>
        <w:t>Direct Fuel Cell</w:t>
      </w:r>
      <w:r>
        <w:rPr>
          <w:rFonts w:cs="Times New Roman" w:ascii="Times New Roman" w:hAnsi="Times New Roman"/>
          <w:sz w:val="36"/>
          <w:vertAlign w:val="superscript"/>
        </w:rPr>
        <w:t>®</w:t>
      </w:r>
      <w:r>
        <w:rPr>
          <w:rFonts w:cs="Times New Roman" w:ascii="Times New Roman" w:hAnsi="Times New Roman"/>
          <w:sz w:val="36"/>
        </w:rPr>
        <w:t xml:space="preserve"> Powerplants</w:t>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36"/>
        </w:rPr>
      </w:pPr>
      <w:r>
        <w:rPr>
          <w:rFonts w:cs="Times New Roman" w:ascii="Times New Roman" w:hAnsi="Times New Roman"/>
          <w:sz w:val="36"/>
        </w:rPr>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4680" w:leader="none"/>
          <w:tab w:val="left" w:pos="5400" w:leader="none"/>
          <w:tab w:val="left" w:pos="6120" w:leader="none"/>
          <w:tab w:val="left" w:pos="6840" w:leader="none"/>
          <w:tab w:val="left" w:pos="7560" w:leader="none"/>
          <w:tab w:val="left" w:pos="8280" w:leader="none"/>
          <w:tab w:val="left" w:pos="9000" w:leader="none"/>
          <w:tab w:val="left" w:pos="9720" w:leader="none"/>
        </w:tabs>
        <w:ind w:start="-360" w:end="-360"/>
        <w:jc w:val="center"/>
        <w:rPr>
          <w:rFonts w:ascii="Times New Roman" w:hAnsi="Times New Roman" w:cs="Times New Roman"/>
          <w:sz w:val="22"/>
        </w:rPr>
      </w:pPr>
      <w:r>
        <w:rPr>
          <w:rFonts w:cs="Times New Roman" w:ascii="Times New Roman" w:hAnsi="Times New Roman"/>
          <w:sz w:val="22"/>
        </w:rPr>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t>TABLE OF CONTENTS</w:t>
      </w:r>
    </w:p>
    <w:p>
      <w:pPr>
        <w:pStyle w:val="Normal"/>
        <w:widowControl/>
        <w:ind w:start="-360" w:end="-360"/>
        <w:jc w:val="center"/>
        <w:rPr>
          <w:rFonts w:ascii="Times New Roman" w:hAnsi="Times New Roman" w:cs="Times New Roman"/>
          <w:b/>
          <w:sz w:val="22"/>
        </w:rPr>
      </w:pPr>
      <w:r>
        <w:rPr>
          <w:rFonts w:cs="Times New Roman" w:ascii="Times New Roman" w:hAnsi="Times New Roman"/>
          <w:b/>
          <w:sz w:val="22"/>
        </w:rPr>
      </w:r>
    </w:p>
    <w:p>
      <w:pPr>
        <w:pStyle w:val="Normal"/>
        <w:widowControl/>
        <w:ind w:start="-360" w:end="-360"/>
        <w:rPr>
          <w:rFonts w:ascii="Times New Roman" w:hAnsi="Times New Roman" w:cs="Times New Roman"/>
          <w:b/>
          <w:sz w:val="22"/>
        </w:rPr>
      </w:pPr>
      <w:r>
        <w:rPr>
          <w:rFonts w:cs="Times New Roman" w:ascii="Times New Roman" w:hAnsi="Times New Roman"/>
          <w:b/>
          <w:sz w:val="22"/>
        </w:rPr>
      </w:r>
    </w:p>
    <w:sdt>
      <w:sdtPr>
        <w:docPartObj>
          <w:docPartGallery w:val="Table of Contents"/>
          <w:docPartUnique w:val="true"/>
        </w:docPartObj>
      </w:sdtPr>
      <w:sdtContent>
        <w:p>
          <w:pPr>
            <w:pStyle w:val="TOC1"/>
            <w:rPr>
              <w:rFonts w:ascii="Times New Roman" w:hAnsi="Times New Roman" w:cs="Times New Roman"/>
              <w:sz w:val="24"/>
              <w:szCs w:val="24"/>
            </w:rPr>
          </w:pPr>
          <w:r>
            <w:fldChar w:fldCharType="begin"/>
          </w:r>
          <w:r>
            <w:rPr>
              <w:sz w:val="22"/>
              <w:szCs w:val="24"/>
              <w:rFonts w:cs="Times New Roman" w:ascii="Times New Roman" w:hAnsi="Times New Roman"/>
            </w:rPr>
            <w:instrText xml:space="preserve"> TOC \o "1-3" \f </w:instrText>
          </w:r>
          <w:r>
            <w:rPr>
              <w:sz w:val="22"/>
              <w:szCs w:val="24"/>
              <w:rFonts w:cs="Times New Roman" w:ascii="Times New Roman" w:hAnsi="Times New Roman"/>
            </w:rPr>
            <w:fldChar w:fldCharType="separate"/>
          </w:r>
          <w:r>
            <w:rPr>
              <w:rFonts w:cs="Times New Roman" w:ascii="Times New Roman" w:hAnsi="Times New Roman"/>
              <w:sz w:val="22"/>
              <w:szCs w:val="24"/>
            </w:rPr>
            <w:t xml:space="preserve">ARTICLE I.  </w:t>
          </w:r>
          <w:r>
            <w:rPr>
              <w:rFonts w:cs="Times New Roman" w:ascii="Times New Roman" w:hAnsi="Times New Roman"/>
              <w:sz w:val="22"/>
              <w:szCs w:val="24"/>
              <w:u w:val="single"/>
            </w:rPr>
            <w:t>DEFINITIONS</w:t>
          </w:r>
          <w:r>
            <w:rPr/>
            <w:tab/>
          </w:r>
          <w:hyperlink w:anchor="__RefHeading___Toc497800358">
            <w:r>
              <w:rPr>
                <w:rStyle w:val="IndexLink"/>
              </w:rPr>
              <w:t>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  </w:t>
          </w:r>
          <w:r>
            <w:rPr>
              <w:rFonts w:cs="Times New Roman" w:ascii="Times New Roman" w:hAnsi="Times New Roman"/>
              <w:sz w:val="22"/>
              <w:szCs w:val="24"/>
              <w:u w:val="single"/>
            </w:rPr>
            <w:t>RESPONSIBILITIES OF PURCHASER</w:t>
          </w:r>
          <w:r>
            <w:rPr/>
            <w:tab/>
          </w:r>
          <w:hyperlink w:anchor="__RefHeading___Toc497800359">
            <w:r>
              <w:rPr>
                <w:rStyle w:val="IndexLink"/>
              </w:rPr>
              <w:t>13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   </w:t>
          </w:r>
          <w:r>
            <w:rPr>
              <w:rFonts w:cs="Times New Roman" w:ascii="Times New Roman" w:hAnsi="Times New Roman"/>
              <w:sz w:val="22"/>
              <w:szCs w:val="24"/>
              <w:u w:val="single"/>
              <w:lang w:val="en-CA" w:eastAsia="en-CA"/>
            </w:rPr>
            <w:t>Purchaser Responsibilities</w:t>
          </w:r>
          <w:r>
            <w:rPr>
              <w:lang w:val="en-CA" w:eastAsia="en-CA"/>
            </w:rPr>
            <w:tab/>
          </w:r>
          <w:hyperlink w:anchor="__RefHeading___Toc497800360">
            <w:r>
              <w:rPr>
                <w:rStyle w:val="IndexLink"/>
                <w:lang w:val="en-CA" w:eastAsia="en-CA"/>
              </w:rPr>
              <w:t>13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III.  </w:t>
          </w:r>
          <w:r>
            <w:rPr>
              <w:rFonts w:cs="Times New Roman" w:ascii="Times New Roman" w:hAnsi="Times New Roman"/>
              <w:sz w:val="22"/>
              <w:szCs w:val="24"/>
              <w:u w:val="single"/>
            </w:rPr>
            <w:t>RESPONSIBILITIES OF SELLER</w:t>
          </w:r>
          <w:r>
            <w:rPr/>
            <w:tab/>
          </w:r>
          <w:hyperlink w:anchor="__RefHeading___Toc497800361">
            <w:r>
              <w:rPr>
                <w:rStyle w:val="IndexLink"/>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   </w:t>
          </w:r>
          <w:r>
            <w:rPr>
              <w:rFonts w:cs="Times New Roman" w:ascii="Times New Roman" w:hAnsi="Times New Roman"/>
              <w:sz w:val="22"/>
              <w:szCs w:val="24"/>
              <w:u w:val="single"/>
              <w:lang w:val="en-CA" w:eastAsia="en-CA"/>
            </w:rPr>
            <w:t>General Obligations</w:t>
          </w:r>
          <w:r>
            <w:rPr>
              <w:lang w:val="en-CA" w:eastAsia="en-CA"/>
            </w:rPr>
            <w:tab/>
          </w:r>
          <w:hyperlink w:anchor="__RefHeading___Toc497800362">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   </w:t>
          </w:r>
          <w:r>
            <w:rPr>
              <w:rFonts w:cs="Times New Roman" w:ascii="Times New Roman" w:hAnsi="Times New Roman"/>
              <w:sz w:val="22"/>
              <w:szCs w:val="24"/>
              <w:u w:val="single"/>
              <w:lang w:val="en-CA" w:eastAsia="en-CA"/>
            </w:rPr>
            <w:t>Delivery of Equipment and Documentation</w:t>
          </w:r>
          <w:r>
            <w:rPr>
              <w:lang w:val="en-CA" w:eastAsia="en-CA"/>
            </w:rPr>
            <w:tab/>
          </w:r>
          <w:hyperlink w:anchor="__RefHeading___Toc497800363">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3.2.1   </w:t>
          </w:r>
          <w:r>
            <w:rPr>
              <w:rFonts w:cs="Times New Roman" w:ascii="Times New Roman" w:hAnsi="Times New Roman"/>
              <w:sz w:val="22"/>
              <w:szCs w:val="24"/>
              <w:u w:val="single"/>
              <w:lang w:val="en-CA" w:eastAsia="en-CA"/>
            </w:rPr>
            <w:t>Delivery to Delivery Point</w:t>
          </w:r>
          <w:r>
            <w:rPr>
              <w:lang w:val="en-CA" w:eastAsia="en-CA"/>
            </w:rPr>
            <w:tab/>
          </w:r>
          <w:hyperlink w:anchor="__RefHeading___Toc497800364">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3.2.2   </w:t>
          </w:r>
          <w:r>
            <w:rPr>
              <w:rFonts w:cs="Times New Roman" w:ascii="Times New Roman" w:hAnsi="Times New Roman"/>
              <w:sz w:val="22"/>
              <w:szCs w:val="24"/>
              <w:u w:val="single"/>
              <w:lang w:val="en-CA" w:eastAsia="en-CA"/>
            </w:rPr>
            <w:t>Installation Services</w:t>
          </w:r>
          <w:r>
            <w:rPr>
              <w:lang w:val="en-CA" w:eastAsia="en-CA"/>
            </w:rPr>
            <w:tab/>
          </w:r>
          <w:hyperlink w:anchor="__RefHeading___Toc497800365">
            <w:r>
              <w:rPr>
                <w:rStyle w:val="IndexLink"/>
                <w:lang w:val="en-CA" w:eastAsia="en-CA"/>
              </w:rPr>
              <w:t>14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3.2.4   </w:t>
          </w:r>
          <w:r>
            <w:rPr>
              <w:rFonts w:cs="Times New Roman" w:ascii="Times New Roman" w:hAnsi="Times New Roman"/>
              <w:sz w:val="22"/>
              <w:szCs w:val="24"/>
              <w:u w:val="single"/>
              <w:lang w:val="en-CA" w:eastAsia="en-CA"/>
            </w:rPr>
            <w:t>Maximize Assembly</w:t>
          </w:r>
          <w:r>
            <w:rPr>
              <w:lang w:val="en-CA" w:eastAsia="en-CA"/>
            </w:rPr>
            <w:tab/>
          </w:r>
          <w:hyperlink w:anchor="__RefHeading___Toc497800366">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3.3   </w:t>
          </w:r>
          <w:r>
            <w:rPr>
              <w:rFonts w:cs="Times New Roman" w:ascii="Times New Roman" w:hAnsi="Times New Roman"/>
              <w:sz w:val="22"/>
              <w:szCs w:val="24"/>
              <w:u w:val="single"/>
              <w:lang w:val="en-CA" w:eastAsia="en-CA"/>
            </w:rPr>
            <w:t>Relevant Information</w:t>
          </w:r>
          <w:r>
            <w:rPr>
              <w:lang w:val="en-CA" w:eastAsia="en-CA"/>
            </w:rPr>
            <w:tab/>
          </w:r>
          <w:hyperlink w:anchor="__RefHeading___Toc497800367">
            <w:r>
              <w:rPr>
                <w:rStyle w:val="IndexLink"/>
                <w:lang w:val="en-CA" w:eastAsia="en-CA"/>
              </w:rPr>
              <w:t>14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3.4   </w:t>
          </w:r>
          <w:r>
            <w:rPr>
              <w:rFonts w:cs="Times New Roman" w:ascii="Times New Roman" w:hAnsi="Times New Roman"/>
              <w:sz w:val="22"/>
              <w:szCs w:val="24"/>
              <w:u w:val="single"/>
              <w:lang w:val="en-CA" w:eastAsia="en-CA"/>
            </w:rPr>
            <w:t>Hazardous Materials Notification</w:t>
          </w:r>
          <w:r>
            <w:rPr>
              <w:lang w:val="en-CA" w:eastAsia="en-CA"/>
            </w:rPr>
            <w:tab/>
          </w:r>
          <w:hyperlink w:anchor="__RefHeading___Toc497800368">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3.5   </w:t>
          </w:r>
          <w:r>
            <w:rPr>
              <w:rFonts w:cs="Times New Roman" w:ascii="Times New Roman" w:hAnsi="Times New Roman"/>
              <w:sz w:val="22"/>
              <w:szCs w:val="24"/>
              <w:u w:val="single"/>
              <w:lang w:val="en-CA" w:eastAsia="en-CA"/>
            </w:rPr>
            <w:t>Employment of Licensed Personnel</w:t>
          </w:r>
          <w:r>
            <w:rPr>
              <w:lang w:val="en-CA" w:eastAsia="en-CA"/>
            </w:rPr>
            <w:tab/>
          </w:r>
          <w:hyperlink w:anchor="__RefHeading___Toc497800369">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7800370">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3.6   </w:t>
          </w:r>
          <w:r>
            <w:rPr>
              <w:rFonts w:cs="Times New Roman" w:ascii="Times New Roman" w:hAnsi="Times New Roman"/>
              <w:sz w:val="22"/>
              <w:szCs w:val="24"/>
              <w:u w:val="single"/>
              <w:lang w:val="en-CA" w:eastAsia="en-CA"/>
            </w:rPr>
            <w:t>Customs Clearance</w:t>
          </w:r>
          <w:r>
            <w:rPr>
              <w:lang w:val="en-CA" w:eastAsia="en-CA"/>
            </w:rPr>
            <w:tab/>
          </w:r>
          <w:hyperlink w:anchor="__RefHeading___Toc497800371">
            <w:r>
              <w:rPr>
                <w:rStyle w:val="IndexLink"/>
                <w:lang w:val="en-CA" w:eastAsia="en-CA"/>
              </w:rPr>
              <w:t>15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3.7   </w:t>
          </w:r>
          <w:r>
            <w:rPr>
              <w:rFonts w:cs="Times New Roman" w:ascii="Times New Roman" w:hAnsi="Times New Roman"/>
              <w:sz w:val="22"/>
              <w:szCs w:val="24"/>
              <w:u w:val="single"/>
              <w:lang w:val="en-CA" w:eastAsia="en-CA"/>
            </w:rPr>
            <w:t>Not Used</w:t>
          </w:r>
          <w:r>
            <w:rPr>
              <w:lang w:val="en-CA" w:eastAsia="en-CA"/>
            </w:rPr>
            <w:tab/>
          </w:r>
          <w:hyperlink w:anchor="__RefHeading___Toc497800372">
            <w:r>
              <w:rPr>
                <w:rStyle w:val="IndexLink"/>
                <w:lang w:val="en-CA" w:eastAsia="en-CA"/>
              </w:rPr>
              <w:t>16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3.8   </w:t>
          </w:r>
          <w:r>
            <w:rPr>
              <w:rFonts w:cs="Times New Roman" w:ascii="Times New Roman" w:hAnsi="Times New Roman"/>
              <w:sz w:val="22"/>
              <w:szCs w:val="24"/>
              <w:u w:val="single"/>
              <w:lang w:val="en-CA" w:eastAsia="en-CA"/>
            </w:rPr>
            <w:t>Compliance with Governmental Rules</w:t>
          </w:r>
          <w:r>
            <w:rPr>
              <w:lang w:val="en-CA" w:eastAsia="en-CA"/>
            </w:rPr>
            <w:tab/>
          </w:r>
          <w:hyperlink w:anchor="__RefHeading___Toc497800373">
            <w:r>
              <w:rPr>
                <w:rStyle w:val="IndexLink"/>
                <w:lang w:val="en-CA" w:eastAsia="en-CA"/>
              </w:rPr>
              <w:t>16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3.9   </w:t>
          </w:r>
          <w:r>
            <w:rPr>
              <w:rFonts w:cs="Times New Roman" w:ascii="Times New Roman" w:hAnsi="Times New Roman"/>
              <w:sz w:val="22"/>
              <w:szCs w:val="24"/>
              <w:u w:val="single"/>
              <w:lang w:val="en-CA" w:eastAsia="en-CA"/>
            </w:rPr>
            <w:t>Purchaser Review of Vendors</w:t>
          </w:r>
          <w:r>
            <w:rPr>
              <w:lang w:val="en-CA" w:eastAsia="en-CA"/>
            </w:rPr>
            <w:tab/>
          </w:r>
          <w:hyperlink w:anchor="__RefHeading___Toc497800374">
            <w:r>
              <w:rPr>
                <w:rStyle w:val="IndexLink"/>
                <w:lang w:val="en-CA" w:eastAsia="en-CA"/>
              </w:rPr>
              <w:t>17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3.11  </w:t>
          </w:r>
          <w:r>
            <w:rPr>
              <w:rFonts w:cs="Times New Roman" w:ascii="Times New Roman" w:hAnsi="Times New Roman"/>
              <w:sz w:val="22"/>
              <w:szCs w:val="24"/>
              <w:u w:val="single"/>
              <w:lang w:val="en-CA" w:eastAsia="en-CA"/>
            </w:rPr>
            <w:t>Financing Assistance</w:t>
          </w:r>
          <w:r>
            <w:rPr>
              <w:lang w:val="en-CA" w:eastAsia="en-CA"/>
            </w:rPr>
            <w:tab/>
          </w:r>
          <w:hyperlink w:anchor="__RefHeading___Toc497800375">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3.12  </w:t>
          </w:r>
          <w:r>
            <w:rPr>
              <w:rFonts w:cs="Times New Roman" w:ascii="Times New Roman" w:hAnsi="Times New Roman"/>
              <w:sz w:val="22"/>
              <w:szCs w:val="24"/>
              <w:u w:val="single"/>
              <w:lang w:val="en-CA" w:eastAsia="en-CA"/>
            </w:rPr>
            <w:t>Purchaser Permit Support</w:t>
          </w:r>
          <w:r>
            <w:rPr>
              <w:lang w:val="en-CA" w:eastAsia="en-CA"/>
            </w:rPr>
            <w:tab/>
          </w:r>
          <w:hyperlink w:anchor="__RefHeading___Toc497800376">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3.13  </w:t>
          </w:r>
          <w:r>
            <w:rPr>
              <w:rFonts w:cs="Times New Roman" w:ascii="Times New Roman" w:hAnsi="Times New Roman"/>
              <w:sz w:val="22"/>
              <w:szCs w:val="24"/>
              <w:u w:val="single"/>
              <w:lang w:val="en-CA" w:eastAsia="en-CA"/>
            </w:rPr>
            <w:t>Not Used</w:t>
          </w:r>
          <w:r>
            <w:rPr>
              <w:lang w:val="en-CA" w:eastAsia="en-CA"/>
            </w:rPr>
            <w:tab/>
          </w:r>
          <w:hyperlink w:anchor="__RefHeading___Toc497800377">
            <w:r>
              <w:rPr>
                <w:rStyle w:val="IndexLink"/>
                <w:lang w:val="en-CA" w:eastAsia="en-CA"/>
              </w:rPr>
              <w:t>18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  </w:t>
          </w:r>
          <w:r>
            <w:rPr>
              <w:rFonts w:cs="Times New Roman" w:ascii="Times New Roman" w:hAnsi="Times New Roman"/>
              <w:sz w:val="22"/>
              <w:szCs w:val="24"/>
              <w:u w:val="single"/>
              <w:lang w:val="en-CA" w:eastAsia="en-CA"/>
            </w:rPr>
            <w:t>Spare Parts</w:t>
          </w:r>
          <w:r>
            <w:rPr>
              <w:lang w:val="en-CA" w:eastAsia="en-CA"/>
            </w:rPr>
            <w:tab/>
          </w:r>
          <w:hyperlink w:anchor="__RefHeading___Toc497800378">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3.14.1   </w:t>
          </w:r>
          <w:r>
            <w:rPr>
              <w:rFonts w:cs="Times New Roman" w:ascii="Times New Roman" w:hAnsi="Times New Roman"/>
              <w:sz w:val="22"/>
              <w:szCs w:val="24"/>
              <w:u w:val="single"/>
              <w:lang w:val="en-CA" w:eastAsia="en-CA"/>
            </w:rPr>
            <w:t>Commissioning Spares</w:t>
          </w:r>
          <w:r>
            <w:rPr>
              <w:lang w:val="en-CA" w:eastAsia="en-CA"/>
            </w:rPr>
            <w:tab/>
          </w:r>
          <w:hyperlink w:anchor="__RefHeading___Toc497800379">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   </w:t>
          </w:r>
          <w:r>
            <w:rPr>
              <w:rFonts w:cs="Times New Roman" w:ascii="Times New Roman" w:hAnsi="Times New Roman"/>
              <w:sz w:val="22"/>
              <w:szCs w:val="24"/>
              <w:u w:val="single"/>
              <w:lang w:val="en-CA" w:eastAsia="en-CA"/>
            </w:rPr>
            <w:t>O &amp; M Spare Parts</w:t>
          </w:r>
          <w:r>
            <w:rPr>
              <w:lang w:val="en-CA" w:eastAsia="en-CA"/>
            </w:rPr>
            <w:tab/>
          </w:r>
          <w:hyperlink w:anchor="__RefHeading___Toc497800380">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3.14.2.1   </w:t>
          </w:r>
          <w:r>
            <w:rPr>
              <w:rFonts w:cs="Times New Roman" w:ascii="Times New Roman" w:hAnsi="Times New Roman"/>
              <w:sz w:val="22"/>
              <w:szCs w:val="24"/>
              <w:u w:val="single"/>
              <w:lang w:val="en-CA" w:eastAsia="en-CA"/>
            </w:rPr>
            <w:t>O &amp; M Spare Parts</w:t>
          </w:r>
          <w:r>
            <w:rPr>
              <w:lang w:val="en-CA" w:eastAsia="en-CA"/>
            </w:rPr>
            <w:tab/>
          </w:r>
          <w:hyperlink w:anchor="__RefHeading___Toc497800381">
            <w:r>
              <w:rPr>
                <w:rStyle w:val="IndexLink"/>
                <w:lang w:val="en-CA" w:eastAsia="en-CA"/>
              </w:rPr>
              <w:t>18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3.14.2.2   </w:t>
          </w:r>
          <w:r>
            <w:rPr>
              <w:rFonts w:cs="Times New Roman" w:ascii="Times New Roman" w:hAnsi="Times New Roman"/>
              <w:sz w:val="22"/>
              <w:szCs w:val="24"/>
              <w:u w:val="single"/>
              <w:lang w:val="en-CA" w:eastAsia="en-CA"/>
            </w:rPr>
            <w:t>Purchase of O &amp; M Spare Parts</w:t>
          </w:r>
          <w:r>
            <w:rPr>
              <w:lang w:val="en-CA" w:eastAsia="en-CA"/>
            </w:rPr>
            <w:tab/>
          </w:r>
          <w:hyperlink w:anchor="__RefHeading___Toc497800382">
            <w:r>
              <w:rPr>
                <w:rStyle w:val="IndexLink"/>
                <w:lang w:val="en-CA" w:eastAsia="en-CA"/>
              </w:rPr>
              <w:t>19</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3.14.2.3   </w:t>
          </w:r>
          <w:r>
            <w:rPr>
              <w:rFonts w:cs="Times New Roman" w:ascii="Times New Roman" w:hAnsi="Times New Roman"/>
              <w:sz w:val="22"/>
              <w:szCs w:val="24"/>
              <w:u w:val="single"/>
              <w:lang w:val="en-CA" w:eastAsia="en-CA"/>
            </w:rPr>
            <w:t>Delivery of O &amp; M Spare Parts</w:t>
          </w:r>
          <w:r>
            <w:rPr>
              <w:lang w:val="en-CA" w:eastAsia="en-CA"/>
            </w:rPr>
            <w:tab/>
          </w:r>
          <w:hyperlink w:anchor="__RefHeading___Toc497800383">
            <w:r>
              <w:rPr>
                <w:rStyle w:val="IndexLink"/>
                <w:lang w:val="en-CA" w:eastAsia="en-CA"/>
              </w:rPr>
              <w:t>19</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3.14.2.4   </w:t>
          </w:r>
          <w:r>
            <w:rPr>
              <w:rFonts w:cs="Times New Roman" w:ascii="Times New Roman" w:hAnsi="Times New Roman"/>
              <w:sz w:val="22"/>
              <w:szCs w:val="24"/>
              <w:u w:val="single"/>
              <w:lang w:val="en-CA" w:eastAsia="en-CA"/>
            </w:rPr>
            <w:t>Use of O &amp; M Spare Parts</w:t>
          </w:r>
          <w:r>
            <w:rPr>
              <w:lang w:val="en-CA" w:eastAsia="en-CA"/>
            </w:rPr>
            <w:tab/>
          </w:r>
          <w:hyperlink w:anchor="__RefHeading___Toc497800384">
            <w:r>
              <w:rPr>
                <w:rStyle w:val="IndexLink"/>
                <w:lang w:val="en-CA" w:eastAsia="en-CA"/>
              </w:rPr>
              <w:t>19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3.15  </w:t>
          </w:r>
          <w:r>
            <w:rPr>
              <w:rFonts w:cs="Times New Roman" w:ascii="Times New Roman" w:hAnsi="Times New Roman"/>
              <w:sz w:val="22"/>
              <w:szCs w:val="24"/>
              <w:u w:val="single"/>
              <w:lang w:val="en-CA" w:eastAsia="en-CA"/>
            </w:rPr>
            <w:t>Key Personnel</w:t>
          </w:r>
          <w:r>
            <w:rPr>
              <w:lang w:val="en-CA" w:eastAsia="en-CA"/>
            </w:rPr>
            <w:tab/>
          </w:r>
          <w:hyperlink w:anchor="__RefHeading___Toc497800385">
            <w:r>
              <w:rPr>
                <w:rStyle w:val="IndexLink"/>
                <w:lang w:val="en-CA" w:eastAsia="en-CA"/>
              </w:rPr>
              <w:t>19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IV.  </w:t>
          </w:r>
          <w:r>
            <w:rPr>
              <w:rFonts w:cs="Times New Roman" w:ascii="Times New Roman" w:hAnsi="Times New Roman"/>
              <w:sz w:val="22"/>
              <w:szCs w:val="24"/>
              <w:u w:val="single"/>
            </w:rPr>
            <w:t>REPRESENTATIONS AND WARRANTIES</w:t>
          </w:r>
          <w:r>
            <w:rPr/>
            <w:tab/>
          </w:r>
          <w:hyperlink w:anchor="__RefHeading___Toc497800386">
            <w:r>
              <w:rPr>
                <w:rStyle w:val="IndexLink"/>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4.1   </w:t>
          </w:r>
          <w:r>
            <w:rPr>
              <w:rFonts w:cs="Times New Roman" w:ascii="Times New Roman" w:hAnsi="Times New Roman"/>
              <w:sz w:val="22"/>
              <w:szCs w:val="24"/>
              <w:u w:val="single"/>
              <w:lang w:val="en-CA" w:eastAsia="en-CA"/>
            </w:rPr>
            <w:t>Representations and Warranties of Purchaser</w:t>
          </w:r>
          <w:r>
            <w:rPr>
              <w:lang w:val="en-CA" w:eastAsia="en-CA"/>
            </w:rPr>
            <w:tab/>
          </w:r>
          <w:hyperlink w:anchor="__RefHeading___Toc497800387">
            <w:r>
              <w:rPr>
                <w:rStyle w:val="IndexLink"/>
                <w:lang w:val="en-CA" w:eastAsia="en-CA"/>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4.2   </w:t>
          </w:r>
          <w:r>
            <w:rPr>
              <w:rFonts w:cs="Times New Roman" w:ascii="Times New Roman" w:hAnsi="Times New Roman"/>
              <w:sz w:val="22"/>
              <w:szCs w:val="24"/>
              <w:u w:val="single"/>
              <w:lang w:val="en-CA" w:eastAsia="en-CA"/>
            </w:rPr>
            <w:t>Purchaser Supplied Information</w:t>
          </w:r>
          <w:r>
            <w:rPr>
              <w:lang w:val="en-CA" w:eastAsia="en-CA"/>
            </w:rPr>
            <w:tab/>
          </w:r>
          <w:hyperlink w:anchor="__RefHeading___Toc497800388">
            <w:r>
              <w:rPr>
                <w:rStyle w:val="IndexLink"/>
                <w:lang w:val="en-CA" w:eastAsia="en-CA"/>
              </w:rPr>
              <w:t>20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4.3   </w:t>
          </w:r>
          <w:r>
            <w:rPr>
              <w:rFonts w:cs="Times New Roman" w:ascii="Times New Roman" w:hAnsi="Times New Roman"/>
              <w:sz w:val="22"/>
              <w:szCs w:val="24"/>
              <w:u w:val="single"/>
              <w:lang w:val="en-CA" w:eastAsia="en-CA"/>
            </w:rPr>
            <w:t>Representations and Warranties of Seller</w:t>
          </w:r>
          <w:r>
            <w:rPr>
              <w:lang w:val="en-CA" w:eastAsia="en-CA"/>
            </w:rPr>
            <w:tab/>
          </w:r>
          <w:hyperlink w:anchor="__RefHeading___Toc497800389">
            <w:r>
              <w:rPr>
                <w:rStyle w:val="IndexLink"/>
                <w:lang w:val="en-CA" w:eastAsia="en-CA"/>
              </w:rPr>
              <w:t>20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  </w:t>
          </w:r>
          <w:r>
            <w:rPr>
              <w:rFonts w:cs="Times New Roman" w:ascii="Times New Roman" w:hAnsi="Times New Roman"/>
              <w:sz w:val="22"/>
              <w:szCs w:val="24"/>
              <w:u w:val="single"/>
            </w:rPr>
            <w:t>PURCHASE AMOUNT AND OTHER CHARGES</w:t>
          </w:r>
          <w:r>
            <w:rPr/>
            <w:tab/>
          </w:r>
          <w:hyperlink w:anchor="__RefHeading___Toc497800390">
            <w:r>
              <w:rPr>
                <w:rStyle w:val="IndexLink"/>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   </w:t>
          </w:r>
          <w:r>
            <w:rPr>
              <w:rFonts w:cs="Times New Roman" w:ascii="Times New Roman" w:hAnsi="Times New Roman"/>
              <w:sz w:val="22"/>
              <w:szCs w:val="24"/>
              <w:u w:val="single"/>
              <w:lang w:val="en-CA" w:eastAsia="en-CA"/>
            </w:rPr>
            <w:t>Purchase Amount</w:t>
          </w:r>
          <w:r>
            <w:rPr>
              <w:lang w:val="en-CA" w:eastAsia="en-CA"/>
            </w:rPr>
            <w:tab/>
          </w:r>
          <w:hyperlink w:anchor="__RefHeading___Toc497800391">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5.1.1   </w:t>
          </w:r>
          <w:r>
            <w:rPr>
              <w:rFonts w:cs="Times New Roman" w:ascii="Times New Roman" w:hAnsi="Times New Roman"/>
              <w:sz w:val="22"/>
              <w:szCs w:val="24"/>
              <w:u w:val="single"/>
              <w:lang w:val="en-CA" w:eastAsia="en-CA"/>
            </w:rPr>
            <w:t>Purchase Amount</w:t>
          </w:r>
          <w:r>
            <w:rPr>
              <w:lang w:val="en-CA" w:eastAsia="en-CA"/>
            </w:rPr>
            <w:tab/>
          </w:r>
          <w:hyperlink w:anchor="__RefHeading___Toc497800392">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   </w:t>
          </w:r>
          <w:r>
            <w:rPr>
              <w:rFonts w:cs="Times New Roman" w:ascii="Times New Roman" w:hAnsi="Times New Roman"/>
              <w:sz w:val="22"/>
              <w:szCs w:val="24"/>
              <w:u w:val="single"/>
              <w:lang w:val="en-CA" w:eastAsia="en-CA"/>
            </w:rPr>
            <w:t>Taxes and Contributions</w:t>
          </w:r>
          <w:r>
            <w:rPr>
              <w:lang w:val="en-CA" w:eastAsia="en-CA"/>
            </w:rPr>
            <w:tab/>
          </w:r>
          <w:hyperlink w:anchor="__RefHeading___Toc497800393">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5.2.1   </w:t>
          </w:r>
          <w:r>
            <w:rPr>
              <w:rFonts w:cs="Times New Roman" w:ascii="Times New Roman" w:hAnsi="Times New Roman"/>
              <w:sz w:val="22"/>
              <w:szCs w:val="24"/>
              <w:u w:val="single"/>
              <w:lang w:val="en-CA" w:eastAsia="en-CA"/>
            </w:rPr>
            <w:t>Seller Responsibility for Personnel Taxes</w:t>
          </w:r>
          <w:r>
            <w:rPr>
              <w:lang w:val="en-CA" w:eastAsia="en-CA"/>
            </w:rPr>
            <w:tab/>
          </w:r>
          <w:hyperlink w:anchor="__RefHeading___Toc497800394">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5.2.2   </w:t>
          </w:r>
          <w:r>
            <w:rPr>
              <w:rFonts w:cs="Times New Roman" w:ascii="Times New Roman" w:hAnsi="Times New Roman"/>
              <w:sz w:val="22"/>
              <w:szCs w:val="24"/>
              <w:u w:val="single"/>
              <w:lang w:val="en-CA" w:eastAsia="en-CA"/>
            </w:rPr>
            <w:t>Seller’s Responsibility for Taxes</w:t>
          </w:r>
          <w:r>
            <w:rPr>
              <w:lang w:val="en-CA" w:eastAsia="en-CA"/>
            </w:rPr>
            <w:tab/>
          </w:r>
          <w:hyperlink w:anchor="__RefHeading___Toc497800395">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5.2.3   </w:t>
          </w:r>
          <w:r>
            <w:rPr>
              <w:rFonts w:cs="Times New Roman" w:ascii="Times New Roman" w:hAnsi="Times New Roman"/>
              <w:sz w:val="22"/>
              <w:szCs w:val="24"/>
              <w:u w:val="single"/>
              <w:lang w:val="en-CA" w:eastAsia="en-CA"/>
            </w:rPr>
            <w:t>Not Used</w:t>
          </w:r>
          <w:r>
            <w:rPr>
              <w:lang w:val="en-CA" w:eastAsia="en-CA"/>
            </w:rPr>
            <w:tab/>
          </w:r>
          <w:hyperlink w:anchor="__RefHeading___Toc497800396">
            <w:r>
              <w:rPr>
                <w:rStyle w:val="IndexLink"/>
                <w:lang w:val="en-CA" w:eastAsia="en-CA"/>
              </w:rPr>
              <w:t>23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5.2.4   </w:t>
          </w:r>
          <w:r>
            <w:rPr>
              <w:rFonts w:cs="Times New Roman" w:ascii="Times New Roman" w:hAnsi="Times New Roman"/>
              <w:sz w:val="22"/>
              <w:szCs w:val="24"/>
              <w:u w:val="single"/>
              <w:lang w:val="en-CA" w:eastAsia="en-CA"/>
            </w:rPr>
            <w:t>Tax Penalties</w:t>
          </w:r>
          <w:r>
            <w:rPr>
              <w:lang w:val="en-CA" w:eastAsia="en-CA"/>
            </w:rPr>
            <w:tab/>
          </w:r>
          <w:hyperlink w:anchor="__RefHeading___Toc497800397">
            <w:r>
              <w:rPr>
                <w:rStyle w:val="IndexLink"/>
                <w:lang w:val="en-CA" w:eastAsia="en-CA"/>
              </w:rPr>
              <w:t>23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5.3   </w:t>
          </w:r>
          <w:r>
            <w:rPr>
              <w:rFonts w:cs="Times New Roman" w:ascii="Times New Roman" w:hAnsi="Times New Roman"/>
              <w:sz w:val="22"/>
              <w:szCs w:val="24"/>
              <w:u w:val="single"/>
              <w:lang w:val="en-CA" w:eastAsia="en-CA"/>
            </w:rPr>
            <w:t>Changes to the Purchase Amount</w:t>
          </w:r>
          <w:r>
            <w:rPr>
              <w:lang w:val="en-CA" w:eastAsia="en-CA"/>
            </w:rPr>
            <w:tab/>
          </w:r>
          <w:hyperlink w:anchor="__RefHeading___Toc497800398">
            <w:r>
              <w:rPr>
                <w:rStyle w:val="IndexLink"/>
                <w:lang w:val="en-CA" w:eastAsia="en-CA"/>
              </w:rPr>
              <w:t>24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   </w:t>
          </w:r>
          <w:r>
            <w:rPr>
              <w:rFonts w:cs="Times New Roman" w:ascii="Times New Roman" w:hAnsi="Times New Roman"/>
              <w:sz w:val="22"/>
              <w:szCs w:val="24"/>
              <w:u w:val="single"/>
              <w:lang w:val="en-CA" w:eastAsia="en-CA"/>
            </w:rPr>
            <w:t>Cancellation</w:t>
          </w:r>
          <w:r>
            <w:rPr>
              <w:lang w:val="en-CA" w:eastAsia="en-CA"/>
            </w:rPr>
            <w:tab/>
          </w:r>
          <w:hyperlink w:anchor="__RefHeading___Toc497800399">
            <w:r>
              <w:rPr>
                <w:rStyle w:val="IndexLink"/>
                <w:lang w:val="en-CA" w:eastAsia="en-CA"/>
              </w:rPr>
              <w:t>24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5.4.1   </w:t>
          </w:r>
          <w:r>
            <w:rPr>
              <w:rFonts w:cs="Times New Roman" w:ascii="Times New Roman" w:hAnsi="Times New Roman"/>
              <w:sz w:val="22"/>
              <w:szCs w:val="24"/>
              <w:u w:val="single"/>
              <w:lang w:val="en-CA" w:eastAsia="en-CA"/>
            </w:rPr>
            <w:t>Cancellation by Purchaser</w:t>
          </w:r>
          <w:r>
            <w:rPr>
              <w:lang w:val="en-CA" w:eastAsia="en-CA"/>
            </w:rPr>
            <w:tab/>
          </w:r>
          <w:hyperlink w:anchor="__RefHeading___Toc497800400">
            <w:r>
              <w:rPr>
                <w:rStyle w:val="IndexLink"/>
                <w:lang w:val="en-CA" w:eastAsia="en-CA"/>
              </w:rPr>
              <w:t>24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  </w:t>
          </w:r>
          <w:r>
            <w:rPr>
              <w:rFonts w:cs="Times New Roman" w:ascii="Times New Roman" w:hAnsi="Times New Roman"/>
              <w:sz w:val="22"/>
              <w:szCs w:val="24"/>
              <w:u w:val="single"/>
            </w:rPr>
            <w:t>PAYMENT TERMS</w:t>
          </w:r>
          <w:r>
            <w:rPr/>
            <w:tab/>
          </w:r>
          <w:hyperlink w:anchor="__RefHeading___Toc497800401">
            <w:r>
              <w:rPr>
                <w:rStyle w:val="IndexLink"/>
              </w:rPr>
              <w:t>25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   </w:t>
          </w:r>
          <w:r>
            <w:rPr>
              <w:rFonts w:cs="Times New Roman" w:ascii="Times New Roman" w:hAnsi="Times New Roman"/>
              <w:sz w:val="22"/>
              <w:szCs w:val="24"/>
              <w:u w:val="single"/>
              <w:lang w:val="en-CA" w:eastAsia="en-CA"/>
            </w:rPr>
            <w:t>Payment of Purchase Amount</w:t>
          </w:r>
          <w:r>
            <w:rPr>
              <w:lang w:val="en-CA" w:eastAsia="en-CA"/>
            </w:rPr>
            <w:tab/>
          </w:r>
          <w:hyperlink w:anchor="__RefHeading___Toc497800402">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6.1.1   </w:t>
          </w:r>
          <w:r>
            <w:rPr>
              <w:rFonts w:cs="Times New Roman" w:ascii="Times New Roman" w:hAnsi="Times New Roman"/>
              <w:sz w:val="22"/>
              <w:szCs w:val="24"/>
              <w:u w:val="single"/>
              <w:lang w:val="en-CA" w:eastAsia="en-CA"/>
            </w:rPr>
            <w:t>Payment Periods</w:t>
          </w:r>
          <w:r>
            <w:rPr>
              <w:rFonts w:cs="Times New Roman" w:ascii="Times New Roman" w:hAnsi="Times New Roman"/>
              <w:sz w:val="22"/>
              <w:szCs w:val="24"/>
              <w:lang w:val="en-CA" w:eastAsia="en-CA"/>
            </w:rPr>
            <w:t>.</w:t>
          </w:r>
          <w:r>
            <w:rPr>
              <w:lang w:val="en-CA" w:eastAsia="en-CA"/>
            </w:rPr>
            <w:tab/>
          </w:r>
          <w:hyperlink w:anchor="__RefHeading___Toc497800403">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lang w:val="en-CA" w:eastAsia="en-CA"/>
            </w:rPr>
            <w:t>6.1.4   Not Used</w:t>
          </w:r>
          <w:r>
            <w:rPr>
              <w:lang w:val="en-CA" w:eastAsia="en-CA"/>
            </w:rPr>
            <w:tab/>
          </w:r>
          <w:hyperlink w:anchor="__RefHeading___Toc497800404">
            <w:r>
              <w:rPr>
                <w:rStyle w:val="IndexLink"/>
                <w:lang w:val="en-CA" w:eastAsia="en-CA"/>
              </w:rPr>
              <w:t>25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6.2   </w:t>
          </w:r>
          <w:r>
            <w:rPr>
              <w:rFonts w:cs="Times New Roman" w:ascii="Times New Roman" w:hAnsi="Times New Roman"/>
              <w:sz w:val="22"/>
              <w:szCs w:val="24"/>
              <w:u w:val="single"/>
              <w:lang w:val="en-CA" w:eastAsia="en-CA"/>
            </w:rPr>
            <w:t>Payment Disputes</w:t>
          </w:r>
          <w:r>
            <w:rPr>
              <w:lang w:val="en-CA" w:eastAsia="en-CA"/>
            </w:rPr>
            <w:tab/>
          </w:r>
          <w:hyperlink w:anchor="__RefHeading___Toc497800405">
            <w:r>
              <w:rPr>
                <w:rStyle w:val="IndexLink"/>
                <w:lang w:val="en-CA" w:eastAsia="en-CA"/>
              </w:rPr>
              <w:t>25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   </w:t>
          </w:r>
          <w:r>
            <w:rPr>
              <w:rFonts w:cs="Times New Roman" w:ascii="Times New Roman" w:hAnsi="Times New Roman"/>
              <w:sz w:val="22"/>
              <w:szCs w:val="24"/>
              <w:u w:val="single"/>
              <w:lang w:val="en-CA" w:eastAsia="en-CA"/>
            </w:rPr>
            <w:t>Payments Withheld or Offset</w:t>
          </w:r>
          <w:r>
            <w:rPr>
              <w:lang w:val="en-CA" w:eastAsia="en-CA"/>
            </w:rPr>
            <w:tab/>
          </w:r>
          <w:hyperlink w:anchor="__RefHeading___Toc497800406">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6.3.1   </w:t>
          </w:r>
          <w:r>
            <w:rPr>
              <w:rFonts w:cs="Times New Roman" w:ascii="Times New Roman" w:hAnsi="Times New Roman"/>
              <w:sz w:val="22"/>
              <w:szCs w:val="24"/>
              <w:u w:val="single"/>
              <w:lang w:val="en-CA" w:eastAsia="en-CA"/>
            </w:rPr>
            <w:t>Payments Withheld</w:t>
          </w:r>
          <w:r>
            <w:rPr>
              <w:lang w:val="en-CA" w:eastAsia="en-CA"/>
            </w:rPr>
            <w:tab/>
          </w:r>
          <w:hyperlink w:anchor="__RefHeading___Toc497800407">
            <w:r>
              <w:rPr>
                <w:rStyle w:val="IndexLink"/>
                <w:lang w:val="en-CA" w:eastAsia="en-CA"/>
              </w:rPr>
              <w:t>25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6.3.3   </w:t>
          </w:r>
          <w:r>
            <w:rPr>
              <w:rFonts w:cs="Times New Roman" w:ascii="Times New Roman" w:hAnsi="Times New Roman"/>
              <w:sz w:val="22"/>
              <w:szCs w:val="24"/>
              <w:u w:val="single"/>
              <w:lang w:val="en-CA" w:eastAsia="en-CA"/>
            </w:rPr>
            <w:t>Payment of Subcontractors</w:t>
          </w:r>
          <w:r>
            <w:rPr>
              <w:rFonts w:cs="Times New Roman" w:ascii="Times New Roman" w:hAnsi="Times New Roman"/>
              <w:sz w:val="22"/>
              <w:szCs w:val="24"/>
              <w:lang w:val="en-CA" w:eastAsia="en-CA"/>
            </w:rPr>
            <w:t>.</w:t>
          </w:r>
          <w:r>
            <w:rPr>
              <w:lang w:val="en-CA" w:eastAsia="en-CA"/>
            </w:rPr>
            <w:tab/>
          </w:r>
          <w:hyperlink w:anchor="__RefHeading___Toc497800408">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6.4   Payment of Liquidated Damages</w:t>
          </w:r>
          <w:r>
            <w:rPr>
              <w:lang w:val="en-CA" w:eastAsia="en-CA"/>
            </w:rPr>
            <w:tab/>
          </w:r>
          <w:hyperlink w:anchor="__RefHeading___Toc497800409">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6.5   </w:t>
          </w:r>
          <w:r>
            <w:rPr>
              <w:rFonts w:cs="Times New Roman" w:ascii="Times New Roman" w:hAnsi="Times New Roman"/>
              <w:sz w:val="22"/>
              <w:szCs w:val="24"/>
              <w:u w:val="single"/>
              <w:lang w:val="en-CA" w:eastAsia="en-CA"/>
            </w:rPr>
            <w:t>Notices of Nonpayment</w:t>
          </w:r>
          <w:r>
            <w:rPr>
              <w:lang w:val="en-CA" w:eastAsia="en-CA"/>
            </w:rPr>
            <w:tab/>
          </w:r>
          <w:hyperlink w:anchor="__RefHeading___Toc497800410">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6.6   </w:t>
          </w:r>
          <w:r>
            <w:rPr>
              <w:rFonts w:cs="Times New Roman" w:ascii="Times New Roman" w:hAnsi="Times New Roman"/>
              <w:sz w:val="22"/>
              <w:szCs w:val="24"/>
              <w:u w:val="single"/>
              <w:lang w:val="en-CA" w:eastAsia="en-CA"/>
            </w:rPr>
            <w:t>Lien Release</w:t>
          </w:r>
          <w:r>
            <w:rPr>
              <w:lang w:val="en-CA" w:eastAsia="en-CA"/>
            </w:rPr>
            <w:tab/>
          </w:r>
          <w:hyperlink w:anchor="__RefHeading___Toc497800411">
            <w:r>
              <w:rPr>
                <w:rStyle w:val="IndexLink"/>
                <w:lang w:val="en-CA" w:eastAsia="en-CA"/>
              </w:rPr>
              <w:t>26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   </w:t>
          </w:r>
          <w:r>
            <w:rPr>
              <w:rFonts w:cs="Times New Roman" w:ascii="Times New Roman" w:hAnsi="Times New Roman"/>
              <w:sz w:val="22"/>
              <w:szCs w:val="24"/>
              <w:u w:val="single"/>
              <w:lang w:val="en-CA" w:eastAsia="en-CA"/>
            </w:rPr>
            <w:t>Invoices</w:t>
          </w:r>
          <w:r>
            <w:rPr>
              <w:lang w:val="en-CA" w:eastAsia="en-CA"/>
            </w:rPr>
            <w:tab/>
          </w:r>
          <w:hyperlink w:anchor="__RefHeading___Toc497800412">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6.7.1   </w:t>
          </w:r>
          <w:r>
            <w:rPr>
              <w:rFonts w:cs="Times New Roman" w:ascii="Times New Roman" w:hAnsi="Times New Roman"/>
              <w:sz w:val="22"/>
              <w:szCs w:val="24"/>
              <w:u w:val="single"/>
              <w:lang w:val="en-CA" w:eastAsia="en-CA"/>
            </w:rPr>
            <w:t>Contract Reference</w:t>
          </w:r>
          <w:r>
            <w:rPr>
              <w:lang w:val="en-CA" w:eastAsia="en-CA"/>
            </w:rPr>
            <w:tab/>
          </w:r>
          <w:hyperlink w:anchor="__RefHeading___Toc497800413">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6.7.2   </w:t>
          </w:r>
          <w:r>
            <w:rPr>
              <w:rFonts w:cs="Times New Roman" w:ascii="Times New Roman" w:hAnsi="Times New Roman"/>
              <w:sz w:val="22"/>
              <w:szCs w:val="24"/>
              <w:u w:val="single"/>
              <w:lang w:val="en-CA" w:eastAsia="en-CA"/>
            </w:rPr>
            <w:t>Address for Invoices</w:t>
          </w:r>
          <w:r>
            <w:rPr>
              <w:lang w:val="en-CA" w:eastAsia="en-CA"/>
            </w:rPr>
            <w:tab/>
          </w:r>
          <w:hyperlink w:anchor="__RefHeading___Toc497800414">
            <w:r>
              <w:rPr>
                <w:rStyle w:val="IndexLink"/>
                <w:lang w:val="en-CA" w:eastAsia="en-CA"/>
              </w:rPr>
              <w:t>27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6.7.3   </w:t>
          </w:r>
          <w:r>
            <w:rPr>
              <w:rFonts w:cs="Times New Roman" w:ascii="Times New Roman" w:hAnsi="Times New Roman"/>
              <w:sz w:val="22"/>
              <w:szCs w:val="24"/>
              <w:u w:val="single"/>
              <w:lang w:val="en-CA" w:eastAsia="en-CA"/>
            </w:rPr>
            <w:t>Date of Receipt</w:t>
          </w:r>
          <w:r>
            <w:rPr>
              <w:lang w:val="en-CA" w:eastAsia="en-CA"/>
            </w:rPr>
            <w:tab/>
          </w:r>
          <w:hyperlink w:anchor="__RefHeading___Toc497800415">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6.8   </w:t>
          </w:r>
          <w:r>
            <w:rPr>
              <w:rFonts w:cs="Times New Roman" w:ascii="Times New Roman" w:hAnsi="Times New Roman"/>
              <w:sz w:val="22"/>
              <w:szCs w:val="24"/>
              <w:u w:val="single"/>
              <w:lang w:val="en-CA" w:eastAsia="en-CA"/>
            </w:rPr>
            <w:t>Method of Payment</w:t>
          </w:r>
          <w:r>
            <w:rPr>
              <w:lang w:val="en-CA" w:eastAsia="en-CA"/>
            </w:rPr>
            <w:tab/>
          </w:r>
          <w:hyperlink w:anchor="__RefHeading___Toc497800416">
            <w:r>
              <w:rPr>
                <w:rStyle w:val="IndexLink"/>
                <w:lang w:val="en-CA" w:eastAsia="en-CA"/>
              </w:rPr>
              <w:t>27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6.9   </w:t>
          </w:r>
          <w:r>
            <w:rPr>
              <w:rFonts w:cs="Times New Roman" w:ascii="Times New Roman" w:hAnsi="Times New Roman"/>
              <w:sz w:val="22"/>
              <w:szCs w:val="24"/>
              <w:u w:val="single"/>
              <w:lang w:val="en-CA" w:eastAsia="en-CA"/>
            </w:rPr>
            <w:t>Payments Not Acceptance of Work</w:t>
          </w:r>
          <w:r>
            <w:rPr>
              <w:lang w:val="en-CA" w:eastAsia="en-CA"/>
            </w:rPr>
            <w:tab/>
          </w:r>
          <w:hyperlink w:anchor="__RefHeading___Toc497800417">
            <w:r>
              <w:rPr>
                <w:rStyle w:val="IndexLink"/>
                <w:lang w:val="en-CA" w:eastAsia="en-CA"/>
              </w:rPr>
              <w:t>27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VII.  </w:t>
          </w:r>
          <w:r>
            <w:rPr>
              <w:rFonts w:cs="Times New Roman" w:ascii="Times New Roman" w:hAnsi="Times New Roman"/>
              <w:sz w:val="22"/>
              <w:szCs w:val="24"/>
              <w:u w:val="single"/>
            </w:rPr>
            <w:t>EFFECTIVE DATE, COMMENCEMENT OF THE WORK, TERMINATION</w:t>
          </w:r>
          <w:r>
            <w:rPr/>
            <w:tab/>
          </w:r>
          <w:hyperlink w:anchor="__RefHeading___Toc497800418">
            <w:r>
              <w:rPr>
                <w:rStyle w:val="IndexLink"/>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7.1   </w:t>
          </w:r>
          <w:r>
            <w:rPr>
              <w:rFonts w:cs="Times New Roman" w:ascii="Times New Roman" w:hAnsi="Times New Roman"/>
              <w:sz w:val="22"/>
              <w:szCs w:val="24"/>
              <w:u w:val="single"/>
              <w:lang w:val="en-CA" w:eastAsia="en-CA"/>
            </w:rPr>
            <w:t>Effective Date</w:t>
          </w:r>
          <w:r>
            <w:rPr>
              <w:lang w:val="en-CA" w:eastAsia="en-CA"/>
            </w:rPr>
            <w:tab/>
          </w:r>
          <w:hyperlink w:anchor="__RefHeading___Toc497800419">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u w:val="single"/>
              <w:lang w:val="en-CA" w:eastAsia="en-CA"/>
            </w:rPr>
            <w:t>7.2   Commencement of Work</w:t>
          </w:r>
          <w:r>
            <w:rPr>
              <w:lang w:val="en-CA" w:eastAsia="en-CA"/>
            </w:rPr>
            <w:tab/>
          </w:r>
          <w:hyperlink w:anchor="__RefHeading___Toc497800420">
            <w:r>
              <w:rPr>
                <w:rStyle w:val="IndexLink"/>
                <w:lang w:val="en-CA" w:eastAsia="en-CA"/>
              </w:rPr>
              <w:t>28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3.16  </w:t>
          </w:r>
          <w:r>
            <w:rPr>
              <w:rFonts w:cs="Times New Roman" w:ascii="Times New Roman" w:hAnsi="Times New Roman"/>
              <w:sz w:val="22"/>
              <w:szCs w:val="24"/>
              <w:u w:val="single"/>
              <w:lang w:val="en-CA" w:eastAsia="en-CA"/>
            </w:rPr>
            <w:t>Project Planning and Control</w:t>
          </w:r>
          <w:r>
            <w:rPr>
              <w:lang w:val="en-CA" w:eastAsia="en-CA"/>
            </w:rPr>
            <w:tab/>
          </w:r>
          <w:hyperlink w:anchor="__RefHeading___Toc497800421">
            <w:r>
              <w:rPr>
                <w:rStyle w:val="IndexLink"/>
                <w:lang w:val="en-CA" w:eastAsia="en-CA"/>
              </w:rPr>
              <w:t>29</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   Guaranteed </w:t>
          </w:r>
          <w:r>
            <w:rPr>
              <w:rFonts w:cs="Times New Roman" w:ascii="Times New Roman" w:hAnsi="Times New Roman"/>
              <w:sz w:val="22"/>
              <w:szCs w:val="24"/>
              <w:u w:val="single"/>
              <w:lang w:val="en-CA" w:eastAsia="en-CA"/>
            </w:rPr>
            <w:t>Installation Date</w:t>
          </w:r>
          <w:r>
            <w:rPr>
              <w:lang w:val="en-CA" w:eastAsia="en-CA"/>
            </w:rPr>
            <w:tab/>
          </w:r>
          <w:hyperlink w:anchor="__RefHeading___Toc497800422">
            <w:r>
              <w:rPr>
                <w:rStyle w:val="IndexLink"/>
                <w:lang w:val="en-CA" w:eastAsia="en-CA"/>
              </w:rPr>
              <w:t>29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IX.  </w:t>
          </w:r>
          <w:r>
            <w:rPr>
              <w:rFonts w:cs="Times New Roman" w:ascii="Times New Roman" w:hAnsi="Times New Roman"/>
              <w:sz w:val="22"/>
              <w:szCs w:val="24"/>
              <w:u w:val="single"/>
            </w:rPr>
            <w:t>INSPECTION AND CORRECTION OF WORK</w:t>
          </w:r>
          <w:r>
            <w:rPr/>
            <w:tab/>
          </w:r>
          <w:hyperlink w:anchor="__RefHeading___Toc497800423">
            <w:r>
              <w:rPr>
                <w:rStyle w:val="IndexLink"/>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9.1   </w:t>
          </w:r>
          <w:r>
            <w:rPr>
              <w:rFonts w:cs="Times New Roman" w:ascii="Times New Roman" w:hAnsi="Times New Roman"/>
              <w:sz w:val="22"/>
              <w:szCs w:val="24"/>
              <w:u w:val="single"/>
              <w:lang w:val="en-CA" w:eastAsia="en-CA"/>
            </w:rPr>
            <w:t>Inspections</w:t>
          </w:r>
          <w:r>
            <w:rPr>
              <w:lang w:val="en-CA" w:eastAsia="en-CA"/>
            </w:rPr>
            <w:tab/>
          </w:r>
          <w:hyperlink w:anchor="__RefHeading___Toc497800424">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9.2   </w:t>
          </w:r>
          <w:r>
            <w:rPr>
              <w:rFonts w:cs="Times New Roman" w:ascii="Times New Roman" w:hAnsi="Times New Roman"/>
              <w:sz w:val="22"/>
              <w:szCs w:val="24"/>
              <w:u w:val="single"/>
              <w:lang w:val="en-CA" w:eastAsia="en-CA"/>
            </w:rPr>
            <w:t>Resident Facilities</w:t>
          </w:r>
          <w:r>
            <w:rPr>
              <w:lang w:val="en-CA" w:eastAsia="en-CA"/>
            </w:rPr>
            <w:tab/>
          </w:r>
          <w:hyperlink w:anchor="__RefHeading___Toc497800425">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9.3   </w:t>
          </w:r>
          <w:r>
            <w:rPr>
              <w:rFonts w:cs="Times New Roman" w:ascii="Times New Roman" w:hAnsi="Times New Roman"/>
              <w:sz w:val="22"/>
              <w:szCs w:val="24"/>
              <w:u w:val="single"/>
              <w:lang w:val="en-CA" w:eastAsia="en-CA"/>
            </w:rPr>
            <w:t>Quality Plan</w:t>
          </w:r>
          <w:r>
            <w:rPr>
              <w:lang w:val="en-CA" w:eastAsia="en-CA"/>
            </w:rPr>
            <w:tab/>
          </w:r>
          <w:hyperlink w:anchor="__RefHeading___Toc497800426">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9.4   </w:t>
          </w:r>
          <w:r>
            <w:rPr>
              <w:rFonts w:cs="Times New Roman" w:ascii="Times New Roman" w:hAnsi="Times New Roman"/>
              <w:sz w:val="22"/>
              <w:szCs w:val="24"/>
              <w:u w:val="single"/>
              <w:lang w:val="en-CA" w:eastAsia="en-CA"/>
            </w:rPr>
            <w:t>Notice</w:t>
          </w:r>
          <w:r>
            <w:rPr>
              <w:lang w:val="en-CA" w:eastAsia="en-CA"/>
            </w:rPr>
            <w:tab/>
          </w:r>
          <w:hyperlink w:anchor="__RefHeading___Toc497800427">
            <w:r>
              <w:rPr>
                <w:rStyle w:val="IndexLink"/>
                <w:lang w:val="en-CA" w:eastAsia="en-CA"/>
              </w:rPr>
              <w:t>30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9.5   </w:t>
          </w:r>
          <w:r>
            <w:rPr>
              <w:rFonts w:cs="Times New Roman" w:ascii="Times New Roman" w:hAnsi="Times New Roman"/>
              <w:sz w:val="22"/>
              <w:szCs w:val="24"/>
              <w:u w:val="single"/>
              <w:lang w:val="en-CA" w:eastAsia="en-CA"/>
            </w:rPr>
            <w:t>Correction of Equipment</w:t>
          </w:r>
          <w:r>
            <w:rPr>
              <w:lang w:val="en-CA" w:eastAsia="en-CA"/>
            </w:rPr>
            <w:tab/>
          </w:r>
          <w:hyperlink w:anchor="__RefHeading___Toc497800428">
            <w:r>
              <w:rPr>
                <w:rStyle w:val="IndexLink"/>
                <w:lang w:val="en-CA" w:eastAsia="en-CA"/>
              </w:rPr>
              <w:t>31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  </w:t>
          </w:r>
          <w:r>
            <w:rPr>
              <w:rFonts w:cs="Times New Roman" w:ascii="Times New Roman" w:hAnsi="Times New Roman"/>
              <w:sz w:val="22"/>
              <w:szCs w:val="24"/>
              <w:u w:val="single"/>
            </w:rPr>
            <w:t>DELIVERY AND PERFORMANCE</w:t>
          </w:r>
          <w:r>
            <w:rPr/>
            <w:tab/>
          </w:r>
          <w:hyperlink w:anchor="__RefHeading___Toc497800429">
            <w:r>
              <w:rPr>
                <w:rStyle w:val="IndexLink"/>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10.1   </w:t>
          </w:r>
          <w:r>
            <w:rPr>
              <w:rFonts w:cs="Times New Roman" w:ascii="Times New Roman" w:hAnsi="Times New Roman"/>
              <w:sz w:val="22"/>
              <w:szCs w:val="24"/>
              <w:u w:val="single"/>
              <w:lang w:val="en-CA" w:eastAsia="en-CA"/>
            </w:rPr>
            <w:t>Delivery of Documentation</w:t>
          </w:r>
          <w:r>
            <w:rPr>
              <w:lang w:val="en-CA" w:eastAsia="en-CA"/>
            </w:rPr>
            <w:tab/>
          </w:r>
          <w:hyperlink w:anchor="__RefHeading___Toc497800430">
            <w:r>
              <w:rPr>
                <w:rStyle w:val="IndexLink"/>
                <w:lang w:val="en-CA" w:eastAsia="en-CA"/>
              </w:rPr>
              <w:t>32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   </w:t>
          </w:r>
          <w:r>
            <w:rPr>
              <w:rFonts w:cs="Times New Roman" w:ascii="Times New Roman" w:hAnsi="Times New Roman"/>
              <w:sz w:val="22"/>
              <w:szCs w:val="24"/>
              <w:u w:val="single"/>
              <w:lang w:val="en-CA" w:eastAsia="en-CA"/>
            </w:rPr>
            <w:t>Delivery and Installation of Equipment</w:t>
          </w:r>
          <w:r>
            <w:rPr>
              <w:lang w:val="en-CA" w:eastAsia="en-CA"/>
            </w:rPr>
            <w:tab/>
          </w:r>
          <w:hyperlink w:anchor="__RefHeading___Toc497800431">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10.2.5   </w:t>
          </w:r>
          <w:r>
            <w:rPr>
              <w:rFonts w:cs="Times New Roman" w:ascii="Times New Roman" w:hAnsi="Times New Roman"/>
              <w:sz w:val="22"/>
              <w:szCs w:val="24"/>
              <w:u w:val="single"/>
              <w:lang w:val="en-CA" w:eastAsia="en-CA"/>
            </w:rPr>
            <w:t>Extensions of the Guaranteed Installation Date</w:t>
          </w:r>
          <w:r>
            <w:rPr>
              <w:lang w:val="en-CA" w:eastAsia="en-CA"/>
            </w:rPr>
            <w:tab/>
          </w:r>
          <w:hyperlink w:anchor="__RefHeading___Toc497800432">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10.2.6   </w:t>
          </w:r>
          <w:r>
            <w:rPr>
              <w:rFonts w:cs="Times New Roman" w:ascii="Times New Roman" w:hAnsi="Times New Roman"/>
              <w:sz w:val="22"/>
              <w:szCs w:val="24"/>
              <w:u w:val="single"/>
              <w:lang w:val="en-CA" w:eastAsia="en-CA"/>
            </w:rPr>
            <w:t>Not Used</w:t>
          </w:r>
          <w:r>
            <w:rPr>
              <w:lang w:val="en-CA" w:eastAsia="en-CA"/>
            </w:rPr>
            <w:tab/>
          </w:r>
          <w:hyperlink w:anchor="__RefHeading___Toc497800433">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10.3.1   </w:t>
          </w:r>
          <w:r>
            <w:rPr>
              <w:rFonts w:cs="Times New Roman" w:ascii="Times New Roman" w:hAnsi="Times New Roman"/>
              <w:sz w:val="22"/>
              <w:szCs w:val="24"/>
              <w:u w:val="single"/>
              <w:lang w:val="en-CA" w:eastAsia="en-CA"/>
            </w:rPr>
            <w:t>Installation Liquidated Damages</w:t>
          </w:r>
          <w:r>
            <w:rPr>
              <w:lang w:val="en-CA" w:eastAsia="en-CA"/>
            </w:rPr>
            <w:tab/>
          </w:r>
          <w:hyperlink w:anchor="__RefHeading___Toc497800434">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10.3.2   </w:t>
          </w:r>
          <w:r>
            <w:rPr>
              <w:rFonts w:cs="Times New Roman" w:ascii="Times New Roman" w:hAnsi="Times New Roman"/>
              <w:sz w:val="22"/>
              <w:szCs w:val="24"/>
              <w:u w:val="single"/>
              <w:lang w:val="en-CA" w:eastAsia="en-CA"/>
            </w:rPr>
            <w:t>Not Used</w:t>
          </w:r>
          <w:r>
            <w:rPr>
              <w:lang w:val="en-CA" w:eastAsia="en-CA"/>
            </w:rPr>
            <w:tab/>
          </w:r>
          <w:hyperlink w:anchor="__RefHeading___Toc497800435">
            <w:r>
              <w:rPr>
                <w:rStyle w:val="IndexLink"/>
                <w:b/>
                <w:bCs/>
                <w:lang w:val="en-CA" w:eastAsia="en-CA"/>
              </w:rPr>
              <w:t>Error! Bookmark not defined.</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7800436">
            <w:r>
              <w:rPr>
                <w:rStyle w:val="IndexLink"/>
                <w:lang w:val="en-CA" w:eastAsia="en-CA"/>
              </w:rPr>
              <w:t>35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10.4.1   </w:t>
          </w:r>
          <w:r>
            <w:rPr>
              <w:rFonts w:cs="Times New Roman" w:ascii="Times New Roman" w:hAnsi="Times New Roman"/>
              <w:sz w:val="22"/>
              <w:szCs w:val="24"/>
              <w:u w:val="single"/>
              <w:lang w:val="en-CA" w:eastAsia="en-CA"/>
            </w:rPr>
            <w:t>Electrical Losses Guarantee</w:t>
          </w:r>
          <w:r>
            <w:rPr>
              <w:lang w:val="en-CA" w:eastAsia="en-CA"/>
            </w:rPr>
            <w:tab/>
          </w:r>
          <w:hyperlink w:anchor="__RefHeading___Toc497800437">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10.4.2   </w:t>
          </w:r>
          <w:r>
            <w:rPr>
              <w:rFonts w:cs="Times New Roman" w:ascii="Times New Roman" w:hAnsi="Times New Roman"/>
              <w:sz w:val="22"/>
              <w:szCs w:val="24"/>
              <w:u w:val="single"/>
              <w:lang w:val="en-CA" w:eastAsia="en-CA"/>
            </w:rPr>
            <w:t>Minimum Electrical Losses Guarantee</w:t>
          </w:r>
          <w:r>
            <w:rPr>
              <w:lang w:val="en-CA" w:eastAsia="en-CA"/>
            </w:rPr>
            <w:tab/>
          </w:r>
          <w:hyperlink w:anchor="__RefHeading___Toc497800438">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10.4.3   </w:t>
          </w:r>
          <w:r>
            <w:rPr>
              <w:rFonts w:cs="Times New Roman" w:ascii="Times New Roman" w:hAnsi="Times New Roman"/>
              <w:sz w:val="22"/>
              <w:szCs w:val="24"/>
              <w:u w:val="single"/>
              <w:lang w:val="en-CA" w:eastAsia="en-CA"/>
            </w:rPr>
            <w:t>Loss Evaluation Guarantee</w:t>
          </w:r>
          <w:r>
            <w:rPr>
              <w:lang w:val="en-CA" w:eastAsia="en-CA"/>
            </w:rPr>
            <w:tab/>
          </w:r>
          <w:hyperlink w:anchor="__RefHeading___Toc497800439">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10.4.4   </w:t>
          </w:r>
          <w:r>
            <w:rPr>
              <w:rFonts w:cs="Times New Roman" w:ascii="Times New Roman" w:hAnsi="Times New Roman"/>
              <w:sz w:val="22"/>
              <w:szCs w:val="24"/>
              <w:u w:val="single"/>
              <w:lang w:val="en-CA" w:eastAsia="en-CA"/>
            </w:rPr>
            <w:t>Guarantee Value Table</w:t>
          </w:r>
          <w:r>
            <w:rPr>
              <w:lang w:val="en-CA" w:eastAsia="en-CA"/>
            </w:rPr>
            <w:tab/>
          </w:r>
          <w:hyperlink w:anchor="__RefHeading___Toc497800440">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10.5.3   </w:t>
          </w:r>
          <w:r>
            <w:rPr>
              <w:rFonts w:cs="Times New Roman" w:ascii="Times New Roman" w:hAnsi="Times New Roman"/>
              <w:sz w:val="22"/>
              <w:szCs w:val="24"/>
              <w:u w:val="single"/>
              <w:lang w:val="en-CA" w:eastAsia="en-CA"/>
            </w:rPr>
            <w:t>Remedy for Failures to Meet Minimum Electrical Losses Guarantee</w:t>
          </w:r>
          <w:r>
            <w:rPr>
              <w:lang w:val="en-CA" w:eastAsia="en-CA"/>
            </w:rPr>
            <w:tab/>
          </w:r>
          <w:hyperlink w:anchor="__RefHeading___Toc497800441">
            <w:r>
              <w:rPr>
                <w:rStyle w:val="IndexLink"/>
                <w:b/>
                <w:bCs/>
                <w:lang w:val="en-CA" w:eastAsia="en-CA"/>
              </w:rPr>
              <w:t>Error! Bookmark not defined.</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   </w:t>
          </w:r>
          <w:r>
            <w:rPr>
              <w:rFonts w:cs="Times New Roman" w:ascii="Times New Roman" w:hAnsi="Times New Roman"/>
              <w:sz w:val="22"/>
              <w:szCs w:val="24"/>
              <w:u w:val="single"/>
              <w:lang w:val="en-CA" w:eastAsia="en-CA"/>
            </w:rPr>
            <w:t>Not Used</w:t>
          </w:r>
          <w:r>
            <w:rPr>
              <w:lang w:val="en-CA" w:eastAsia="en-CA"/>
            </w:rPr>
            <w:tab/>
          </w:r>
          <w:hyperlink w:anchor="__RefHeading___Toc497800442">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10.8.1   </w:t>
          </w:r>
          <w:r>
            <w:rPr>
              <w:rFonts w:cs="Times New Roman" w:ascii="Times New Roman" w:hAnsi="Times New Roman"/>
              <w:sz w:val="22"/>
              <w:szCs w:val="24"/>
              <w:u w:val="single"/>
              <w:lang w:val="en-CA" w:eastAsia="en-CA"/>
            </w:rPr>
            <w:t>Seller Presence at Tests</w:t>
          </w:r>
          <w:r>
            <w:rPr>
              <w:lang w:val="en-CA" w:eastAsia="en-CA"/>
            </w:rPr>
            <w:tab/>
          </w:r>
          <w:hyperlink w:anchor="__RefHeading___Toc497800443">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10.8.2   </w:t>
          </w:r>
          <w:r>
            <w:rPr>
              <w:rFonts w:cs="Times New Roman" w:ascii="Times New Roman" w:hAnsi="Times New Roman"/>
              <w:sz w:val="22"/>
              <w:szCs w:val="24"/>
              <w:u w:val="single"/>
              <w:lang w:val="en-CA" w:eastAsia="en-CA"/>
            </w:rPr>
            <w:t>Test Results</w:t>
          </w:r>
          <w:r>
            <w:rPr>
              <w:lang w:val="en-CA" w:eastAsia="en-CA"/>
            </w:rPr>
            <w:tab/>
          </w:r>
          <w:hyperlink w:anchor="__RefHeading___Toc497800444">
            <w:r>
              <w:rPr>
                <w:rStyle w:val="IndexLink"/>
                <w:b/>
                <w:bCs/>
                <w:lang w:val="en-CA" w:eastAsia="en-CA"/>
              </w:rPr>
              <w:t>Error! Bookmark not defined.</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10.5   </w:t>
          </w:r>
          <w:r>
            <w:rPr>
              <w:rFonts w:cs="Times New Roman" w:ascii="Times New Roman" w:hAnsi="Times New Roman"/>
              <w:sz w:val="22"/>
              <w:szCs w:val="24"/>
              <w:u w:val="single"/>
              <w:lang w:val="en-CA" w:eastAsia="en-CA"/>
            </w:rPr>
            <w:t>Most Recent Performance Test</w:t>
          </w:r>
          <w:r>
            <w:rPr>
              <w:lang w:val="en-CA" w:eastAsia="en-CA"/>
            </w:rPr>
            <w:tab/>
          </w:r>
          <w:hyperlink w:anchor="__RefHeading___Toc497800445">
            <w:r>
              <w:rPr>
                <w:rStyle w:val="IndexLink"/>
                <w:b/>
                <w:bCs/>
                <w:lang w:val="en-CA" w:eastAsia="en-CA"/>
              </w:rPr>
              <w:t>Error! Bookmark not defined.</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10.8.3   </w:t>
          </w:r>
          <w:r>
            <w:rPr>
              <w:rFonts w:cs="Times New Roman" w:ascii="Times New Roman" w:hAnsi="Times New Roman"/>
              <w:sz w:val="22"/>
              <w:szCs w:val="24"/>
              <w:u w:val="single"/>
              <w:lang w:val="en-CA" w:eastAsia="en-CA"/>
            </w:rPr>
            <w:t>Consumable Spare Parts During Retests</w:t>
          </w:r>
          <w:r>
            <w:rPr>
              <w:lang w:val="en-CA" w:eastAsia="en-CA"/>
            </w:rPr>
            <w:tab/>
          </w:r>
          <w:hyperlink w:anchor="__RefHeading___Toc497800446">
            <w:r>
              <w:rPr>
                <w:rStyle w:val="IndexLink"/>
                <w:b/>
                <w:bCs/>
                <w:lang w:val="en-CA" w:eastAsia="en-CA"/>
              </w:rPr>
              <w:t>Error! Bookmark not defined.</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10.9   </w:t>
          </w:r>
          <w:r>
            <w:rPr>
              <w:rFonts w:cs="Times New Roman" w:ascii="Times New Roman" w:hAnsi="Times New Roman"/>
              <w:sz w:val="22"/>
              <w:szCs w:val="24"/>
              <w:u w:val="single"/>
              <w:lang w:val="en-CA" w:eastAsia="en-CA"/>
            </w:rPr>
            <w:t>Acceptance</w:t>
          </w:r>
          <w:r>
            <w:rPr>
              <w:lang w:val="en-CA" w:eastAsia="en-CA"/>
            </w:rPr>
            <w:tab/>
          </w:r>
          <w:hyperlink w:anchor="__RefHeading___Toc497800447">
            <w:r>
              <w:rPr>
                <w:rStyle w:val="IndexLink"/>
                <w:b/>
                <w:bCs/>
                <w:lang w:val="en-CA" w:eastAsia="en-CA"/>
              </w:rPr>
              <w:t>Error! Bookmark not defined.</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  </w:t>
          </w:r>
          <w:r>
            <w:rPr>
              <w:rFonts w:cs="Times New Roman" w:ascii="Times New Roman" w:hAnsi="Times New Roman"/>
              <w:sz w:val="22"/>
              <w:szCs w:val="24"/>
              <w:u w:val="single"/>
            </w:rPr>
            <w:t>CHANGE ORDER</w:t>
          </w:r>
          <w:r>
            <w:rPr/>
            <w:tab/>
          </w:r>
          <w:hyperlink w:anchor="__RefHeading___Toc497800448">
            <w:r>
              <w:rPr>
                <w:rStyle w:val="IndexLink"/>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11.1   </w:t>
          </w:r>
          <w:r>
            <w:rPr>
              <w:rFonts w:cs="Times New Roman" w:ascii="Times New Roman" w:hAnsi="Times New Roman"/>
              <w:sz w:val="22"/>
              <w:szCs w:val="24"/>
              <w:u w:val="single"/>
              <w:lang w:val="en-CA" w:eastAsia="en-CA"/>
            </w:rPr>
            <w:t>Adjustment of Purchase Amount</w:t>
          </w:r>
          <w:r>
            <w:rPr>
              <w:lang w:val="en-CA" w:eastAsia="en-CA"/>
            </w:rPr>
            <w:tab/>
          </w:r>
          <w:hyperlink w:anchor="__RefHeading___Toc497800449">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11.2   </w:t>
          </w:r>
          <w:r>
            <w:rPr>
              <w:rFonts w:cs="Times New Roman" w:ascii="Times New Roman" w:hAnsi="Times New Roman"/>
              <w:sz w:val="22"/>
              <w:szCs w:val="24"/>
              <w:u w:val="single"/>
              <w:lang w:val="en-CA" w:eastAsia="en-CA"/>
            </w:rPr>
            <w:t>Purchaser Requested Change Order</w:t>
          </w:r>
          <w:r>
            <w:rPr>
              <w:lang w:val="en-CA" w:eastAsia="en-CA"/>
            </w:rPr>
            <w:tab/>
          </w:r>
          <w:hyperlink w:anchor="__RefHeading___Toc497800450">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11.3   </w:t>
          </w:r>
          <w:r>
            <w:rPr>
              <w:rFonts w:cs="Times New Roman" w:ascii="Times New Roman" w:hAnsi="Times New Roman"/>
              <w:sz w:val="22"/>
              <w:szCs w:val="24"/>
              <w:u w:val="single"/>
              <w:lang w:val="en-CA" w:eastAsia="en-CA"/>
            </w:rPr>
            <w:t>Seller Requested Change Order</w:t>
          </w:r>
          <w:r>
            <w:rPr>
              <w:lang w:val="en-CA" w:eastAsia="en-CA"/>
            </w:rPr>
            <w:tab/>
          </w:r>
          <w:hyperlink w:anchor="__RefHeading___Toc497800451">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11.4   </w:t>
          </w:r>
          <w:r>
            <w:rPr>
              <w:rFonts w:cs="Times New Roman" w:ascii="Times New Roman" w:hAnsi="Times New Roman"/>
              <w:sz w:val="22"/>
              <w:szCs w:val="24"/>
              <w:u w:val="single"/>
              <w:lang w:val="en-CA" w:eastAsia="en-CA"/>
            </w:rPr>
            <w:t>Other Change Order</w:t>
          </w:r>
          <w:r>
            <w:rPr>
              <w:lang w:val="en-CA" w:eastAsia="en-CA"/>
            </w:rPr>
            <w:tab/>
          </w:r>
          <w:hyperlink w:anchor="__RefHeading___Toc497800452">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11.5   </w:t>
          </w:r>
          <w:r>
            <w:rPr>
              <w:rFonts w:cs="Times New Roman" w:ascii="Times New Roman" w:hAnsi="Times New Roman"/>
              <w:sz w:val="22"/>
              <w:szCs w:val="24"/>
              <w:u w:val="single"/>
              <w:lang w:val="en-CA" w:eastAsia="en-CA"/>
            </w:rPr>
            <w:t>Disputes</w:t>
          </w:r>
          <w:r>
            <w:rPr>
              <w:lang w:val="en-CA" w:eastAsia="en-CA"/>
            </w:rPr>
            <w:tab/>
          </w:r>
          <w:hyperlink w:anchor="__RefHeading___Toc497800453">
            <w:r>
              <w:rPr>
                <w:rStyle w:val="IndexLink"/>
                <w:lang w:val="en-CA" w:eastAsia="en-CA"/>
              </w:rPr>
              <w:t>36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   </w:t>
          </w:r>
          <w:r>
            <w:rPr>
              <w:rFonts w:cs="Times New Roman" w:ascii="Times New Roman" w:hAnsi="Times New Roman"/>
              <w:sz w:val="22"/>
              <w:szCs w:val="24"/>
              <w:u w:val="single"/>
              <w:lang w:val="en-CA" w:eastAsia="en-CA"/>
            </w:rPr>
            <w:t>Change Order Pricing</w:t>
          </w:r>
          <w:r>
            <w:rPr>
              <w:lang w:val="en-CA" w:eastAsia="en-CA"/>
            </w:rPr>
            <w:tab/>
          </w:r>
          <w:hyperlink w:anchor="__RefHeading___Toc497800454">
            <w:r>
              <w:rPr>
                <w:rStyle w:val="IndexLink"/>
                <w:lang w:val="en-CA" w:eastAsia="en-CA"/>
              </w:rPr>
              <w:t>37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11.6.1   </w:t>
          </w:r>
          <w:r>
            <w:rPr>
              <w:rFonts w:cs="Times New Roman" w:ascii="Times New Roman" w:hAnsi="Times New Roman"/>
              <w:sz w:val="22"/>
              <w:szCs w:val="24"/>
              <w:u w:val="single"/>
              <w:lang w:val="en-CA" w:eastAsia="en-CA"/>
            </w:rPr>
            <w:t>Method of Pricing</w:t>
          </w:r>
          <w:r>
            <w:rPr>
              <w:lang w:val="en-CA" w:eastAsia="en-CA"/>
            </w:rPr>
            <w:tab/>
          </w:r>
          <w:hyperlink w:anchor="__RefHeading___Toc497800455">
            <w:r>
              <w:rPr>
                <w:rStyle w:val="IndexLink"/>
                <w:lang w:val="en-CA" w:eastAsia="en-CA"/>
              </w:rPr>
              <w:t>37</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11.6.2   </w:t>
          </w:r>
          <w:r>
            <w:rPr>
              <w:rFonts w:cs="Times New Roman" w:ascii="Times New Roman" w:hAnsi="Times New Roman"/>
              <w:sz w:val="22"/>
              <w:szCs w:val="24"/>
              <w:u w:val="single"/>
              <w:lang w:val="en-CA" w:eastAsia="en-CA"/>
            </w:rPr>
            <w:t>Cost Plus Basis</w:t>
          </w:r>
          <w:r>
            <w:rPr>
              <w:lang w:val="en-CA" w:eastAsia="en-CA"/>
            </w:rPr>
            <w:tab/>
          </w:r>
          <w:hyperlink w:anchor="__RefHeading___Toc497800456">
            <w:r>
              <w:rPr>
                <w:rStyle w:val="IndexLink"/>
                <w:lang w:val="en-CA" w:eastAsia="en-CA"/>
              </w:rPr>
              <w:t>37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  </w:t>
          </w:r>
          <w:r>
            <w:rPr>
              <w:rFonts w:cs="Times New Roman" w:ascii="Times New Roman" w:hAnsi="Times New Roman"/>
              <w:sz w:val="22"/>
              <w:szCs w:val="24"/>
              <w:u w:val="single"/>
            </w:rPr>
            <w:t>INTENTIONALLY OMITTED</w:t>
          </w:r>
          <w:r>
            <w:rPr/>
            <w:tab/>
          </w:r>
          <w:hyperlink w:anchor="__RefHeading___Toc497800457">
            <w:r>
              <w:rPr>
                <w:rStyle w:val="IndexLink"/>
              </w:rPr>
              <w:t>38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15.3   </w:t>
          </w:r>
          <w:r>
            <w:rPr>
              <w:rFonts w:cs="Times New Roman" w:ascii="Times New Roman" w:hAnsi="Times New Roman"/>
              <w:sz w:val="22"/>
              <w:szCs w:val="24"/>
              <w:u w:val="single"/>
              <w:lang w:val="en-CA" w:eastAsia="en-CA"/>
            </w:rPr>
            <w:t>Seller’s Drawings, Etc. for Use by Purchaser</w:t>
          </w:r>
          <w:r>
            <w:rPr>
              <w:lang w:val="en-CA" w:eastAsia="en-CA"/>
            </w:rPr>
            <w:tab/>
          </w:r>
          <w:hyperlink w:anchor="__RefHeading___Toc497800458">
            <w:r>
              <w:rPr>
                <w:rStyle w:val="IndexLink"/>
                <w:lang w:val="en-CA" w:eastAsia="en-CA"/>
              </w:rPr>
              <w:t>38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15.4   </w:t>
          </w:r>
          <w:r>
            <w:rPr>
              <w:rFonts w:cs="Times New Roman" w:ascii="Times New Roman" w:hAnsi="Times New Roman"/>
              <w:sz w:val="22"/>
              <w:szCs w:val="24"/>
              <w:u w:val="single"/>
              <w:lang w:val="en-CA" w:eastAsia="en-CA"/>
            </w:rPr>
            <w:t>Licensing Procedure</w:t>
          </w:r>
          <w:r>
            <w:rPr>
              <w:lang w:val="en-CA" w:eastAsia="en-CA"/>
            </w:rPr>
            <w:tab/>
          </w:r>
          <w:hyperlink w:anchor="__RefHeading___Toc497800459">
            <w:r>
              <w:rPr>
                <w:rStyle w:val="IndexLink"/>
                <w:lang w:val="en-CA" w:eastAsia="en-CA"/>
              </w:rPr>
              <w:t>38</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15.2.2   </w:t>
          </w:r>
          <w:r>
            <w:rPr>
              <w:rFonts w:cs="Times New Roman" w:ascii="Times New Roman" w:hAnsi="Times New Roman"/>
              <w:sz w:val="22"/>
              <w:szCs w:val="24"/>
              <w:u w:val="single"/>
              <w:lang w:val="en-CA" w:eastAsia="en-CA"/>
            </w:rPr>
            <w:t>Infringement Cures and Defense</w:t>
          </w:r>
          <w:r>
            <w:rPr>
              <w:lang w:val="en-CA" w:eastAsia="en-CA"/>
            </w:rPr>
            <w:tab/>
          </w:r>
          <w:hyperlink w:anchor="__RefHeading___Toc497800460">
            <w:r>
              <w:rPr>
                <w:rStyle w:val="IndexLink"/>
                <w:lang w:val="en-CA" w:eastAsia="en-CA"/>
              </w:rPr>
              <w:t>38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XIII.  </w:t>
          </w:r>
          <w:r>
            <w:rPr>
              <w:rFonts w:cs="Times New Roman" w:ascii="Times New Roman" w:hAnsi="Times New Roman"/>
              <w:sz w:val="22"/>
              <w:szCs w:val="24"/>
              <w:u w:val="single"/>
            </w:rPr>
            <w:t>ORDER OF PRECEDENCE</w:t>
          </w:r>
          <w:r>
            <w:rPr/>
            <w:tab/>
          </w:r>
          <w:hyperlink w:anchor="__RefHeading___Toc497800461">
            <w:r>
              <w:rPr>
                <w:rStyle w:val="IndexLink"/>
              </w:rPr>
              <w:t>40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13.1   </w:t>
          </w:r>
          <w:r>
            <w:rPr>
              <w:rFonts w:cs="Times New Roman" w:ascii="Times New Roman" w:hAnsi="Times New Roman"/>
              <w:sz w:val="22"/>
              <w:szCs w:val="24"/>
              <w:u w:val="single"/>
              <w:lang w:val="en-CA" w:eastAsia="en-CA"/>
            </w:rPr>
            <w:t>Order of Precedence</w:t>
          </w:r>
          <w:r>
            <w:rPr>
              <w:lang w:val="en-CA" w:eastAsia="en-CA"/>
            </w:rPr>
            <w:tab/>
          </w:r>
          <w:hyperlink w:anchor="__RefHeading___Toc497800462">
            <w:r>
              <w:rPr>
                <w:rStyle w:val="IndexLink"/>
                <w:lang w:val="en-CA" w:eastAsia="en-CA"/>
              </w:rPr>
              <w:t>40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XIV.  </w:t>
          </w:r>
          <w:r>
            <w:rPr>
              <w:rFonts w:cs="Times New Roman" w:ascii="Times New Roman" w:hAnsi="Times New Roman"/>
              <w:sz w:val="22"/>
              <w:szCs w:val="24"/>
              <w:u w:val="single"/>
            </w:rPr>
            <w:t>WARRANTY</w:t>
          </w:r>
          <w:r>
            <w:rPr/>
            <w:tab/>
          </w:r>
          <w:hyperlink w:anchor="__RefHeading___Toc497800463">
            <w:r>
              <w:rPr>
                <w:rStyle w:val="IndexLink"/>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   </w:t>
          </w:r>
          <w:r>
            <w:rPr>
              <w:rFonts w:cs="Times New Roman" w:ascii="Times New Roman" w:hAnsi="Times New Roman"/>
              <w:sz w:val="22"/>
              <w:szCs w:val="24"/>
              <w:u w:val="single"/>
              <w:lang w:val="en-CA" w:eastAsia="en-CA"/>
            </w:rPr>
            <w:t>Seller’s Warranty</w:t>
          </w:r>
          <w:r>
            <w:rPr>
              <w:lang w:val="en-CA" w:eastAsia="en-CA"/>
            </w:rPr>
            <w:tab/>
          </w:r>
          <w:hyperlink w:anchor="__RefHeading___Toc497800464">
            <w:r>
              <w:rPr>
                <w:rStyle w:val="IndexLink"/>
                <w:lang w:val="en-CA" w:eastAsia="en-CA"/>
              </w:rPr>
              <w:t>41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14.1.1   </w:t>
          </w:r>
          <w:r>
            <w:rPr>
              <w:rFonts w:cs="Times New Roman" w:ascii="Times New Roman" w:hAnsi="Times New Roman"/>
              <w:sz w:val="22"/>
              <w:szCs w:val="24"/>
              <w:u w:val="single"/>
              <w:lang w:val="en-CA" w:eastAsia="en-CA"/>
            </w:rPr>
            <w:t>Primary Warranty Period</w:t>
          </w:r>
          <w:r>
            <w:rPr>
              <w:lang w:val="en-CA" w:eastAsia="en-CA"/>
            </w:rPr>
            <w:tab/>
          </w:r>
          <w:hyperlink w:anchor="__RefHeading___Toc497800465">
            <w:r>
              <w:rPr>
                <w:rStyle w:val="IndexLink"/>
                <w:lang w:val="en-CA" w:eastAsia="en-CA"/>
              </w:rPr>
              <w:t>41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14.1.2   </w:t>
          </w:r>
          <w:r>
            <w:rPr>
              <w:rFonts w:cs="Times New Roman" w:ascii="Times New Roman" w:hAnsi="Times New Roman"/>
              <w:sz w:val="22"/>
              <w:szCs w:val="24"/>
              <w:u w:val="single"/>
              <w:lang w:val="en-CA" w:eastAsia="en-CA"/>
            </w:rPr>
            <w:t>Warranty Clarification</w:t>
          </w:r>
          <w:r>
            <w:rPr>
              <w:lang w:val="en-CA" w:eastAsia="en-CA"/>
            </w:rPr>
            <w:tab/>
          </w:r>
          <w:hyperlink w:anchor="__RefHeading___Toc497800466">
            <w:r>
              <w:rPr>
                <w:rStyle w:val="IndexLink"/>
                <w:lang w:val="en-CA" w:eastAsia="en-CA"/>
              </w:rPr>
              <w:t>41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14.1.3   </w:t>
          </w:r>
          <w:r>
            <w:rPr>
              <w:rFonts w:cs="Times New Roman" w:ascii="Times New Roman" w:hAnsi="Times New Roman"/>
              <w:sz w:val="22"/>
              <w:szCs w:val="24"/>
              <w:u w:val="single"/>
              <w:lang w:val="en-CA" w:eastAsia="en-CA"/>
            </w:rPr>
            <w:t>Warranty Breach Notice</w:t>
          </w:r>
          <w:r>
            <w:rPr>
              <w:lang w:val="en-CA" w:eastAsia="en-CA"/>
            </w:rPr>
            <w:tab/>
          </w:r>
          <w:hyperlink w:anchor="__RefHeading___Toc497800467">
            <w:r>
              <w:rPr>
                <w:rStyle w:val="IndexLink"/>
                <w:lang w:val="en-CA" w:eastAsia="en-CA"/>
              </w:rPr>
              <w:t>41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   </w:t>
          </w:r>
          <w:r>
            <w:rPr>
              <w:rFonts w:cs="Times New Roman" w:ascii="Times New Roman" w:hAnsi="Times New Roman"/>
              <w:sz w:val="22"/>
              <w:szCs w:val="24"/>
              <w:u w:val="single"/>
              <w:lang w:val="en-CA" w:eastAsia="en-CA"/>
            </w:rPr>
            <w:t>Remedy</w:t>
          </w:r>
          <w:r>
            <w:rPr>
              <w:lang w:val="en-CA" w:eastAsia="en-CA"/>
            </w:rPr>
            <w:tab/>
          </w:r>
          <w:hyperlink w:anchor="__RefHeading___Toc497800468">
            <w:r>
              <w:rPr>
                <w:rStyle w:val="IndexLink"/>
                <w:lang w:val="en-CA" w:eastAsia="en-CA"/>
              </w:rPr>
              <w:t>41</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14.3.1   </w:t>
          </w:r>
          <w:r>
            <w:rPr>
              <w:rFonts w:cs="Times New Roman" w:ascii="Times New Roman" w:hAnsi="Times New Roman"/>
              <w:sz w:val="22"/>
              <w:szCs w:val="24"/>
              <w:u w:val="single"/>
              <w:lang w:val="en-CA" w:eastAsia="en-CA"/>
            </w:rPr>
            <w:t>Obligations, Responsibilities and Recourse</w:t>
          </w:r>
          <w:r>
            <w:rPr>
              <w:lang w:val="en-CA" w:eastAsia="en-CA"/>
            </w:rPr>
            <w:tab/>
          </w:r>
          <w:hyperlink w:anchor="__RefHeading___Toc497800469">
            <w:r>
              <w:rPr>
                <w:rStyle w:val="IndexLink"/>
                <w:lang w:val="en-CA" w:eastAsia="en-CA"/>
              </w:rPr>
              <w:t>42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14.2.1   </w:t>
          </w:r>
          <w:r>
            <w:rPr>
              <w:rFonts w:cs="Times New Roman" w:ascii="Times New Roman" w:hAnsi="Times New Roman"/>
              <w:sz w:val="22"/>
              <w:szCs w:val="24"/>
              <w:u w:val="single"/>
              <w:lang w:val="en-CA" w:eastAsia="en-CA"/>
            </w:rPr>
            <w:t>Continued Warranty on Corrections or Repairs Performed During the Primary Warranty Period</w:t>
          </w:r>
          <w:r>
            <w:rPr>
              <w:lang w:val="en-CA" w:eastAsia="en-CA"/>
            </w:rPr>
            <w:tab/>
          </w:r>
          <w:hyperlink w:anchor="__RefHeading___Toc497800470">
            <w:r>
              <w:rPr>
                <w:rStyle w:val="IndexLink"/>
                <w:lang w:val="en-CA" w:eastAsia="en-CA"/>
              </w:rPr>
              <w:t>42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   </w:t>
          </w:r>
          <w:r>
            <w:rPr>
              <w:rFonts w:cs="Times New Roman" w:ascii="Times New Roman" w:hAnsi="Times New Roman"/>
              <w:sz w:val="22"/>
              <w:szCs w:val="24"/>
              <w:u w:val="single"/>
              <w:lang w:val="en-CA" w:eastAsia="en-CA"/>
            </w:rPr>
            <w:t>Extended Warranty Period</w:t>
          </w:r>
          <w:r>
            <w:rPr>
              <w:lang w:val="en-CA" w:eastAsia="en-CA"/>
            </w:rPr>
            <w:tab/>
          </w:r>
          <w:hyperlink w:anchor="__RefHeading___Toc497800471">
            <w:r>
              <w:rPr>
                <w:rStyle w:val="IndexLink"/>
                <w:lang w:val="en-CA" w:eastAsia="en-CA"/>
              </w:rPr>
              <w:t>42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14.2.2   </w:t>
          </w:r>
          <w:r>
            <w:rPr>
              <w:rFonts w:cs="Times New Roman" w:ascii="Times New Roman" w:hAnsi="Times New Roman"/>
              <w:sz w:val="22"/>
              <w:szCs w:val="24"/>
              <w:u w:val="single"/>
              <w:lang w:val="en-CA" w:eastAsia="en-CA"/>
            </w:rPr>
            <w:t>Extension of Warranty Due to Unavailability</w:t>
          </w:r>
          <w:r>
            <w:rPr>
              <w:lang w:val="en-CA" w:eastAsia="en-CA"/>
            </w:rPr>
            <w:tab/>
          </w:r>
          <w:hyperlink w:anchor="__RefHeading___Toc497800472">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14.4   </w:t>
          </w:r>
          <w:r>
            <w:rPr>
              <w:rFonts w:cs="Times New Roman" w:ascii="Times New Roman" w:hAnsi="Times New Roman"/>
              <w:sz w:val="22"/>
              <w:szCs w:val="24"/>
              <w:u w:val="single"/>
              <w:lang w:val="en-CA" w:eastAsia="en-CA"/>
            </w:rPr>
            <w:t>Vendor Warranty</w:t>
          </w:r>
          <w:r>
            <w:rPr>
              <w:lang w:val="en-CA" w:eastAsia="en-CA"/>
            </w:rPr>
            <w:tab/>
          </w:r>
          <w:hyperlink w:anchor="__RefHeading___Toc497800473">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14.5   </w:t>
          </w:r>
          <w:r>
            <w:rPr>
              <w:rFonts w:cs="Times New Roman" w:ascii="Times New Roman" w:hAnsi="Times New Roman"/>
              <w:sz w:val="22"/>
              <w:szCs w:val="24"/>
              <w:u w:val="single"/>
              <w:lang w:val="en-CA" w:eastAsia="en-CA"/>
            </w:rPr>
            <w:t>Limited Warranty</w:t>
          </w:r>
          <w:r>
            <w:rPr>
              <w:lang w:val="en-CA" w:eastAsia="en-CA"/>
            </w:rPr>
            <w:tab/>
          </w:r>
          <w:hyperlink w:anchor="__RefHeading___Toc497800474">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14.6   </w:t>
          </w:r>
          <w:r>
            <w:rPr>
              <w:rFonts w:cs="Times New Roman" w:ascii="Times New Roman" w:hAnsi="Times New Roman"/>
              <w:sz w:val="22"/>
              <w:szCs w:val="24"/>
              <w:u w:val="single"/>
              <w:lang w:val="en-CA" w:eastAsia="en-CA"/>
            </w:rPr>
            <w:t>Defective Equipment</w:t>
          </w:r>
          <w:r>
            <w:rPr>
              <w:lang w:val="en-CA" w:eastAsia="en-CA"/>
            </w:rPr>
            <w:tab/>
          </w:r>
          <w:hyperlink w:anchor="__RefHeading___Toc497800475">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14.7   </w:t>
          </w:r>
          <w:r>
            <w:rPr>
              <w:rFonts w:cs="Times New Roman" w:ascii="Times New Roman" w:hAnsi="Times New Roman"/>
              <w:sz w:val="22"/>
              <w:szCs w:val="24"/>
              <w:u w:val="single"/>
              <w:lang w:val="en-CA" w:eastAsia="en-CA"/>
            </w:rPr>
            <w:t>Termination of Warranty</w:t>
          </w:r>
          <w:r>
            <w:rPr>
              <w:lang w:val="en-CA" w:eastAsia="en-CA"/>
            </w:rPr>
            <w:tab/>
          </w:r>
          <w:hyperlink w:anchor="__RefHeading___Toc497800476">
            <w:r>
              <w:rPr>
                <w:rStyle w:val="IndexLink"/>
                <w:lang w:val="en-CA" w:eastAsia="en-CA"/>
              </w:rPr>
              <w:t>43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14.8   </w:t>
          </w:r>
          <w:r>
            <w:rPr>
              <w:rFonts w:cs="Times New Roman" w:ascii="Times New Roman" w:hAnsi="Times New Roman"/>
              <w:sz w:val="22"/>
              <w:szCs w:val="24"/>
              <w:u w:val="single"/>
              <w:lang w:val="en-CA" w:eastAsia="en-CA"/>
            </w:rPr>
            <w:t>Damage to Other Facility Equipment</w:t>
          </w:r>
          <w:r>
            <w:rPr>
              <w:lang w:val="en-CA" w:eastAsia="en-CA"/>
            </w:rPr>
            <w:tab/>
          </w:r>
          <w:hyperlink w:anchor="__RefHeading___Toc497800477">
            <w:r>
              <w:rPr>
                <w:rStyle w:val="IndexLink"/>
                <w:lang w:val="en-CA" w:eastAsia="en-CA"/>
              </w:rPr>
              <w:t>43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  </w:t>
          </w:r>
          <w:r>
            <w:rPr>
              <w:rFonts w:cs="Times New Roman" w:ascii="Times New Roman" w:hAnsi="Times New Roman"/>
              <w:sz w:val="22"/>
              <w:szCs w:val="24"/>
              <w:u w:val="single"/>
            </w:rPr>
            <w:t>RISK OF LOSS AND TITLE</w:t>
          </w:r>
          <w:r>
            <w:rPr/>
            <w:tab/>
          </w:r>
          <w:hyperlink w:anchor="__RefHeading___Toc497800478">
            <w:r>
              <w:rPr>
                <w:rStyle w:val="IndexLink"/>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15.1   </w:t>
          </w:r>
          <w:r>
            <w:rPr>
              <w:rFonts w:cs="Times New Roman" w:ascii="Times New Roman" w:hAnsi="Times New Roman"/>
              <w:sz w:val="22"/>
              <w:szCs w:val="24"/>
              <w:u w:val="single"/>
              <w:lang w:val="en-CA" w:eastAsia="en-CA"/>
            </w:rPr>
            <w:t>Risk of Loss</w:t>
          </w:r>
          <w:r>
            <w:rPr>
              <w:lang w:val="en-CA" w:eastAsia="en-CA"/>
            </w:rPr>
            <w:tab/>
          </w:r>
          <w:hyperlink w:anchor="__RefHeading___Toc497800479">
            <w:r>
              <w:rPr>
                <w:rStyle w:val="IndexLink"/>
                <w:lang w:val="en-CA" w:eastAsia="en-CA"/>
              </w:rPr>
              <w:t>45</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   </w:t>
          </w:r>
          <w:r>
            <w:rPr>
              <w:rFonts w:cs="Times New Roman" w:ascii="Times New Roman" w:hAnsi="Times New Roman"/>
              <w:sz w:val="22"/>
              <w:szCs w:val="24"/>
              <w:u w:val="single"/>
              <w:lang w:val="en-CA" w:eastAsia="en-CA"/>
            </w:rPr>
            <w:t>Title</w:t>
          </w:r>
          <w:r>
            <w:rPr>
              <w:lang w:val="en-CA" w:eastAsia="en-CA"/>
            </w:rPr>
            <w:tab/>
          </w:r>
          <w:hyperlink w:anchor="__RefHeading___Toc497800480">
            <w:r>
              <w:rPr>
                <w:rStyle w:val="IndexLink"/>
                <w:lang w:val="en-CA" w:eastAsia="en-CA"/>
              </w:rPr>
              <w:t>45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15.2.1   </w:t>
          </w:r>
          <w:r>
            <w:rPr>
              <w:rFonts w:cs="Times New Roman" w:ascii="Times New Roman" w:hAnsi="Times New Roman"/>
              <w:sz w:val="22"/>
              <w:szCs w:val="24"/>
              <w:u w:val="single"/>
              <w:lang w:val="en-CA" w:eastAsia="en-CA"/>
            </w:rPr>
            <w:t>Passage of Title</w:t>
          </w:r>
          <w:r>
            <w:rPr>
              <w:lang w:val="en-CA" w:eastAsia="en-CA"/>
            </w:rPr>
            <w:tab/>
          </w:r>
          <w:hyperlink w:anchor="__RefHeading___Toc497800481">
            <w:r>
              <w:rPr>
                <w:rStyle w:val="IndexLink"/>
                <w:lang w:val="en-CA" w:eastAsia="en-CA"/>
              </w:rPr>
              <w:t>45</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  </w:t>
          </w:r>
          <w:r>
            <w:rPr>
              <w:rFonts w:cs="Times New Roman" w:ascii="Times New Roman" w:hAnsi="Times New Roman"/>
              <w:sz w:val="22"/>
              <w:szCs w:val="24"/>
              <w:u w:val="single"/>
            </w:rPr>
            <w:t>INTENTIONALLY OMITTED</w:t>
          </w:r>
          <w:r>
            <w:rPr/>
            <w:tab/>
          </w:r>
          <w:hyperlink w:anchor="__RefHeading___Toc497800482">
            <w:r>
              <w:rPr>
                <w:rStyle w:val="IndexLink"/>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  </w:t>
          </w:r>
          <w:r>
            <w:rPr>
              <w:rFonts w:cs="Times New Roman" w:ascii="Times New Roman" w:hAnsi="Times New Roman"/>
              <w:sz w:val="22"/>
              <w:szCs w:val="24"/>
              <w:u w:val="single"/>
              <w:lang w:val="en-CA" w:eastAsia="en-CA"/>
            </w:rPr>
            <w:t>Packing and Insurance Surveyor</w:t>
          </w:r>
          <w:r>
            <w:rPr>
              <w:lang w:val="en-CA" w:eastAsia="en-CA"/>
            </w:rPr>
            <w:tab/>
          </w:r>
          <w:hyperlink w:anchor="__RefHeading___Toc497800483">
            <w:r>
              <w:rPr>
                <w:rStyle w:val="IndexLink"/>
                <w:lang w:val="en-CA" w:eastAsia="en-CA"/>
              </w:rPr>
              <w:t>46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3.10.1   </w:t>
          </w:r>
          <w:r>
            <w:rPr>
              <w:rFonts w:cs="Times New Roman" w:ascii="Times New Roman" w:hAnsi="Times New Roman"/>
              <w:sz w:val="22"/>
              <w:szCs w:val="24"/>
              <w:u w:val="single"/>
              <w:lang w:val="en-CA" w:eastAsia="en-CA"/>
            </w:rPr>
            <w:t>Packing Recommendation</w:t>
          </w:r>
          <w:r>
            <w:rPr>
              <w:lang w:val="en-CA" w:eastAsia="en-CA"/>
            </w:rPr>
            <w:tab/>
          </w:r>
          <w:hyperlink w:anchor="__RefHeading___Toc497800484">
            <w:r>
              <w:rPr>
                <w:rStyle w:val="IndexLink"/>
                <w:lang w:val="en-CA" w:eastAsia="en-CA"/>
              </w:rPr>
              <w:t>46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3.10.4   </w:t>
          </w:r>
          <w:r>
            <w:rPr>
              <w:rFonts w:cs="Times New Roman" w:ascii="Times New Roman" w:hAnsi="Times New Roman"/>
              <w:sz w:val="22"/>
              <w:szCs w:val="24"/>
              <w:u w:val="single"/>
              <w:lang w:val="en-CA" w:eastAsia="en-CA"/>
            </w:rPr>
            <w:t>Compliance with Recommendation</w:t>
          </w:r>
          <w:r>
            <w:rPr>
              <w:lang w:val="en-CA" w:eastAsia="en-CA"/>
            </w:rPr>
            <w:tab/>
          </w:r>
          <w:hyperlink w:anchor="__RefHeading___Toc497800485">
            <w:r>
              <w:rPr>
                <w:rStyle w:val="IndexLink"/>
                <w:lang w:val="en-CA" w:eastAsia="en-CA"/>
              </w:rPr>
              <w:t>46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3.10.3   </w:t>
          </w:r>
          <w:r>
            <w:rPr>
              <w:rFonts w:cs="Times New Roman" w:ascii="Times New Roman" w:hAnsi="Times New Roman"/>
              <w:sz w:val="22"/>
              <w:szCs w:val="24"/>
              <w:u w:val="single"/>
              <w:lang w:val="en-CA" w:eastAsia="en-CA"/>
            </w:rPr>
            <w:t>Notice of Shipment</w:t>
          </w:r>
          <w:r>
            <w:rPr>
              <w:lang w:val="en-CA" w:eastAsia="en-CA"/>
            </w:rPr>
            <w:tab/>
          </w:r>
          <w:hyperlink w:anchor="__RefHeading___Toc497800486">
            <w:r>
              <w:rPr>
                <w:rStyle w:val="IndexLink"/>
                <w:lang w:val="en-CA" w:eastAsia="en-CA"/>
              </w:rPr>
              <w:t>46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9.7   </w:t>
          </w:r>
          <w:r>
            <w:rPr>
              <w:rFonts w:cs="Times New Roman" w:ascii="Times New Roman" w:hAnsi="Times New Roman"/>
              <w:sz w:val="22"/>
              <w:szCs w:val="24"/>
              <w:u w:val="single"/>
              <w:lang w:val="en-CA" w:eastAsia="en-CA"/>
            </w:rPr>
            <w:t>Release for Delivery</w:t>
          </w:r>
          <w:r>
            <w:rPr>
              <w:lang w:val="en-CA" w:eastAsia="en-CA"/>
            </w:rPr>
            <w:tab/>
          </w:r>
          <w:hyperlink w:anchor="__RefHeading___Toc497800487">
            <w:r>
              <w:rPr>
                <w:rStyle w:val="IndexLink"/>
                <w:lang w:val="en-CA" w:eastAsia="en-CA"/>
              </w:rPr>
              <w:t>46</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10.2.1.2   </w:t>
          </w:r>
          <w:r>
            <w:rPr>
              <w:rFonts w:cs="Times New Roman" w:ascii="Times New Roman" w:hAnsi="Times New Roman"/>
              <w:sz w:val="22"/>
              <w:szCs w:val="24"/>
              <w:u w:val="single"/>
              <w:lang w:val="en-CA" w:eastAsia="en-CA"/>
            </w:rPr>
            <w:t>Delivery Restrictions</w:t>
          </w:r>
          <w:r>
            <w:rPr>
              <w:lang w:val="en-CA" w:eastAsia="en-CA"/>
            </w:rPr>
            <w:tab/>
          </w:r>
          <w:hyperlink w:anchor="__RefHeading___Toc497800488">
            <w:r>
              <w:rPr>
                <w:rStyle w:val="IndexLink"/>
                <w:lang w:val="en-CA" w:eastAsia="en-CA"/>
              </w:rPr>
              <w:t>46</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  </w:t>
          </w:r>
          <w:r>
            <w:rPr>
              <w:rFonts w:cs="Times New Roman" w:ascii="Times New Roman" w:hAnsi="Times New Roman"/>
              <w:sz w:val="22"/>
              <w:szCs w:val="24"/>
              <w:u w:val="single"/>
            </w:rPr>
            <w:t>DEFAULT</w:t>
          </w:r>
          <w:r>
            <w:rPr/>
            <w:tab/>
          </w:r>
          <w:hyperlink w:anchor="__RefHeading___Toc497800489">
            <w:r>
              <w:rPr>
                <w:rStyle w:val="IndexLink"/>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17.1   </w:t>
          </w:r>
          <w:r>
            <w:rPr>
              <w:rFonts w:cs="Times New Roman" w:ascii="Times New Roman" w:hAnsi="Times New Roman"/>
              <w:sz w:val="22"/>
              <w:szCs w:val="24"/>
              <w:u w:val="single"/>
              <w:lang w:val="en-CA" w:eastAsia="en-CA"/>
            </w:rPr>
            <w:t>Event of Default by Seller</w:t>
          </w:r>
          <w:r>
            <w:rPr>
              <w:lang w:val="en-CA" w:eastAsia="en-CA"/>
            </w:rPr>
            <w:tab/>
          </w:r>
          <w:hyperlink w:anchor="__RefHeading___Toc497800490">
            <w:r>
              <w:rPr>
                <w:rStyle w:val="IndexLink"/>
                <w:lang w:val="en-CA" w:eastAsia="en-CA"/>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17.2   </w:t>
          </w:r>
          <w:r>
            <w:rPr>
              <w:rFonts w:cs="Times New Roman" w:ascii="Times New Roman" w:hAnsi="Times New Roman"/>
              <w:sz w:val="22"/>
              <w:szCs w:val="24"/>
              <w:u w:val="single"/>
              <w:lang w:val="en-CA" w:eastAsia="en-CA"/>
            </w:rPr>
            <w:t>Purchaser's Remedies Against Seller</w:t>
          </w:r>
          <w:r>
            <w:rPr>
              <w:lang w:val="en-CA" w:eastAsia="en-CA"/>
            </w:rPr>
            <w:tab/>
          </w:r>
          <w:hyperlink w:anchor="__RefHeading___Toc497800491">
            <w:r>
              <w:rPr>
                <w:rStyle w:val="IndexLink"/>
                <w:lang w:val="en-CA" w:eastAsia="en-CA"/>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17.3   </w:t>
          </w:r>
          <w:r>
            <w:rPr>
              <w:rFonts w:cs="Times New Roman" w:ascii="Times New Roman" w:hAnsi="Times New Roman"/>
              <w:sz w:val="22"/>
              <w:szCs w:val="24"/>
              <w:u w:val="single"/>
              <w:lang w:val="en-CA" w:eastAsia="en-CA"/>
            </w:rPr>
            <w:t>General Obligations</w:t>
          </w:r>
          <w:r>
            <w:rPr>
              <w:lang w:val="en-CA" w:eastAsia="en-CA"/>
            </w:rPr>
            <w:tab/>
          </w:r>
          <w:hyperlink w:anchor="__RefHeading___Toc497800492">
            <w:r>
              <w:rPr>
                <w:rStyle w:val="IndexLink"/>
                <w:lang w:val="en-CA" w:eastAsia="en-CA"/>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17.4   </w:t>
          </w:r>
          <w:r>
            <w:rPr>
              <w:rFonts w:cs="Times New Roman" w:ascii="Times New Roman" w:hAnsi="Times New Roman"/>
              <w:sz w:val="22"/>
              <w:szCs w:val="24"/>
              <w:u w:val="single"/>
              <w:lang w:val="en-CA" w:eastAsia="en-CA"/>
            </w:rPr>
            <w:t>Payment Obligations</w:t>
          </w:r>
          <w:r>
            <w:rPr>
              <w:lang w:val="en-CA" w:eastAsia="en-CA"/>
            </w:rPr>
            <w:tab/>
          </w:r>
          <w:hyperlink w:anchor="__RefHeading___Toc497800493">
            <w:r>
              <w:rPr>
                <w:rStyle w:val="IndexLink"/>
                <w:lang w:val="en-CA" w:eastAsia="en-CA"/>
              </w:rPr>
              <w:t>47</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17.5   </w:t>
          </w:r>
          <w:r>
            <w:rPr>
              <w:rFonts w:cs="Times New Roman" w:ascii="Times New Roman" w:hAnsi="Times New Roman"/>
              <w:sz w:val="22"/>
              <w:szCs w:val="24"/>
              <w:u w:val="single"/>
              <w:lang w:val="en-CA" w:eastAsia="en-CA"/>
            </w:rPr>
            <w:t>Events of Default by Purchaser</w:t>
          </w:r>
          <w:r>
            <w:rPr>
              <w:lang w:val="en-CA" w:eastAsia="en-CA"/>
            </w:rPr>
            <w:tab/>
          </w:r>
          <w:hyperlink w:anchor="__RefHeading___Toc497800494">
            <w:r>
              <w:rPr>
                <w:rStyle w:val="IndexLink"/>
                <w:lang w:val="en-CA" w:eastAsia="en-CA"/>
              </w:rPr>
              <w:t>48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17.6   </w:t>
          </w:r>
          <w:r>
            <w:rPr>
              <w:rFonts w:cs="Times New Roman" w:ascii="Times New Roman" w:hAnsi="Times New Roman"/>
              <w:sz w:val="22"/>
              <w:szCs w:val="24"/>
              <w:u w:val="single"/>
              <w:lang w:val="en-CA" w:eastAsia="en-CA"/>
            </w:rPr>
            <w:t>Seller Remedies</w:t>
          </w:r>
          <w:r>
            <w:rPr>
              <w:lang w:val="en-CA" w:eastAsia="en-CA"/>
            </w:rPr>
            <w:tab/>
          </w:r>
          <w:hyperlink w:anchor="__RefHeading___Toc497800495">
            <w:r>
              <w:rPr>
                <w:rStyle w:val="IndexLink"/>
                <w:lang w:val="en-CA" w:eastAsia="en-CA"/>
              </w:rPr>
              <w:t>48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XVIII.  </w:t>
          </w:r>
          <w:r>
            <w:rPr>
              <w:rFonts w:cs="Times New Roman" w:ascii="Times New Roman" w:hAnsi="Times New Roman"/>
              <w:sz w:val="22"/>
              <w:szCs w:val="24"/>
              <w:u w:val="single"/>
            </w:rPr>
            <w:t>FORCE MAJEURE</w:t>
          </w:r>
          <w:r>
            <w:rPr/>
            <w:tab/>
          </w:r>
          <w:hyperlink w:anchor="__RefHeading___Toc497800496">
            <w:r>
              <w:rPr>
                <w:rStyle w:val="IndexLink"/>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18.1   </w:t>
          </w:r>
          <w:r>
            <w:rPr>
              <w:rFonts w:cs="Times New Roman" w:ascii="Times New Roman" w:hAnsi="Times New Roman"/>
              <w:sz w:val="22"/>
              <w:szCs w:val="24"/>
              <w:u w:val="single"/>
              <w:lang w:val="en-CA" w:eastAsia="en-CA"/>
            </w:rPr>
            <w:t>Failure to Perform Due to an Event of Force Majeure</w:t>
          </w:r>
          <w:r>
            <w:rPr>
              <w:lang w:val="en-CA" w:eastAsia="en-CA"/>
            </w:rPr>
            <w:tab/>
          </w:r>
          <w:hyperlink w:anchor="__RefHeading___Toc497800497">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18.2   </w:t>
          </w:r>
          <w:r>
            <w:rPr>
              <w:rFonts w:cs="Times New Roman" w:ascii="Times New Roman" w:hAnsi="Times New Roman"/>
              <w:sz w:val="22"/>
              <w:szCs w:val="24"/>
              <w:u w:val="single"/>
              <w:lang w:val="en-CA" w:eastAsia="en-CA"/>
            </w:rPr>
            <w:t>Events of Force Majeure</w:t>
          </w:r>
          <w:r>
            <w:rPr>
              <w:lang w:val="en-CA" w:eastAsia="en-CA"/>
            </w:rPr>
            <w:tab/>
          </w:r>
          <w:hyperlink w:anchor="__RefHeading___Toc497800498">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18.3   </w:t>
          </w:r>
          <w:r>
            <w:rPr>
              <w:rFonts w:cs="Times New Roman" w:ascii="Times New Roman" w:hAnsi="Times New Roman"/>
              <w:sz w:val="22"/>
              <w:szCs w:val="24"/>
              <w:u w:val="single"/>
              <w:lang w:val="en-CA" w:eastAsia="en-CA"/>
            </w:rPr>
            <w:t>Notice of Force Majeure</w:t>
          </w:r>
          <w:r>
            <w:rPr>
              <w:lang w:val="en-CA" w:eastAsia="en-CA"/>
            </w:rPr>
            <w:tab/>
          </w:r>
          <w:hyperlink w:anchor="__RefHeading___Toc497800499">
            <w:r>
              <w:rPr>
                <w:rStyle w:val="IndexLink"/>
                <w:lang w:val="en-CA" w:eastAsia="en-CA"/>
              </w:rPr>
              <w:t>49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18.4   </w:t>
          </w:r>
          <w:r>
            <w:rPr>
              <w:rFonts w:cs="Times New Roman" w:ascii="Times New Roman" w:hAnsi="Times New Roman"/>
              <w:sz w:val="22"/>
              <w:szCs w:val="24"/>
              <w:u w:val="single"/>
              <w:lang w:val="en-CA" w:eastAsia="en-CA"/>
            </w:rPr>
            <w:t>Events of Force Majeure</w:t>
          </w:r>
          <w:r>
            <w:rPr>
              <w:lang w:val="en-CA" w:eastAsia="en-CA"/>
            </w:rPr>
            <w:tab/>
          </w:r>
          <w:hyperlink w:anchor="__RefHeading___Toc497800500">
            <w:r>
              <w:rPr>
                <w:rStyle w:val="IndexLink"/>
                <w:lang w:val="en-CA" w:eastAsia="en-CA"/>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18.5   </w:t>
          </w:r>
          <w:r>
            <w:rPr>
              <w:rFonts w:cs="Times New Roman" w:ascii="Times New Roman" w:hAnsi="Times New Roman"/>
              <w:sz w:val="22"/>
              <w:szCs w:val="24"/>
              <w:u w:val="single"/>
              <w:lang w:val="en-CA" w:eastAsia="en-CA"/>
            </w:rPr>
            <w:t>Certain Events Not Excused</w:t>
          </w:r>
          <w:r>
            <w:rPr>
              <w:lang w:val="en-CA" w:eastAsia="en-CA"/>
            </w:rPr>
            <w:tab/>
          </w:r>
          <w:hyperlink w:anchor="__RefHeading___Toc497800501">
            <w:r>
              <w:rPr>
                <w:rStyle w:val="IndexLink"/>
                <w:lang w:val="en-CA" w:eastAsia="en-CA"/>
              </w:rPr>
              <w:t>50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18.6   </w:t>
          </w:r>
          <w:r>
            <w:rPr>
              <w:rFonts w:cs="Times New Roman" w:ascii="Times New Roman" w:hAnsi="Times New Roman"/>
              <w:sz w:val="22"/>
              <w:szCs w:val="24"/>
              <w:u w:val="single"/>
              <w:lang w:val="en-CA" w:eastAsia="en-CA"/>
            </w:rPr>
            <w:t>Continued Performance</w:t>
          </w:r>
          <w:r>
            <w:rPr>
              <w:lang w:val="en-CA" w:eastAsia="en-CA"/>
            </w:rPr>
            <w:tab/>
          </w:r>
          <w:hyperlink w:anchor="__RefHeading___Toc497800502">
            <w:r>
              <w:rPr>
                <w:rStyle w:val="IndexLink"/>
                <w:lang w:val="en-CA" w:eastAsia="en-CA"/>
              </w:rPr>
              <w:t>51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18.7   </w:t>
          </w:r>
          <w:r>
            <w:rPr>
              <w:rFonts w:cs="Times New Roman" w:ascii="Times New Roman" w:hAnsi="Times New Roman"/>
              <w:sz w:val="22"/>
              <w:szCs w:val="24"/>
              <w:u w:val="single"/>
              <w:lang w:val="en-CA" w:eastAsia="en-CA"/>
            </w:rPr>
            <w:t>Not Used</w:t>
          </w:r>
          <w:r>
            <w:rPr>
              <w:lang w:val="en-CA" w:eastAsia="en-CA"/>
            </w:rPr>
            <w:tab/>
          </w:r>
          <w:hyperlink w:anchor="__RefHeading___Toc497800503">
            <w:r>
              <w:rPr>
                <w:rStyle w:val="IndexLink"/>
                <w:lang w:val="en-CA" w:eastAsia="en-CA"/>
              </w:rPr>
              <w:t>51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18.8   </w:t>
          </w:r>
          <w:r>
            <w:rPr>
              <w:rFonts w:cs="Times New Roman" w:ascii="Times New Roman" w:hAnsi="Times New Roman"/>
              <w:sz w:val="22"/>
              <w:szCs w:val="24"/>
              <w:u w:val="single"/>
              <w:lang w:val="en-CA" w:eastAsia="en-CA"/>
            </w:rPr>
            <w:t xml:space="preserve">Force Majeure </w:t>
            <w:noBreakHyphen/>
            <w:t xml:space="preserve"> Delays</w:t>
          </w:r>
          <w:r>
            <w:rPr>
              <w:lang w:val="en-CA" w:eastAsia="en-CA"/>
            </w:rPr>
            <w:tab/>
          </w:r>
          <w:hyperlink w:anchor="__RefHeading___Toc497800504">
            <w:r>
              <w:rPr>
                <w:rStyle w:val="IndexLink"/>
                <w:lang w:val="en-CA" w:eastAsia="en-CA"/>
              </w:rPr>
              <w:t>51</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18.9   </w:t>
          </w:r>
          <w:r>
            <w:rPr>
              <w:rFonts w:cs="Times New Roman" w:ascii="Times New Roman" w:hAnsi="Times New Roman"/>
              <w:sz w:val="22"/>
              <w:szCs w:val="24"/>
              <w:u w:val="single"/>
              <w:lang w:val="en-CA" w:eastAsia="en-CA"/>
            </w:rPr>
            <w:t xml:space="preserve">Force Majeure </w:t>
            <w:noBreakHyphen/>
            <w:t xml:space="preserve"> Cost</w:t>
          </w:r>
          <w:r>
            <w:rPr>
              <w:lang w:val="en-CA" w:eastAsia="en-CA"/>
            </w:rPr>
            <w:tab/>
          </w:r>
          <w:hyperlink w:anchor="__RefHeading___Toc497800505">
            <w:r>
              <w:rPr>
                <w:rStyle w:val="IndexLink"/>
                <w:lang w:val="en-CA" w:eastAsia="en-CA"/>
              </w:rPr>
              <w:t>51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INSURANCE</w:t>
          </w:r>
          <w:r>
            <w:rPr/>
            <w:tab/>
          </w:r>
          <w:hyperlink w:anchor="__RefHeading___Toc497800506">
            <w:r>
              <w:rPr>
                <w:rStyle w:val="IndexLink"/>
              </w:rPr>
              <w:t>52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   </w:t>
          </w:r>
          <w:r>
            <w:rPr>
              <w:rFonts w:cs="Times New Roman" w:ascii="Times New Roman" w:hAnsi="Times New Roman"/>
              <w:sz w:val="22"/>
              <w:szCs w:val="24"/>
              <w:u w:val="single"/>
              <w:lang w:val="en-CA" w:eastAsia="en-CA"/>
            </w:rPr>
            <w:t xml:space="preserve">Insurance </w:t>
            <w:noBreakHyphen/>
            <w:t xml:space="preserve"> General</w:t>
          </w:r>
          <w:r>
            <w:rPr>
              <w:lang w:val="en-CA" w:eastAsia="en-CA"/>
            </w:rPr>
            <w:tab/>
          </w:r>
          <w:hyperlink w:anchor="__RefHeading___Toc497800507">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   </w:t>
          </w:r>
          <w:r>
            <w:rPr>
              <w:rFonts w:cs="Times New Roman" w:ascii="Times New Roman" w:hAnsi="Times New Roman"/>
              <w:sz w:val="22"/>
              <w:szCs w:val="24"/>
              <w:u w:val="single"/>
              <w:lang w:val="en-CA" w:eastAsia="en-CA"/>
            </w:rPr>
            <w:t>All Risk</w:t>
          </w:r>
          <w:r>
            <w:rPr>
              <w:lang w:val="en-CA" w:eastAsia="en-CA"/>
            </w:rPr>
            <w:tab/>
          </w:r>
          <w:hyperlink w:anchor="__RefHeading___Toc497800508">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19.1.2   </w:t>
          </w:r>
          <w:r>
            <w:rPr>
              <w:rFonts w:cs="Times New Roman" w:ascii="Times New Roman" w:hAnsi="Times New Roman"/>
              <w:sz w:val="22"/>
              <w:szCs w:val="24"/>
              <w:u w:val="single"/>
              <w:lang w:val="en-CA" w:eastAsia="en-CA"/>
            </w:rPr>
            <w:t>Workers Compensation and Employers Liability Insurance</w:t>
          </w:r>
          <w:r>
            <w:rPr>
              <w:lang w:val="en-CA" w:eastAsia="en-CA"/>
            </w:rPr>
            <w:tab/>
          </w:r>
          <w:hyperlink w:anchor="__RefHeading___Toc497800509">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19.1.3   </w:t>
          </w:r>
          <w:r>
            <w:rPr>
              <w:rFonts w:cs="Times New Roman" w:ascii="Times New Roman" w:hAnsi="Times New Roman"/>
              <w:sz w:val="22"/>
              <w:szCs w:val="24"/>
              <w:u w:val="single"/>
              <w:lang w:val="en-CA" w:eastAsia="en-CA"/>
            </w:rPr>
            <w:t>Commercial General Liability Insurance</w:t>
          </w:r>
          <w:r>
            <w:rPr>
              <w:lang w:val="en-CA" w:eastAsia="en-CA"/>
            </w:rPr>
            <w:tab/>
          </w:r>
          <w:hyperlink w:anchor="__RefHeading___Toc497800510">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19.1.4   </w:t>
          </w:r>
          <w:r>
            <w:rPr>
              <w:rFonts w:cs="Times New Roman" w:ascii="Times New Roman" w:hAnsi="Times New Roman"/>
              <w:sz w:val="22"/>
              <w:szCs w:val="24"/>
              <w:u w:val="single"/>
              <w:lang w:val="en-CA" w:eastAsia="en-CA"/>
            </w:rPr>
            <w:t>Hull and Protection and Indemnity Insurance</w:t>
          </w:r>
          <w:r>
            <w:rPr>
              <w:lang w:val="en-CA" w:eastAsia="en-CA"/>
            </w:rPr>
            <w:tab/>
          </w:r>
          <w:hyperlink w:anchor="__RefHeading___Toc497800511">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19.1.5   </w:t>
          </w:r>
          <w:r>
            <w:rPr>
              <w:rFonts w:cs="Times New Roman" w:ascii="Times New Roman" w:hAnsi="Times New Roman"/>
              <w:sz w:val="22"/>
              <w:szCs w:val="24"/>
              <w:u w:val="single"/>
              <w:lang w:val="en-CA" w:eastAsia="en-CA"/>
            </w:rPr>
            <w:t>Business Automobile Liability Insurance</w:t>
          </w:r>
          <w:r>
            <w:rPr>
              <w:lang w:val="en-CA" w:eastAsia="en-CA"/>
            </w:rPr>
            <w:tab/>
          </w:r>
          <w:hyperlink w:anchor="__RefHeading___Toc497800512">
            <w:r>
              <w:rPr>
                <w:rStyle w:val="IndexLink"/>
                <w:lang w:val="en-CA" w:eastAsia="en-CA"/>
              </w:rPr>
              <w:t>52</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19.1.6   </w:t>
          </w:r>
          <w:r>
            <w:rPr>
              <w:rFonts w:cs="Times New Roman" w:ascii="Times New Roman" w:hAnsi="Times New Roman"/>
              <w:sz w:val="22"/>
              <w:szCs w:val="24"/>
              <w:u w:val="single"/>
              <w:lang w:val="en-CA" w:eastAsia="en-CA"/>
            </w:rPr>
            <w:t>Aircraft Liability Insurance</w:t>
          </w:r>
          <w:r>
            <w:rPr>
              <w:lang w:val="en-CA" w:eastAsia="en-CA"/>
            </w:rPr>
            <w:tab/>
          </w:r>
          <w:hyperlink w:anchor="__RefHeading___Toc497800513">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19.1.7   </w:t>
          </w:r>
          <w:r>
            <w:rPr>
              <w:rFonts w:cs="Times New Roman" w:ascii="Times New Roman" w:hAnsi="Times New Roman"/>
              <w:sz w:val="22"/>
              <w:szCs w:val="24"/>
              <w:u w:val="single"/>
              <w:lang w:val="en-CA" w:eastAsia="en-CA"/>
            </w:rPr>
            <w:t>Excess Umbrella Lability Coverage</w:t>
          </w:r>
          <w:r>
            <w:rPr>
              <w:lang w:val="en-CA" w:eastAsia="en-CA"/>
            </w:rPr>
            <w:tab/>
          </w:r>
          <w:hyperlink w:anchor="__RefHeading___Toc497800514">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19.1.8   </w:t>
          </w:r>
          <w:r>
            <w:rPr>
              <w:rFonts w:cs="Times New Roman" w:ascii="Times New Roman" w:hAnsi="Times New Roman"/>
              <w:sz w:val="22"/>
              <w:szCs w:val="24"/>
              <w:u w:val="single"/>
              <w:lang w:val="en-CA" w:eastAsia="en-CA"/>
            </w:rPr>
            <w:t>Vendors</w:t>
          </w:r>
          <w:r>
            <w:rPr>
              <w:lang w:val="en-CA" w:eastAsia="en-CA"/>
            </w:rPr>
            <w:tab/>
          </w:r>
          <w:hyperlink w:anchor="__RefHeading___Toc497800515">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19.1.9   </w:t>
          </w:r>
          <w:r>
            <w:rPr>
              <w:rFonts w:cs="Times New Roman" w:ascii="Times New Roman" w:hAnsi="Times New Roman"/>
              <w:sz w:val="22"/>
              <w:szCs w:val="24"/>
              <w:u w:val="single"/>
              <w:lang w:val="en-CA" w:eastAsia="en-CA"/>
            </w:rPr>
            <w:t>Certificate of Insurance</w:t>
          </w:r>
          <w:r>
            <w:rPr>
              <w:lang w:val="en-CA" w:eastAsia="en-CA"/>
            </w:rPr>
            <w:tab/>
          </w:r>
          <w:hyperlink w:anchor="__RefHeading___Toc497800516">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19.1.10  </w:t>
          </w:r>
          <w:r>
            <w:rPr>
              <w:rFonts w:cs="Times New Roman" w:ascii="Times New Roman" w:hAnsi="Times New Roman"/>
              <w:sz w:val="22"/>
              <w:szCs w:val="24"/>
              <w:u w:val="single"/>
              <w:lang w:val="en-CA" w:eastAsia="en-CA"/>
            </w:rPr>
            <w:t>Other Requirements</w:t>
          </w:r>
          <w:r>
            <w:rPr>
              <w:lang w:val="en-CA" w:eastAsia="en-CA"/>
            </w:rPr>
            <w:tab/>
          </w:r>
          <w:hyperlink w:anchor="__RefHeading___Toc497800517">
            <w:r>
              <w:rPr>
                <w:rStyle w:val="IndexLink"/>
                <w:lang w:val="en-CA" w:eastAsia="en-CA"/>
              </w:rPr>
              <w:t>53</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19.1.11  </w:t>
          </w:r>
          <w:r>
            <w:rPr>
              <w:rFonts w:cs="Times New Roman" w:ascii="Times New Roman" w:hAnsi="Times New Roman"/>
              <w:sz w:val="22"/>
              <w:szCs w:val="24"/>
              <w:u w:val="single"/>
              <w:lang w:val="en-CA" w:eastAsia="en-CA"/>
            </w:rPr>
            <w:t>Vendor Waiver of Subrogation</w:t>
          </w:r>
          <w:r>
            <w:rPr>
              <w:lang w:val="en-CA" w:eastAsia="en-CA"/>
            </w:rPr>
            <w:tab/>
          </w:r>
          <w:hyperlink w:anchor="__RefHeading___Toc497800518">
            <w:r>
              <w:rPr>
                <w:rStyle w:val="IndexLink"/>
                <w:lang w:val="en-CA" w:eastAsia="en-CA"/>
              </w:rPr>
              <w:t>54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19.1.12  </w:t>
          </w:r>
          <w:r>
            <w:rPr>
              <w:rFonts w:cs="Times New Roman" w:ascii="Times New Roman" w:hAnsi="Times New Roman"/>
              <w:sz w:val="22"/>
              <w:szCs w:val="24"/>
              <w:u w:val="single"/>
              <w:lang w:val="en-CA" w:eastAsia="en-CA"/>
            </w:rPr>
            <w:t>Compliance with Insurance</w:t>
          </w:r>
          <w:r>
            <w:rPr>
              <w:lang w:val="en-CA" w:eastAsia="en-CA"/>
            </w:rPr>
            <w:tab/>
          </w:r>
          <w:hyperlink w:anchor="__RefHeading___Toc497800519">
            <w:r>
              <w:rPr>
                <w:rStyle w:val="IndexLink"/>
                <w:lang w:val="en-CA" w:eastAsia="en-CA"/>
              </w:rPr>
              <w:t>54</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19.1.13 </w:t>
          </w:r>
          <w:r>
            <w:rPr>
              <w:rFonts w:cs="Times New Roman" w:ascii="Times New Roman" w:hAnsi="Times New Roman"/>
              <w:sz w:val="22"/>
              <w:szCs w:val="24"/>
              <w:u w:val="single"/>
              <w:lang w:val="en-CA" w:eastAsia="en-CA"/>
            </w:rPr>
            <w:t>Limitation</w:t>
          </w:r>
          <w:r>
            <w:rPr>
              <w:lang w:val="en-CA" w:eastAsia="en-CA"/>
            </w:rPr>
            <w:tab/>
          </w:r>
          <w:hyperlink w:anchor="__RefHeading___Toc497800520">
            <w:r>
              <w:rPr>
                <w:rStyle w:val="IndexLink"/>
                <w:lang w:val="en-CA" w:eastAsia="en-CA"/>
              </w:rPr>
              <w:t>54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   </w:t>
          </w:r>
          <w:r>
            <w:rPr>
              <w:rFonts w:cs="Times New Roman" w:ascii="Times New Roman" w:hAnsi="Times New Roman"/>
              <w:sz w:val="22"/>
              <w:szCs w:val="24"/>
              <w:u w:val="single"/>
              <w:lang w:val="en-CA" w:eastAsia="en-CA"/>
            </w:rPr>
            <w:t>Purchaser Policies</w:t>
          </w:r>
          <w:r>
            <w:rPr>
              <w:lang w:val="en-CA" w:eastAsia="en-CA"/>
            </w:rPr>
            <w:tab/>
          </w:r>
          <w:hyperlink w:anchor="__RefHeading___Toc497800521">
            <w:r>
              <w:rPr>
                <w:rStyle w:val="IndexLink"/>
                <w:lang w:val="en-CA" w:eastAsia="en-CA"/>
              </w:rPr>
              <w:t>55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19.3.2   </w:t>
          </w:r>
          <w:r>
            <w:rPr>
              <w:rFonts w:cs="Times New Roman" w:ascii="Times New Roman" w:hAnsi="Times New Roman"/>
              <w:sz w:val="22"/>
              <w:szCs w:val="24"/>
              <w:u w:val="single"/>
              <w:lang w:val="en-CA" w:eastAsia="en-CA"/>
            </w:rPr>
            <w:t>Not Used</w:t>
          </w:r>
          <w:r>
            <w:rPr>
              <w:lang w:val="en-CA" w:eastAsia="en-CA"/>
            </w:rPr>
            <w:tab/>
          </w:r>
          <w:hyperlink w:anchor="__RefHeading___Toc497800522">
            <w:r>
              <w:rPr>
                <w:rStyle w:val="IndexLink"/>
                <w:lang w:val="en-CA" w:eastAsia="en-CA"/>
              </w:rPr>
              <w:t>55</w:t>
            </w:r>
          </w:hyperlink>
        </w:p>
        <w:p>
          <w:pPr>
            <w:pStyle w:val="TOC3"/>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19.3.3   </w:t>
          </w:r>
          <w:r>
            <w:rPr>
              <w:rFonts w:cs="Times New Roman" w:ascii="Times New Roman" w:hAnsi="Times New Roman"/>
              <w:sz w:val="22"/>
              <w:szCs w:val="24"/>
              <w:u w:val="single"/>
              <w:lang w:val="en-CA" w:eastAsia="en-CA"/>
            </w:rPr>
            <w:t>Primary Insurance</w:t>
          </w:r>
          <w:r>
            <w:rPr>
              <w:lang w:val="en-CA" w:eastAsia="en-CA"/>
            </w:rPr>
            <w:tab/>
          </w:r>
          <w:hyperlink w:anchor="__RefHeading___Toc497800523">
            <w:r>
              <w:rPr>
                <w:rStyle w:val="IndexLink"/>
                <w:lang w:val="en-CA" w:eastAsia="en-CA"/>
              </w:rPr>
              <w:t>55</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  </w:t>
          </w:r>
          <w:r>
            <w:rPr>
              <w:rFonts w:cs="Times New Roman" w:ascii="Times New Roman" w:hAnsi="Times New Roman"/>
              <w:sz w:val="22"/>
              <w:szCs w:val="24"/>
              <w:u w:val="single"/>
            </w:rPr>
            <w:t>INDEMNIFICATION</w:t>
          </w:r>
          <w:r>
            <w:rPr/>
            <w:tab/>
          </w:r>
          <w:hyperlink w:anchor="__RefHeading___Toc497800524">
            <w:r>
              <w:rPr>
                <w:rStyle w:val="IndexLink"/>
              </w:rPr>
              <w:t>56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20.1   </w:t>
          </w:r>
          <w:r>
            <w:rPr>
              <w:rFonts w:cs="Times New Roman" w:ascii="Times New Roman" w:hAnsi="Times New Roman"/>
              <w:sz w:val="22"/>
              <w:szCs w:val="24"/>
              <w:u w:val="single"/>
              <w:lang w:val="en-CA" w:eastAsia="en-CA"/>
            </w:rPr>
            <w:t>Third Party</w:t>
          </w:r>
          <w:r>
            <w:rPr>
              <w:lang w:val="en-CA" w:eastAsia="en-CA"/>
            </w:rPr>
            <w:tab/>
          </w:r>
          <w:hyperlink w:anchor="__RefHeading___Toc497800525">
            <w:r>
              <w:rPr>
                <w:rStyle w:val="IndexLink"/>
                <w:lang w:val="en-CA" w:eastAsia="en-CA"/>
              </w:rPr>
              <w:t>56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20.2   </w:t>
          </w:r>
          <w:r>
            <w:rPr>
              <w:rFonts w:cs="Times New Roman" w:ascii="Times New Roman" w:hAnsi="Times New Roman"/>
              <w:sz w:val="22"/>
              <w:szCs w:val="24"/>
              <w:u w:val="single"/>
              <w:lang w:val="en-CA" w:eastAsia="en-CA"/>
            </w:rPr>
            <w:t>Notice</w:t>
          </w:r>
          <w:r>
            <w:rPr>
              <w:lang w:val="en-CA" w:eastAsia="en-CA"/>
            </w:rPr>
            <w:tab/>
          </w:r>
          <w:hyperlink w:anchor="__RefHeading___Toc497800526">
            <w:r>
              <w:rPr>
                <w:rStyle w:val="IndexLink"/>
                <w:lang w:val="en-CA" w:eastAsia="en-CA"/>
              </w:rPr>
              <w:t>56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20.4   </w:t>
          </w:r>
          <w:r>
            <w:rPr>
              <w:rFonts w:cs="Times New Roman" w:ascii="Times New Roman" w:hAnsi="Times New Roman"/>
              <w:sz w:val="22"/>
              <w:szCs w:val="24"/>
              <w:u w:val="single"/>
              <w:lang w:val="en-CA" w:eastAsia="en-CA"/>
            </w:rPr>
            <w:t>Survival of Obligation</w:t>
          </w:r>
          <w:r>
            <w:rPr>
              <w:lang w:val="en-CA" w:eastAsia="en-CA"/>
            </w:rPr>
            <w:tab/>
          </w:r>
          <w:hyperlink w:anchor="__RefHeading___Toc497800527">
            <w:r>
              <w:rPr>
                <w:rStyle w:val="IndexLink"/>
                <w:lang w:val="en-CA" w:eastAsia="en-CA"/>
              </w:rPr>
              <w:t>57</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  </w:t>
          </w:r>
          <w:r>
            <w:rPr>
              <w:rFonts w:cs="Times New Roman" w:ascii="Times New Roman" w:hAnsi="Times New Roman"/>
              <w:sz w:val="22"/>
              <w:szCs w:val="24"/>
              <w:u w:val="single"/>
            </w:rPr>
            <w:t>NON</w:t>
            <w:noBreakHyphen/>
            <w:t>DISCLOSURE OF INFORMATION</w:t>
          </w:r>
          <w:r>
            <w:rPr/>
            <w:tab/>
          </w:r>
          <w:hyperlink w:anchor="__RefHeading___Toc497800528">
            <w:r>
              <w:rPr>
                <w:rStyle w:val="IndexLink"/>
              </w:rPr>
              <w:t>58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21.1   </w:t>
          </w:r>
          <w:r>
            <w:rPr>
              <w:rFonts w:cs="Times New Roman" w:ascii="Times New Roman" w:hAnsi="Times New Roman"/>
              <w:sz w:val="22"/>
              <w:szCs w:val="24"/>
              <w:u w:val="single"/>
              <w:lang w:val="en-CA" w:eastAsia="en-CA"/>
            </w:rPr>
            <w:t>Proprietary Information</w:t>
          </w:r>
          <w:r>
            <w:rPr>
              <w:lang w:val="en-CA" w:eastAsia="en-CA"/>
            </w:rPr>
            <w:tab/>
          </w:r>
          <w:hyperlink w:anchor="__RefHeading___Toc497800529">
            <w:r>
              <w:rPr>
                <w:rStyle w:val="IndexLink"/>
                <w:lang w:val="en-CA" w:eastAsia="en-CA"/>
              </w:rPr>
              <w:t>58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21.2   </w:t>
          </w:r>
          <w:r>
            <w:rPr>
              <w:rFonts w:cs="Times New Roman" w:ascii="Times New Roman" w:hAnsi="Times New Roman"/>
              <w:sz w:val="22"/>
              <w:szCs w:val="24"/>
              <w:u w:val="single"/>
              <w:lang w:val="en-CA" w:eastAsia="en-CA"/>
            </w:rPr>
            <w:t>Press Releases</w:t>
          </w:r>
          <w:r>
            <w:rPr>
              <w:lang w:val="en-CA" w:eastAsia="en-CA"/>
            </w:rPr>
            <w:tab/>
          </w:r>
          <w:hyperlink w:anchor="__RefHeading___Toc497800530">
            <w:r>
              <w:rPr>
                <w:rStyle w:val="IndexLink"/>
                <w:lang w:val="en-CA" w:eastAsia="en-CA"/>
              </w:rPr>
              <w:t>58</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21.3   </w:t>
          </w:r>
          <w:r>
            <w:rPr>
              <w:rFonts w:cs="Times New Roman" w:ascii="Times New Roman" w:hAnsi="Times New Roman"/>
              <w:sz w:val="22"/>
              <w:szCs w:val="24"/>
              <w:u w:val="single"/>
              <w:lang w:val="en-CA" w:eastAsia="en-CA"/>
            </w:rPr>
            <w:t>Confidentiality</w:t>
          </w:r>
          <w:r>
            <w:rPr>
              <w:lang w:val="en-CA" w:eastAsia="en-CA"/>
            </w:rPr>
            <w:tab/>
          </w:r>
          <w:hyperlink w:anchor="__RefHeading___Toc497800531">
            <w:r>
              <w:rPr>
                <w:rStyle w:val="IndexLink"/>
                <w:lang w:val="en-CA" w:eastAsia="en-CA"/>
              </w:rPr>
              <w:t>58</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  </w:t>
          </w:r>
          <w:r>
            <w:rPr>
              <w:rFonts w:cs="Times New Roman" w:ascii="Times New Roman" w:hAnsi="Times New Roman"/>
              <w:sz w:val="22"/>
              <w:szCs w:val="24"/>
              <w:u w:val="single"/>
            </w:rPr>
            <w:t>ASSIGNMENT</w:t>
          </w:r>
          <w:r>
            <w:rPr/>
            <w:tab/>
          </w:r>
          <w:hyperlink w:anchor="__RefHeading___Toc497800532">
            <w:r>
              <w:rPr>
                <w:rStyle w:val="IndexLink"/>
              </w:rPr>
              <w:t>59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22.1   </w:t>
          </w:r>
          <w:r>
            <w:rPr>
              <w:rFonts w:cs="Times New Roman" w:ascii="Times New Roman" w:hAnsi="Times New Roman"/>
              <w:sz w:val="22"/>
              <w:szCs w:val="24"/>
              <w:u w:val="single"/>
              <w:lang w:val="en-CA" w:eastAsia="en-CA"/>
            </w:rPr>
            <w:t>Assignment by Seller</w:t>
          </w:r>
          <w:r>
            <w:rPr>
              <w:lang w:val="en-CA" w:eastAsia="en-CA"/>
            </w:rPr>
            <w:tab/>
          </w:r>
          <w:hyperlink w:anchor="__RefHeading___Toc497800533">
            <w:r>
              <w:rPr>
                <w:rStyle w:val="IndexLink"/>
                <w:lang w:val="en-CA" w:eastAsia="en-CA"/>
              </w:rPr>
              <w:t>59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22.2   </w:t>
          </w:r>
          <w:r>
            <w:rPr>
              <w:rFonts w:cs="Times New Roman" w:ascii="Times New Roman" w:hAnsi="Times New Roman"/>
              <w:sz w:val="22"/>
              <w:szCs w:val="24"/>
              <w:u w:val="single"/>
              <w:lang w:val="en-CA" w:eastAsia="en-CA"/>
            </w:rPr>
            <w:t>Assignment by Purchaser</w:t>
          </w:r>
          <w:r>
            <w:rPr>
              <w:lang w:val="en-CA" w:eastAsia="en-CA"/>
            </w:rPr>
            <w:tab/>
          </w:r>
          <w:hyperlink w:anchor="__RefHeading___Toc497800534">
            <w:r>
              <w:rPr>
                <w:rStyle w:val="IndexLink"/>
                <w:lang w:val="en-CA" w:eastAsia="en-CA"/>
              </w:rPr>
              <w:t>59</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22.3   </w:t>
          </w:r>
          <w:r>
            <w:rPr>
              <w:rFonts w:cs="Times New Roman" w:ascii="Times New Roman" w:hAnsi="Times New Roman"/>
              <w:sz w:val="22"/>
              <w:szCs w:val="24"/>
              <w:u w:val="single"/>
              <w:lang w:val="en-CA" w:eastAsia="en-CA"/>
            </w:rPr>
            <w:t>Agreement with Lender</w:t>
          </w:r>
          <w:r>
            <w:rPr>
              <w:lang w:val="en-CA" w:eastAsia="en-CA"/>
            </w:rPr>
            <w:tab/>
          </w:r>
          <w:hyperlink w:anchor="__RefHeading___Toc497800535">
            <w:r>
              <w:rPr>
                <w:rStyle w:val="IndexLink"/>
                <w:lang w:val="en-CA" w:eastAsia="en-CA"/>
              </w:rPr>
              <w:t>59</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XXIII.  </w:t>
          </w:r>
          <w:r>
            <w:rPr>
              <w:rFonts w:cs="Times New Roman" w:ascii="Times New Roman" w:hAnsi="Times New Roman"/>
              <w:sz w:val="22"/>
              <w:szCs w:val="24"/>
              <w:u w:val="single"/>
            </w:rPr>
            <w:t>RELATIONSHIP OF THE PARTIES</w:t>
          </w:r>
          <w:r>
            <w:rPr/>
            <w:tab/>
          </w:r>
          <w:hyperlink w:anchor="__RefHeading___Toc497800536">
            <w:r>
              <w:rPr>
                <w:rStyle w:val="IndexLink"/>
              </w:rPr>
              <w:t>60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23.1   </w:t>
          </w:r>
          <w:r>
            <w:rPr>
              <w:rFonts w:cs="Times New Roman" w:ascii="Times New Roman" w:hAnsi="Times New Roman"/>
              <w:sz w:val="22"/>
              <w:szCs w:val="24"/>
              <w:u w:val="single"/>
              <w:lang w:val="en-CA" w:eastAsia="en-CA"/>
            </w:rPr>
            <w:t>Independent Contractor</w:t>
          </w:r>
          <w:r>
            <w:rPr>
              <w:lang w:val="en-CA" w:eastAsia="en-CA"/>
            </w:rPr>
            <w:tab/>
          </w:r>
          <w:hyperlink w:anchor="__RefHeading___Toc497800537">
            <w:r>
              <w:rPr>
                <w:rStyle w:val="IndexLink"/>
                <w:lang w:val="en-CA" w:eastAsia="en-CA"/>
              </w:rPr>
              <w:t>60</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23.2   </w:t>
          </w:r>
          <w:r>
            <w:rPr>
              <w:rFonts w:cs="Times New Roman" w:ascii="Times New Roman" w:hAnsi="Times New Roman"/>
              <w:sz w:val="22"/>
              <w:szCs w:val="24"/>
              <w:u w:val="single"/>
              <w:lang w:val="en-CA" w:eastAsia="en-CA"/>
            </w:rPr>
            <w:t>Responsibilities of Seller as Principal for its Employees</w:t>
          </w:r>
          <w:r>
            <w:rPr>
              <w:lang w:val="en-CA" w:eastAsia="en-CA"/>
            </w:rPr>
            <w:tab/>
          </w:r>
          <w:hyperlink w:anchor="__RefHeading___Toc497800538">
            <w:r>
              <w:rPr>
                <w:rStyle w:val="IndexLink"/>
                <w:lang w:val="en-CA" w:eastAsia="en-CA"/>
              </w:rPr>
              <w:t>60</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XXIV.  </w:t>
          </w:r>
          <w:r>
            <w:rPr>
              <w:rFonts w:cs="Times New Roman" w:ascii="Times New Roman" w:hAnsi="Times New Roman"/>
              <w:sz w:val="22"/>
              <w:szCs w:val="24"/>
              <w:u w:val="single"/>
            </w:rPr>
            <w:t>LIENS AND CLAIMS</w:t>
          </w:r>
          <w:r>
            <w:rPr/>
            <w:tab/>
          </w:r>
          <w:hyperlink w:anchor="__RefHeading___Toc497800539">
            <w:r>
              <w:rPr>
                <w:rStyle w:val="IndexLink"/>
              </w:rPr>
              <w:t>61</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  </w:t>
          </w:r>
          <w:r>
            <w:rPr>
              <w:rFonts w:cs="Times New Roman" w:ascii="Times New Roman" w:hAnsi="Times New Roman"/>
              <w:sz w:val="22"/>
              <w:szCs w:val="24"/>
              <w:u w:val="single"/>
            </w:rPr>
            <w:t>NOTICES AND COMMUNICATIONS</w:t>
          </w:r>
          <w:r>
            <w:rPr/>
            <w:tab/>
          </w:r>
          <w:hyperlink w:anchor="__RefHeading___Toc497800540">
            <w:r>
              <w:rPr>
                <w:rStyle w:val="IndexLink"/>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25.1   </w:t>
          </w:r>
          <w:r>
            <w:rPr>
              <w:rFonts w:cs="Times New Roman" w:ascii="Times New Roman" w:hAnsi="Times New Roman"/>
              <w:sz w:val="22"/>
              <w:szCs w:val="24"/>
              <w:u w:val="single"/>
              <w:lang w:val="en-CA" w:eastAsia="en-CA"/>
            </w:rPr>
            <w:t>Notices</w:t>
          </w:r>
          <w:r>
            <w:rPr>
              <w:lang w:val="en-CA" w:eastAsia="en-CA"/>
            </w:rPr>
            <w:tab/>
          </w:r>
          <w:hyperlink w:anchor="__RefHeading___Toc497800541">
            <w:r>
              <w:rPr>
                <w:rStyle w:val="IndexLink"/>
                <w:lang w:val="en-CA" w:eastAsia="en-CA"/>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25.2   </w:t>
          </w:r>
          <w:r>
            <w:rPr>
              <w:rFonts w:cs="Times New Roman" w:ascii="Times New Roman" w:hAnsi="Times New Roman"/>
              <w:sz w:val="22"/>
              <w:szCs w:val="24"/>
              <w:u w:val="single"/>
              <w:lang w:val="en-CA" w:eastAsia="en-CA"/>
            </w:rPr>
            <w:t>Effectiveness of Notices</w:t>
          </w:r>
          <w:r>
            <w:rPr>
              <w:lang w:val="en-CA" w:eastAsia="en-CA"/>
            </w:rPr>
            <w:tab/>
          </w:r>
          <w:hyperlink w:anchor="__RefHeading___Toc497800542">
            <w:r>
              <w:rPr>
                <w:rStyle w:val="IndexLink"/>
                <w:lang w:val="en-CA" w:eastAsia="en-CA"/>
              </w:rPr>
              <w:t>62</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25.3   </w:t>
          </w:r>
          <w:r>
            <w:rPr>
              <w:rFonts w:cs="Times New Roman" w:ascii="Times New Roman" w:hAnsi="Times New Roman"/>
              <w:sz w:val="22"/>
              <w:szCs w:val="24"/>
              <w:u w:val="single"/>
              <w:lang w:val="en-CA" w:eastAsia="en-CA"/>
            </w:rPr>
            <w:t>Technical Communications</w:t>
          </w:r>
          <w:r>
            <w:rPr>
              <w:lang w:val="en-CA" w:eastAsia="en-CA"/>
            </w:rPr>
            <w:tab/>
          </w:r>
          <w:hyperlink w:anchor="__RefHeading___Toc497800543">
            <w:r>
              <w:rPr>
                <w:rStyle w:val="IndexLink"/>
                <w:lang w:val="en-CA" w:eastAsia="en-CA"/>
              </w:rPr>
              <w:t>62</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  </w:t>
          </w:r>
          <w:r>
            <w:rPr>
              <w:rFonts w:cs="Times New Roman" w:ascii="Times New Roman" w:hAnsi="Times New Roman"/>
              <w:sz w:val="22"/>
              <w:szCs w:val="24"/>
              <w:u w:val="single"/>
            </w:rPr>
            <w:t>ARBITRATION</w:t>
          </w:r>
          <w:r>
            <w:rPr/>
            <w:tab/>
          </w:r>
          <w:hyperlink w:anchor="__RefHeading___Toc497800544">
            <w:r>
              <w:rPr>
                <w:rStyle w:val="IndexLink"/>
              </w:rPr>
              <w:t>63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26.1   </w:t>
          </w:r>
          <w:r>
            <w:rPr>
              <w:rFonts w:cs="Times New Roman" w:ascii="Times New Roman" w:hAnsi="Times New Roman"/>
              <w:sz w:val="22"/>
              <w:szCs w:val="24"/>
              <w:u w:val="single"/>
              <w:lang w:val="en-CA" w:eastAsia="en-CA"/>
            </w:rPr>
            <w:t>Negotiation of Disputes and Disagreements</w:t>
          </w:r>
          <w:r>
            <w:rPr>
              <w:lang w:val="en-CA" w:eastAsia="en-CA"/>
            </w:rPr>
            <w:tab/>
          </w:r>
          <w:hyperlink w:anchor="__RefHeading___Toc497800545">
            <w:r>
              <w:rPr>
                <w:rStyle w:val="IndexLink"/>
                <w:lang w:val="en-CA" w:eastAsia="en-CA"/>
              </w:rPr>
              <w:t>63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26.2   </w:t>
          </w:r>
          <w:r>
            <w:rPr>
              <w:rFonts w:cs="Times New Roman" w:ascii="Times New Roman" w:hAnsi="Times New Roman"/>
              <w:sz w:val="22"/>
              <w:szCs w:val="24"/>
              <w:u w:val="single"/>
              <w:lang w:val="en-CA" w:eastAsia="en-CA"/>
            </w:rPr>
            <w:t>Arbitration Resolution</w:t>
          </w:r>
          <w:r>
            <w:rPr>
              <w:lang w:val="en-CA" w:eastAsia="en-CA"/>
            </w:rPr>
            <w:tab/>
          </w:r>
          <w:hyperlink w:anchor="__RefHeading___Toc497800546">
            <w:r>
              <w:rPr>
                <w:rStyle w:val="IndexLink"/>
                <w:lang w:val="en-CA" w:eastAsia="en-CA"/>
              </w:rPr>
              <w:t>63</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26.3   </w:t>
          </w:r>
          <w:r>
            <w:rPr>
              <w:rFonts w:cs="Times New Roman" w:ascii="Times New Roman" w:hAnsi="Times New Roman"/>
              <w:sz w:val="22"/>
              <w:szCs w:val="24"/>
              <w:u w:val="single"/>
              <w:lang w:val="en-CA" w:eastAsia="en-CA"/>
            </w:rPr>
            <w:t>Continuation of Work</w:t>
          </w:r>
          <w:r>
            <w:rPr>
              <w:lang w:val="en-CA" w:eastAsia="en-CA"/>
            </w:rPr>
            <w:tab/>
          </w:r>
          <w:hyperlink w:anchor="__RefHeading___Toc497800547">
            <w:r>
              <w:rPr>
                <w:rStyle w:val="IndexLink"/>
                <w:lang w:val="en-CA" w:eastAsia="en-CA"/>
              </w:rPr>
              <w:t>63</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  </w:t>
          </w:r>
          <w:r>
            <w:rPr>
              <w:rFonts w:cs="Times New Roman" w:ascii="Times New Roman" w:hAnsi="Times New Roman"/>
              <w:sz w:val="22"/>
              <w:szCs w:val="24"/>
              <w:u w:val="single"/>
            </w:rPr>
            <w:t>LIMITATION OF LIABILITY</w:t>
          </w:r>
          <w:r>
            <w:rPr/>
            <w:tab/>
          </w:r>
          <w:hyperlink w:anchor="__RefHeading___Toc497800548">
            <w:r>
              <w:rPr>
                <w:rStyle w:val="IndexLink"/>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27.1   </w:t>
          </w:r>
          <w:r>
            <w:rPr>
              <w:rFonts w:cs="Times New Roman" w:ascii="Times New Roman" w:hAnsi="Times New Roman"/>
              <w:sz w:val="22"/>
              <w:szCs w:val="24"/>
              <w:u w:val="single"/>
              <w:lang w:val="en-CA" w:eastAsia="en-CA"/>
            </w:rPr>
            <w:t>Maximum Liability</w:t>
          </w:r>
          <w:r>
            <w:rPr>
              <w:lang w:val="en-CA" w:eastAsia="en-CA"/>
            </w:rPr>
            <w:tab/>
          </w:r>
          <w:hyperlink w:anchor="__RefHeading___Toc497800549">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27.2   </w:t>
          </w:r>
          <w:r>
            <w:rPr>
              <w:rFonts w:cs="Times New Roman" w:ascii="Times New Roman" w:hAnsi="Times New Roman"/>
              <w:sz w:val="22"/>
              <w:szCs w:val="24"/>
              <w:u w:val="single"/>
              <w:lang w:val="en-CA" w:eastAsia="en-CA"/>
            </w:rPr>
            <w:t>Consequential Damages</w:t>
          </w:r>
          <w:r>
            <w:rPr>
              <w:lang w:val="en-CA" w:eastAsia="en-CA"/>
            </w:rPr>
            <w:tab/>
          </w:r>
          <w:hyperlink w:anchor="__RefHeading___Toc497800550">
            <w:r>
              <w:rPr>
                <w:rStyle w:val="IndexLink"/>
                <w:lang w:val="en-CA" w:eastAsia="en-CA"/>
              </w:rPr>
              <w:t>64</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27.3   </w:t>
          </w:r>
          <w:r>
            <w:rPr>
              <w:rFonts w:cs="Times New Roman" w:ascii="Times New Roman" w:hAnsi="Times New Roman"/>
              <w:sz w:val="22"/>
              <w:szCs w:val="24"/>
              <w:u w:val="single"/>
              <w:lang w:val="en-CA" w:eastAsia="en-CA"/>
            </w:rPr>
            <w:t>Releases Valid in All Events</w:t>
          </w:r>
          <w:r>
            <w:rPr>
              <w:lang w:val="en-CA" w:eastAsia="en-CA"/>
            </w:rPr>
            <w:tab/>
          </w:r>
          <w:hyperlink w:anchor="__RefHeading___Toc497800551">
            <w:r>
              <w:rPr>
                <w:rStyle w:val="IndexLink"/>
                <w:lang w:val="en-CA" w:eastAsia="en-CA"/>
              </w:rPr>
              <w:t>64</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XXVIII.  </w:t>
          </w:r>
          <w:r>
            <w:rPr>
              <w:rFonts w:cs="Times New Roman" w:ascii="Times New Roman" w:hAnsi="Times New Roman"/>
              <w:sz w:val="22"/>
              <w:szCs w:val="24"/>
              <w:u w:val="single"/>
            </w:rPr>
            <w:t>DRUG AND ALCOHOL</w:t>
            <w:noBreakHyphen/>
            <w:t>FREE WORKPLACE</w:t>
          </w:r>
          <w:r>
            <w:rPr/>
            <w:tab/>
          </w:r>
          <w:hyperlink w:anchor="__RefHeading___Toc497800552">
            <w:r>
              <w:rPr>
                <w:rStyle w:val="IndexLink"/>
              </w:rPr>
              <w:t>65</w:t>
            </w:r>
          </w:hyperlink>
        </w:p>
        <w:p>
          <w:pPr>
            <w:pStyle w:val="TOC1"/>
            <w:rPr>
              <w:rFonts w:ascii="Times New Roman" w:hAnsi="Times New Roman" w:cs="Times New Roman"/>
              <w:sz w:val="24"/>
              <w:szCs w:val="24"/>
            </w:rPr>
          </w:pPr>
          <w:r>
            <w:rPr>
              <w:rFonts w:cs="Times New Roman" w:ascii="Times New Roman" w:hAnsi="Times New Roman"/>
              <w:sz w:val="22"/>
              <w:szCs w:val="24"/>
            </w:rPr>
            <w:t xml:space="preserve">ARTICLE XIX.  </w:t>
          </w:r>
          <w:r>
            <w:rPr>
              <w:rFonts w:cs="Times New Roman" w:ascii="Times New Roman" w:hAnsi="Times New Roman"/>
              <w:sz w:val="22"/>
              <w:szCs w:val="24"/>
              <w:u w:val="single"/>
            </w:rPr>
            <w:t>MISCELLANEOUS</w:t>
          </w:r>
          <w:r>
            <w:rPr/>
            <w:tab/>
          </w:r>
          <w:hyperlink w:anchor="__RefHeading___Toc497800553">
            <w:r>
              <w:rPr>
                <w:rStyle w:val="IndexLink"/>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   </w:t>
          </w:r>
          <w:r>
            <w:rPr>
              <w:rFonts w:cs="Times New Roman" w:ascii="Times New Roman" w:hAnsi="Times New Roman"/>
              <w:sz w:val="22"/>
              <w:szCs w:val="24"/>
              <w:u w:val="single"/>
              <w:lang w:val="en-CA" w:eastAsia="en-CA"/>
            </w:rPr>
            <w:t>Validity and Enforceability</w:t>
          </w:r>
          <w:r>
            <w:rPr>
              <w:lang w:val="en-CA" w:eastAsia="en-CA"/>
            </w:rPr>
            <w:tab/>
          </w:r>
          <w:hyperlink w:anchor="__RefHeading___Toc497800554">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29.2   </w:t>
          </w:r>
          <w:r>
            <w:rPr>
              <w:rFonts w:cs="Times New Roman" w:ascii="Times New Roman" w:hAnsi="Times New Roman"/>
              <w:sz w:val="22"/>
              <w:szCs w:val="24"/>
              <w:u w:val="single"/>
              <w:lang w:val="en-CA" w:eastAsia="en-CA"/>
            </w:rPr>
            <w:t>Governing Law</w:t>
          </w:r>
          <w:r>
            <w:rPr>
              <w:lang w:val="en-CA" w:eastAsia="en-CA"/>
            </w:rPr>
            <w:tab/>
          </w:r>
          <w:hyperlink w:anchor="__RefHeading___Toc497800555">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29.3   </w:t>
          </w:r>
          <w:r>
            <w:rPr>
              <w:rFonts w:cs="Times New Roman" w:ascii="Times New Roman" w:hAnsi="Times New Roman"/>
              <w:sz w:val="22"/>
              <w:szCs w:val="24"/>
              <w:u w:val="single"/>
              <w:lang w:val="en-CA" w:eastAsia="en-CA"/>
            </w:rPr>
            <w:t>Entire Agreement</w:t>
          </w:r>
          <w:r>
            <w:rPr>
              <w:lang w:val="en-CA" w:eastAsia="en-CA"/>
            </w:rPr>
            <w:tab/>
          </w:r>
          <w:hyperlink w:anchor="__RefHeading___Toc497800556">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29.4   </w:t>
          </w:r>
          <w:r>
            <w:rPr>
              <w:rFonts w:cs="Times New Roman" w:ascii="Times New Roman" w:hAnsi="Times New Roman"/>
              <w:sz w:val="22"/>
              <w:szCs w:val="24"/>
              <w:u w:val="single"/>
              <w:lang w:val="en-CA" w:eastAsia="en-CA"/>
            </w:rPr>
            <w:t>Agreement Modification</w:t>
          </w:r>
          <w:r>
            <w:rPr>
              <w:lang w:val="en-CA" w:eastAsia="en-CA"/>
            </w:rPr>
            <w:tab/>
          </w:r>
          <w:hyperlink w:anchor="__RefHeading___Toc497800557">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29.5   </w:t>
          </w:r>
          <w:r>
            <w:rPr>
              <w:rFonts w:cs="Times New Roman" w:ascii="Times New Roman" w:hAnsi="Times New Roman"/>
              <w:sz w:val="22"/>
              <w:szCs w:val="24"/>
              <w:u w:val="single"/>
              <w:lang w:val="en-CA" w:eastAsia="en-CA"/>
            </w:rPr>
            <w:t>Waiver</w:t>
          </w:r>
          <w:r>
            <w:rPr>
              <w:lang w:val="en-CA" w:eastAsia="en-CA"/>
            </w:rPr>
            <w:tab/>
          </w:r>
          <w:hyperlink w:anchor="__RefHeading___Toc497800558">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29.6   </w:t>
          </w:r>
          <w:r>
            <w:rPr>
              <w:rFonts w:cs="Times New Roman" w:ascii="Times New Roman" w:hAnsi="Times New Roman"/>
              <w:sz w:val="22"/>
              <w:szCs w:val="24"/>
              <w:u w:val="single"/>
              <w:lang w:val="en-CA" w:eastAsia="en-CA"/>
            </w:rPr>
            <w:t>Headings</w:t>
          </w:r>
          <w:r>
            <w:rPr>
              <w:lang w:val="en-CA" w:eastAsia="en-CA"/>
            </w:rPr>
            <w:tab/>
          </w:r>
          <w:hyperlink w:anchor="__RefHeading___Toc497800559">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29.7   </w:t>
          </w:r>
          <w:r>
            <w:rPr>
              <w:rFonts w:cs="Times New Roman" w:ascii="Times New Roman" w:hAnsi="Times New Roman"/>
              <w:sz w:val="22"/>
              <w:szCs w:val="24"/>
              <w:u w:val="single"/>
              <w:lang w:val="en-CA" w:eastAsia="en-CA"/>
            </w:rPr>
            <w:t>Third</w:t>
            <w:noBreakHyphen/>
            <w:t>Party Beneficiaries</w:t>
          </w:r>
          <w:r>
            <w:rPr>
              <w:lang w:val="en-CA" w:eastAsia="en-CA"/>
            </w:rPr>
            <w:tab/>
          </w:r>
          <w:hyperlink w:anchor="__RefHeading___Toc497800560">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29.8   </w:t>
          </w:r>
          <w:r>
            <w:rPr>
              <w:rFonts w:cs="Times New Roman" w:ascii="Times New Roman" w:hAnsi="Times New Roman"/>
              <w:sz w:val="22"/>
              <w:szCs w:val="24"/>
              <w:u w:val="single"/>
              <w:lang w:val="en-CA" w:eastAsia="en-CA"/>
            </w:rPr>
            <w:t>Counterparts</w:t>
          </w:r>
          <w:r>
            <w:rPr>
              <w:lang w:val="en-CA" w:eastAsia="en-CA"/>
            </w:rPr>
            <w:tab/>
          </w:r>
          <w:hyperlink w:anchor="__RefHeading___Toc497800561">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29.9   </w:t>
          </w:r>
          <w:r>
            <w:rPr>
              <w:rFonts w:cs="Times New Roman" w:ascii="Times New Roman" w:hAnsi="Times New Roman"/>
              <w:sz w:val="22"/>
              <w:szCs w:val="24"/>
              <w:u w:val="single"/>
              <w:lang w:val="en-CA" w:eastAsia="en-CA"/>
            </w:rPr>
            <w:t>Equal Employment Opportunity</w:t>
          </w:r>
          <w:r>
            <w:rPr>
              <w:lang w:val="en-CA" w:eastAsia="en-CA"/>
            </w:rPr>
            <w:tab/>
          </w:r>
          <w:hyperlink w:anchor="__RefHeading___Toc497800562">
            <w:r>
              <w:rPr>
                <w:rStyle w:val="IndexLink"/>
                <w:lang w:val="en-CA" w:eastAsia="en-CA"/>
              </w:rPr>
              <w:t>66</w:t>
            </w:r>
          </w:hyperlink>
        </w:p>
        <w:p>
          <w:pPr>
            <w:pStyle w:val="TOC2"/>
            <w:tabs>
              <w:tab w:val="clear" w:pos="720"/>
              <w:tab w:val="right" w:pos="10070" w:leader="dot"/>
            </w:tabs>
            <w:rPr>
              <w:rFonts w:ascii="Times New Roman" w:hAnsi="Times New Roman" w:cs="Times New Roman"/>
              <w:sz w:val="24"/>
              <w:szCs w:val="24"/>
              <w:lang w:val="en-CA" w:eastAsia="en-CA"/>
            </w:rPr>
          </w:pPr>
          <w:r>
            <w:rPr>
              <w:rFonts w:cs="Times New Roman" w:ascii="Times New Roman" w:hAnsi="Times New Roman"/>
              <w:sz w:val="22"/>
              <w:szCs w:val="24"/>
              <w:lang w:val="en-CA" w:eastAsia="en-CA"/>
            </w:rPr>
            <w:t xml:space="preserve">29.10  </w:t>
          </w:r>
          <w:r>
            <w:rPr>
              <w:rFonts w:cs="Times New Roman" w:ascii="Times New Roman" w:hAnsi="Times New Roman"/>
              <w:sz w:val="22"/>
              <w:szCs w:val="24"/>
              <w:u w:val="single"/>
              <w:lang w:val="en-CA" w:eastAsia="en-CA"/>
            </w:rPr>
            <w:t>Cooperation on Site</w:t>
          </w:r>
          <w:r>
            <w:rPr>
              <w:lang w:val="en-CA" w:eastAsia="en-CA"/>
            </w:rPr>
            <w:tab/>
          </w:r>
          <w:hyperlink w:anchor="__RefHeading___Toc497800563">
            <w:r>
              <w:rPr>
                <w:rStyle w:val="IndexLink"/>
                <w:lang w:val="en-CA" w:eastAsia="en-CA"/>
              </w:rPr>
              <w:t>67</w:t>
            </w:r>
          </w:hyperlink>
          <w:r>
            <w:rPr>
              <w:rStyle w:val="IndexLink"/>
              <w:lang w:val="en-CA" w:eastAsia="en-CA"/>
            </w:rPr>
            <w:fldChar w:fldCharType="end"/>
          </w:r>
        </w:p>
      </w:sdtContent>
    </w:sdt>
    <w:p>
      <w:pPr>
        <w:pStyle w:val="Normal"/>
        <w:widowControl/>
        <w:jc w:val="center"/>
        <w:rPr>
          <w:rFonts w:ascii="Times New Roman" w:hAnsi="Times New Roman" w:cs="Times New Roman"/>
          <w:sz w:val="22"/>
          <w:szCs w:val="24"/>
          <w:lang w:val="en-CA" w:eastAsia="en-CA"/>
        </w:rPr>
      </w:pPr>
      <w:r>
        <w:rPr>
          <w:rFonts w:cs="Times New Roman" w:ascii="Times New Roman" w:hAnsi="Times New Roman"/>
          <w:sz w:val="22"/>
          <w:szCs w:val="24"/>
          <w:lang w:val="en-CA" w:eastAsia="en-CA"/>
        </w:rPr>
      </w:r>
      <w:r>
        <w:br w:type="page"/>
      </w:r>
    </w:p>
    <w:p>
      <w:pPr>
        <w:pStyle w:val="Normal"/>
        <w:widowControl/>
        <w:jc w:val="center"/>
        <w:rPr>
          <w:rFonts w:ascii="Times New Roman" w:hAnsi="Times New Roman" w:cs="Times New Roman"/>
          <w:sz w:val="22"/>
          <w:lang w:val="en-CA" w:eastAsia="en-CA"/>
        </w:rPr>
      </w:pPr>
      <w:r>
        <w:rPr>
          <w:rFonts w:cs="Times New Roman" w:ascii="Times New Roman" w:hAnsi="Times New Roman"/>
          <w:sz w:val="22"/>
          <w:lang w:val="en-CA" w:eastAsia="en-CA"/>
        </w:rPr>
      </w:r>
    </w:p>
    <w:p>
      <w:pPr>
        <w:pStyle w:val="Normal"/>
        <w:widowControl/>
        <w:jc w:val="center"/>
        <w:rPr>
          <w:rFonts w:ascii="Times New Roman" w:hAnsi="Times New Roman" w:cs="Times New Roman"/>
          <w:b/>
          <w:sz w:val="22"/>
        </w:rPr>
      </w:pPr>
      <w:r>
        <w:rPr>
          <w:rFonts w:cs="Times New Roman" w:ascii="Times New Roman" w:hAnsi="Times New Roman"/>
          <w:b/>
          <w:sz w:val="22"/>
          <w:u w:val="single"/>
        </w:rPr>
        <w:t>AGREEMENT</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This Agreement is made and entered into and effective on the ___ day of  ___,  (the “Effective Date”) by and between [ENRON NORTH AMERICA CORP.]., incorporated under the laws of the state of Delaware, with offices located at [] ("Purchaser"), and FuelCell Energy, Inc., a corporation incorporated under the laws of Connecticut (“Seller”), with offices located at [].</w:t>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center" w:pos="5040" w:leader="none"/>
        </w:tabs>
        <w:spacing w:lineRule="auto" w:line="300"/>
        <w:jc w:val="both"/>
        <w:rPr>
          <w:rFonts w:ascii="Times New Roman" w:hAnsi="Times New Roman" w:cs="Times New Roman"/>
          <w:b/>
          <w:sz w:val="22"/>
        </w:rPr>
      </w:pPr>
      <w:r>
        <w:rPr>
          <w:rFonts w:cs="Times New Roman" w:ascii="Times New Roman" w:hAnsi="Times New Roman"/>
          <w:b/>
          <w:sz w:val="22"/>
        </w:rPr>
        <w:tab/>
      </w:r>
      <w:r>
        <w:rPr>
          <w:rFonts w:cs="Times New Roman" w:ascii="Times New Roman" w:hAnsi="Times New Roman"/>
          <w:b/>
          <w:sz w:val="22"/>
          <w:u w:val="single"/>
        </w:rPr>
        <w:t>RECITALS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has the need to acquire Fuel Cell Power Plants and associated equipment and services;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Seller is in the business of designing, engineering, manufacturing, and installing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Purchaser wishes to contract with Seller for the design, engineering, manufacture, and installation of such equipment and other services related thereto;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WHEREAS, the parties desire to set forth the terms and conditions under which Seller will provide and Purchaser will pay for such equipment and related services;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NOW, THEREFORE, in consideration of the mutual covenants herein contained, and intending to be legally bound, the parties hereto agree as follows:</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left" w:pos="1530" w:leader="none"/>
          <w:tab w:val="left" w:pos="2520" w:leader="none"/>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I.  </w:t>
      </w:r>
      <w:r>
        <w:rPr>
          <w:rFonts w:cs="Times New Roman" w:ascii="Times New Roman" w:hAnsi="Times New Roman"/>
          <w:sz w:val="22"/>
          <w:u w:val="single"/>
        </w:rPr>
        <w:t>DEFINITIONS</w:t>
      </w:r>
      <w:r>
        <w:fldChar w:fldCharType="begin"/>
      </w:r>
      <w:r>
        <w:rPr/>
        <w:instrText xml:space="preserve"> TC "ARTICLE I.  DEFINITIONS" \l 1 </w:instrText>
      </w:r>
      <w:r>
        <w:rPr/>
        <w:fldChar w:fldCharType="separate"/>
      </w:r>
      <w:r>
        <w:rPr/>
      </w:r>
      <w:r>
        <w:rPr/>
        <w:fldChar w:fldCharType="end"/>
      </w:r>
      <w:bookmarkStart w:id="0" w:name="__RefHeading___Toc497800358"/>
      <w:bookmarkEnd w:id="0"/>
    </w:p>
    <w:p>
      <w:pPr>
        <w:pStyle w:val="Normal"/>
        <w:widowControl/>
        <w:spacing w:lineRule="auto" w:line="300"/>
        <w:jc w:val="both"/>
        <w:rPr>
          <w:rFonts w:ascii="Times New Roman" w:hAnsi="Times New Roman" w:cs="Times New Roman"/>
          <w:b/>
          <w:bCs/>
          <w:sz w:val="22"/>
        </w:rPr>
      </w:pPr>
      <w:r>
        <w:rPr>
          <w:rFonts w:cs="Times New Roman" w:ascii="Times New Roman" w:hAnsi="Times New Roman"/>
          <w:b/>
          <w:bCs/>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Capitalized terms used in this Agreement without other definition shall have the meanings specified in this Article I, unless the context requires otherwise.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spacing w:lineRule="auto" w:line="300"/>
        <w:jc w:val="both"/>
        <w:rPr>
          <w:rFonts w:ascii="Times New Roman" w:hAnsi="Times New Roman" w:cs="Times New Roman"/>
          <w:sz w:val="22"/>
        </w:rPr>
      </w:pPr>
      <w:r>
        <w:rPr>
          <w:rFonts w:cs="Times New Roman" w:ascii="Times New Roman" w:hAnsi="Times New Roman"/>
          <w:sz w:val="22"/>
        </w:rPr>
        <w:t>The terms and the definitions set forth herein apply when capitalized.</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Acceptance” shall have the meaning as set forth in Section 10.6.</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Affiliate” shall mean a person or entity who, with respect to a specified person or entity, directly or indirectly through one or more intermediaries controls, or is controlled by, or is under common control or ownership with, the person or entity specified.</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Agreement” shall mean this Agreement for the purchase of the Equipment, including all Exhibits attached hereto, as amended from time to time as provided herein.</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Applicable Laws” shall mean any applicable federal, state, municipal or local statute, ordinance or other law, regulation or by-law or any rule, code or direction or any license, consent, permit, authorization or other approval including any conditions attached thereto (whether relating to the environment or otherwise) which has appropriate jurisdiction.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Average Purchase Amount” shall mean the total of the Purchase Amounts for all Units included in all Releases submitted under this Agreement divided by the total number of units subject to release under this Agreement.</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Base Stack Price” shall have the meaning set forth in Section 14.4.</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 xml:space="preserve">Change in Law” shall mean any change in, or binding change in the judicial or administrative interpretation of, or adoption of, any Applicable Law, which is implemented after the Effective Date,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Change Order” shall have the meaning as set forth in Section 11.2.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Day or day” shall mean a calendar day, including weekdays, weekends, and holidays.</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Delivery Point” for all Equipment, delivery shall mean a location in Connecticut designated by Purchaser pursuant to Section 2.1(c).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Earliest Delivery Date” shall have the meaning set forth in Section 6.4.</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Effective Date” shall have the meaning as set forth in Section 7.1.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Equipment” shall mean the Units, equipment and materials required to manufacture, supply, and install the Units pursuant to this Agreement, specifically including the Scope of Work.</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Event of Force Majeure” shall have the meaning as defined in Section 18.4.</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Event of Purchaser Default” shall have the meaning as defined in Section 17.5.</w:t>
      </w:r>
    </w:p>
    <w:p>
      <w:pPr>
        <w:pStyle w:val="Norma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Event of Seller Default” shall have the meaning as defined in Section 17.1.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Expected Delivery Date” shall mean the date that the Major Components of a given Unit are expected to be delivered to a site pursuant to Section 8.2, the Expected Delivery Date being at least ninety (90) days prior to the Guaranteed Installation Date unless otherwise agreed</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Extended Warranty Period” shall have the meaning as set forth in Section 14.2.1.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Facility” shall mean each electric generation plant comprised of the specified number of Units and the Balance of Plant.</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Fuel Cell Power Plants” shall mean electrical power generation facilities using fuel cell units manufactured and licensed by FuelCell Energy Inc.</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Guaranteed Installation Date” shall have the meaning as set forth in Section 10.2.1.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Hazardous Materials”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Heat Rate” shall mean the actual fuel energy consumed during the Performance Test determined from the actual lower heating value of the fuel multiplied by the quantity of fuel consumed and expressed in British Thermal Units (BTU), divided by the Electrical Output measured in kilowatt hours (kWh) at the [generator terminals] during the Performance Tests in accordance with the testing guidelines set forth in [Exhibit F], expressed as BTU/kWh(LHV).</w:t>
      </w:r>
    </w:p>
    <w:p>
      <w:pPr>
        <w:pStyle w:val="Norma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Heat Rate Guarantee” shall have the meaning set forth in Section 10.2.1.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Indemnified Party” shall have the meaning as set forth in Section 20.2.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Installation Completion” shall have the meaning set forth in Section 10.2.1.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Interest Rate” shall mean the prime rate as published by Citibank at its New York office plus two percent (2%) per annum, provided however, that the Interest Rate shall never exceed the highest applicable lawful rate.</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kW” shall mean kilowatt.</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kWh or kwh” shall mean kilowatt hour.</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Lender” shall mean any financial institution from which Purchaser is obtaining financing in connection with the Facility and associated facilities and services.</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[“Major Components” shall mean fuel cell stack modules, water treatment system, compressed air system, fuel treatment system, oxidant supply system, heat recovery system, compressed air system and nitrogen supply system as defined in Exhibit ___.]</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Notice” shall mean any notification of one party hereto by the other party hereto with respect to any matter arising under or in connection with this Agreement, to be given as provided in Section 25.1 hereof.</w:t>
      </w:r>
    </w:p>
    <w:p>
      <w:pPr>
        <w:pStyle w:val="BodyText"/>
        <w:rPr>
          <w:rFonts w:ascii="Times New Roman" w:hAnsi="Times New Roman" w:cs="Times New Roman"/>
        </w:rPr>
      </w:pPr>
      <w:r>
        <w:rPr>
          <w:rFonts w:cs="Times New Roman" w:ascii="Times New Roman" w:hAnsi="Times New Roman"/>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O&amp;M Spare Parts” shall have the meaning set forth in Section 3.14.2 and as set forth in Exhibit M-1.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O &amp; M Spare Parts Amount” shall have the meaning as set forth in Section 3.14.2.</w:t>
      </w:r>
    </w:p>
    <w:p>
      <w:pPr>
        <w:pStyle w:val="Norma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Patent Indemnities” shall have the meaning as set forth in Section __________.</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Performance Standards” shall have the meaning as set forth in Article 10.2.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Performance Test” shall mean the test(s) conducted at each Site on each Unit in accordance with the Test Procedures to determine whether the tested Unit meets Heat Rate, Electrical Output, Emissions, Water Consumption, Reliability and Sound Guarantess.</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Performance Test Certificate”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Permit Notice” has the meaning set forth in Section 3.12.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Primary Warranty Period” shall have the meaning as set forth in Section 14.1.1.</w:t>
      </w:r>
    </w:p>
    <w:p>
      <w:pPr>
        <w:pStyle w:val="Normal"/>
        <w:spacing w:lineRule="auto" w:line="300"/>
        <w:jc w:val="both"/>
        <w:rPr>
          <w:rFonts w:ascii="Times New Roman" w:hAnsi="Times New Roman" w:cs="Times New Roman"/>
          <w:sz w:val="22"/>
        </w:rPr>
      </w:pPr>
      <w:r>
        <w:rPr>
          <w:rFonts w:cs="Times New Roman" w:ascii="Times New Roman" w:hAnsi="Times New Roman"/>
          <w:sz w:val="22"/>
        </w:rPr>
        <w:tab/>
      </w:r>
    </w:p>
    <w:p>
      <w:pPr>
        <w:pStyle w:val="Normal"/>
        <w:spacing w:lineRule="auto" w:line="300"/>
        <w:jc w:val="both"/>
        <w:rPr>
          <w:rFonts w:ascii="Times New Roman" w:hAnsi="Times New Roman" w:cs="Times New Roman"/>
          <w:sz w:val="22"/>
        </w:rPr>
      </w:pPr>
      <w:r>
        <w:rPr>
          <w:rFonts w:cs="Times New Roman" w:ascii="Times New Roman" w:hAnsi="Times New Roman"/>
          <w:sz w:val="22"/>
        </w:rPr>
        <w:t>[“Project Management Plan”] shall mean the plan as described in Section 8.1.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Project Manager” shall mean the project manager designated by Seller pursuant to Section 3.3(a) hereof.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Punchlist” shall mean the list of incomplete or deficient work or materials associated with Seller’s Scope of Work, which is comprised of those times which are minor in nature and do not affect the performance of the Equipment, safety of  personnel working on or operating the Equipment or the ability of the Equipment to function properly.  Punchlists shall be prepared by Seller and approved by Purchaser.</w:t>
      </w:r>
    </w:p>
    <w:p>
      <w:pPr>
        <w:pStyle w:val="Normal"/>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Purchase Amount” shall have the meaning set forth in Section 5.1.1, as such amount may be adjusted from time to time in accordance with the terms of the Agreement.</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Purchaser” shall have the meaning set forth in the preliminary statements.</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Purchaser's Representative” shall mean the individual designated by Purchaser pursuant to Section 2.1(a) hereof, who shall have the responsibility and authority specifically delegated to such individual by Purchaser and made known in writing to Seller.</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Refund Amount” shall have the meaning as set forth in Section 17.4.1.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Related Dispute” shall have the meaning set forth in Section 26.2.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Release” shall have the meaning as set forth in Section 7.2.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Scope of Work” shall mean the Equipment and all other design, engineering, manufacture, delivery, transportation, services, equipment, drawings, documentation, supplies and materials to be performed and/or furnished by Seller pursuant to this Agreement including the Scope of Supply. The Scope of Work is generally described in Exhibit B.</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Seller” shall have the meaning set forth in the preliminary statements.</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Site” shall mean any part of the land where a Facility is located.</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Specification” shall mean the final specifications issued by Purchaser pursuant to Section 8.3 for the design, manufacture, assembly, and supply of the Units, which will be  generally in conformity with [Exhibit B</w:t>
        <w:noBreakHyphen/>
        <w:t>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Stack Purchase Amount” shall have the meaning set forth in Section 14.4.</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Termination Costs” shall have the meaning as set forth in Section 17.4.2.</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Test Procedures” shall have the meaning as set forth in Exhibit B-1.</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Unit” singularly, any of the fuel cell powerplants and associated equipment that Seller is furnishing  under this Agreement.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r>
        <w:rPr>
          <w:rFonts w:cs="Times New Roman" w:ascii="Times New Roman" w:hAnsi="Times New Roman"/>
        </w:rPr>
        <w:t>Vendor” shall mean any vendor, supplier or subcontractor utilized by Seller in the performance of the Scope of Work hereunder.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II.  </w:t>
      </w:r>
      <w:r>
        <w:rPr>
          <w:rFonts w:cs="Times New Roman" w:ascii="Times New Roman" w:hAnsi="Times New Roman"/>
          <w:sz w:val="22"/>
          <w:u w:val="single"/>
        </w:rPr>
        <w:t>RESPONSIBILITIES OF PURCHASER</w:t>
      </w:r>
      <w:r>
        <w:fldChar w:fldCharType="begin"/>
      </w:r>
      <w:r>
        <w:rPr/>
        <w:instrText xml:space="preserve"> TC "ARTICLE II.  RESPONSIBILITIES OF PURCHASER" \l 1 </w:instrText>
      </w:r>
      <w:r>
        <w:rPr/>
        <w:fldChar w:fldCharType="separate"/>
      </w:r>
      <w:r>
        <w:rPr/>
      </w:r>
      <w:r>
        <w:rPr/>
        <w:fldChar w:fldCharType="end"/>
      </w:r>
      <w:bookmarkStart w:id="1" w:name="__RefHeading___Toc497800359"/>
      <w:bookmarkEnd w:id="1"/>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   </w:t>
      </w:r>
      <w:r>
        <w:rPr>
          <w:rFonts w:cs="Times New Roman" w:ascii="Times New Roman" w:hAnsi="Times New Roman"/>
          <w:sz w:val="22"/>
          <w:u w:val="single"/>
        </w:rPr>
        <w:t>Purchaser Responsibilities</w:t>
      </w:r>
      <w:r>
        <w:fldChar w:fldCharType="begin"/>
      </w:r>
      <w:r>
        <w:rPr/>
        <w:instrText xml:space="preserve"> TC "2.1   Purchaser Responsibilities" \l 2 </w:instrText>
      </w:r>
      <w:r>
        <w:rPr/>
        <w:fldChar w:fldCharType="separate"/>
      </w:r>
      <w:r>
        <w:rPr/>
      </w:r>
      <w:r>
        <w:rPr/>
        <w:fldChar w:fldCharType="end"/>
      </w:r>
      <w:bookmarkStart w:id="2" w:name="__RefHeading___Toc497800360"/>
      <w:bookmarkEnd w:id="2"/>
      <w:r>
        <w:rPr>
          <w:rFonts w:cs="Times New Roman" w:ascii="Times New Roman" w:hAnsi="Times New Roman"/>
          <w:sz w:val="22"/>
        </w:rPr>
        <w:t>.  Purchaser recognizes and acknowledges the duty to reasonably cooperate with Seller, and agrees not to wrongfully interfere with Seller’s agents, employees or Vendors during the performance of this Agreement.  Without limiting the generality of the foregoing or Purchaser’s other obligations under this Agreement, Purchaser shall be responsible for ensuring that the following occur on a timely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designation of a representative (“Purchaser’s Representative”) and delivery of a Notice to Seller identifying Purchaser's Representative, within thirty (30) days of the Effective Date (and from time to time thereafter), who shall act as the primary point of contact for Seller with respect to the prosecution of the Scope of Work and shall have the authority to bind Purchaser but not to amend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delivery of Notice, within thirty (30) days of the Effective Date (and from time to time thereafter) to Seller identifying such persons within Purchaser's organization that have authority to approve Change Orders;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designation of the Units to be delivered to up to five (5) sites within ninety (90) days of Release, with such designation to be subject to change by Purchaser upon ten (10) days notice until six (6) months prior to the Expected Delivery Date for the Unit;</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pay to Seller the sums required to be paid by Purchaser pursuant to the terms of this Agreement; </w:t>
      </w:r>
    </w:p>
    <w:p>
      <w:pPr>
        <w:pStyle w:val="Normal"/>
        <w:widowControl/>
        <w:tabs>
          <w:tab w:val="clear" w:pos="720"/>
          <w:tab w:val="left" w:pos="-1440" w:leader="none"/>
        </w:tabs>
        <w:spacing w:lineRule="auto" w:line="300"/>
        <w:ind w:start="45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provision or arrangement for adequate road access to the Facility from the nearest highway; and,</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provision or arrangement for those materials, items and services specifically identified in Exhibit _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7"/>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Purchaser agrees to start the permitting of the Facilities within ten (10) days of receipt of a favorable ruling concerning funding from the Connecticut [DUPC].</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III.  </w:t>
      </w:r>
      <w:r>
        <w:rPr>
          <w:rFonts w:cs="Times New Roman" w:ascii="Times New Roman" w:hAnsi="Times New Roman"/>
          <w:sz w:val="22"/>
          <w:u w:val="single"/>
        </w:rPr>
        <w:t>RESPONSIBILITIES OF SELLER</w:t>
      </w:r>
      <w:r>
        <w:fldChar w:fldCharType="begin"/>
      </w:r>
      <w:r>
        <w:rPr/>
        <w:instrText xml:space="preserve"> TC "ARTICLE III.  RESPONSIBILITIES OF SELLER" \l 1 </w:instrText>
      </w:r>
      <w:r>
        <w:rPr/>
        <w:fldChar w:fldCharType="separate"/>
      </w:r>
      <w:r>
        <w:rPr/>
      </w:r>
      <w:r>
        <w:rPr/>
        <w:fldChar w:fldCharType="end"/>
      </w:r>
      <w:bookmarkStart w:id="3" w:name="__RefHeading___Toc497800361"/>
      <w:bookmarkEnd w:id="3"/>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3.1   </w:t>
      </w:r>
      <w:r>
        <w:rPr>
          <w:rFonts w:cs="Times New Roman" w:ascii="Times New Roman" w:hAnsi="Times New Roman"/>
          <w:sz w:val="22"/>
          <w:u w:val="single"/>
        </w:rPr>
        <w:t>General Obligations</w:t>
      </w:r>
      <w:r>
        <w:fldChar w:fldCharType="begin"/>
      </w:r>
      <w:r>
        <w:rPr/>
        <w:instrText xml:space="preserve"> TC "3.1   General Obligations" \l 2 </w:instrText>
      </w:r>
      <w:r>
        <w:rPr/>
        <w:fldChar w:fldCharType="separate"/>
      </w:r>
      <w:r>
        <w:rPr/>
      </w:r>
      <w:r>
        <w:rPr/>
        <w:fldChar w:fldCharType="end"/>
      </w:r>
      <w:bookmarkStart w:id="4" w:name="__RefHeading___Toc497800362"/>
      <w:bookmarkEnd w:id="4"/>
      <w:r>
        <w:rPr>
          <w:rFonts w:cs="Times New Roman" w:ascii="Times New Roman" w:hAnsi="Times New Roman"/>
          <w:sz w:val="22"/>
        </w:rPr>
        <w:t>.  Except as expressly set forth in this Agreement, Seller shall provide the materials and supplies, competent personnel and supervision required for Seller to fulfill its responsibilities, tools and equipment, and the services required for performance and timely completion of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References in the Specification to equipment, material, articles or patented processes by trade name, make, or catalog number, shall be regarded as the standard of quality to be met by Seller.  Seller may, with the prior written consent of Purchaser, use any equipment, material, article, or process that is operationally, technically and functionally equivalent to that named in the Specification.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   </w:t>
      </w:r>
      <w:r>
        <w:rPr>
          <w:rFonts w:cs="Times New Roman" w:ascii="Times New Roman" w:hAnsi="Times New Roman"/>
          <w:sz w:val="22"/>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bookmarkStart w:id="5" w:name="__RefHeading___Toc497800363"/>
      <w:bookmarkEnd w:id="5"/>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3.2.1   </w:t>
      </w:r>
      <w:r>
        <w:rPr>
          <w:rFonts w:cs="Times New Roman" w:ascii="Times New Roman" w:hAnsi="Times New Roman"/>
          <w:sz w:val="22"/>
          <w:u w:val="single"/>
        </w:rPr>
        <w:t>Delivery to Delivery Point</w:t>
      </w:r>
      <w:r>
        <w:fldChar w:fldCharType="begin"/>
      </w:r>
      <w:r>
        <w:rPr/>
        <w:instrText xml:space="preserve"> TC "3.2.1   Delivery to Delivery Point" \l 3 </w:instrText>
      </w:r>
      <w:r>
        <w:rPr/>
        <w:fldChar w:fldCharType="separate"/>
      </w:r>
      <w:r>
        <w:rPr/>
      </w:r>
      <w:r>
        <w:rPr/>
        <w:fldChar w:fldCharType="end"/>
      </w:r>
      <w:bookmarkStart w:id="6" w:name="__RefHeading___Toc497800364"/>
      <w:bookmarkEnd w:id="6"/>
      <w:r>
        <w:rPr>
          <w:rFonts w:cs="Times New Roman" w:ascii="Times New Roman" w:hAnsi="Times New Roman"/>
          <w:sz w:val="22"/>
        </w:rPr>
        <w:t>. Seller shall deliver the Equipment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3.2.2   </w:t>
      </w:r>
      <w:r>
        <w:rPr>
          <w:rFonts w:cs="Times New Roman" w:ascii="Times New Roman" w:hAnsi="Times New Roman"/>
          <w:sz w:val="22"/>
          <w:u w:val="single"/>
        </w:rPr>
        <w:t xml:space="preserve">Installation  Services </w:t>
      </w:r>
      <w:r>
        <w:fldChar w:fldCharType="begin"/>
      </w:r>
      <w:r>
        <w:rPr/>
        <w:instrText xml:space="preserve"> TC "3.2.2   Installation Services " \l 3 </w:instrText>
      </w:r>
      <w:r>
        <w:rPr/>
        <w:fldChar w:fldCharType="separate"/>
      </w:r>
      <w:r>
        <w:rPr/>
      </w:r>
      <w:r>
        <w:rPr/>
        <w:fldChar w:fldCharType="end"/>
      </w:r>
      <w:bookmarkStart w:id="7" w:name="__RefHeading___Toc497800365"/>
      <w:bookmarkEnd w:id="7"/>
      <w:r>
        <w:rPr>
          <w:rFonts w:cs="Times New Roman" w:ascii="Times New Roman" w:hAnsi="Times New Roman"/>
          <w:sz w:val="22"/>
        </w:rPr>
        <w:t>.  Seller shall offload and install the Units at the Site in accordance with Exhibit [scope exhibit].  Purchaser shall have the right to approve any subcontractor that Seller desires to employ in carrying out the transportation of the Units and the installation services, such approval not to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3.2.3   </w:t>
      </w:r>
      <w:r>
        <w:rPr>
          <w:rFonts w:cs="Times New Roman" w:ascii="Times New Roman" w:hAnsi="Times New Roman"/>
          <w:sz w:val="22"/>
          <w:u w:val="single"/>
        </w:rPr>
        <w:t>Maximum Assembly</w:t>
      </w:r>
      <w:r>
        <w:fldChar w:fldCharType="begin"/>
      </w:r>
      <w:r>
        <w:rPr/>
        <w:instrText xml:space="preserve"> TC "3.2.4   Maximize Assembly" \l 3 </w:instrText>
      </w:r>
      <w:r>
        <w:rPr/>
        <w:fldChar w:fldCharType="separate"/>
      </w:r>
      <w:r>
        <w:rPr/>
      </w:r>
      <w:r>
        <w:rPr/>
        <w:fldChar w:fldCharType="end"/>
      </w:r>
      <w:bookmarkStart w:id="8" w:name="__RefHeading___Toc497800366"/>
      <w:bookmarkEnd w:id="8"/>
      <w:r>
        <w:rPr>
          <w:rFonts w:cs="Times New Roman" w:ascii="Times New Roman" w:hAnsi="Times New Roman"/>
          <w:sz w:val="22"/>
        </w:rPr>
        <w:t>. Seller shall use commercially reasonable efforts to maximize the assembly of the Equipment prior to shipment.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3.3   </w:t>
      </w:r>
      <w:r>
        <w:rPr>
          <w:rFonts w:cs="Times New Roman" w:ascii="Times New Roman" w:hAnsi="Times New Roman"/>
          <w:sz w:val="22"/>
          <w:u w:val="single"/>
        </w:rPr>
        <w:t>Relevant Information</w:t>
      </w:r>
      <w:r>
        <w:fldChar w:fldCharType="begin"/>
      </w:r>
      <w:r>
        <w:rPr/>
        <w:instrText xml:space="preserve"> TC "3.3   Relevant Information" \l 2 </w:instrText>
      </w:r>
      <w:r>
        <w:rPr/>
        <w:fldChar w:fldCharType="separate"/>
      </w:r>
      <w:r>
        <w:rPr/>
      </w:r>
      <w:r>
        <w:rPr/>
        <w:fldChar w:fldCharType="end"/>
      </w:r>
      <w:bookmarkStart w:id="9" w:name="__RefHeading___Toc497800367"/>
      <w:bookmarkEnd w:id="9"/>
      <w:r>
        <w:rPr>
          <w:rFonts w:cs="Times New Roman" w:ascii="Times New Roman" w:hAnsi="Times New Roman"/>
          <w:sz w:val="22"/>
        </w:rPr>
        <w:t>.  Seller shall provide on a timely basis to Purchaser information reasonably necessary to fulfill Seller’s obligation pursuant to this Agreement, including: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 xml:space="preserve">within thirty (30)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such information as is reasonably requested by Purchaser in dealing with its customers and/or any governmental authority in matters relating to the Scope of Work;</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 xml:space="preserve">within thirty (30) days of a Release and for every month thereafter, a Project Management Plan, including an updated project schedule detailing the expected manufacturing, shipping and installation schedule for each unit which is subject to the Release; and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8"/>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such documents as required by or as reasonably required to implement or evaluate the Project Management Plan.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3.4   </w:t>
      </w:r>
      <w:r>
        <w:rPr>
          <w:rFonts w:cs="Times New Roman" w:ascii="Times New Roman" w:hAnsi="Times New Roman"/>
          <w:sz w:val="22"/>
          <w:u w:val="single"/>
        </w:rPr>
        <w:t>Hazardous Materials</w:t>
      </w:r>
      <w:r>
        <w:fldChar w:fldCharType="begin"/>
      </w:r>
      <w:r>
        <w:rPr/>
        <w:instrText xml:space="preserve"> TC "3.4   Hazardous Materials Notification" \l 2 </w:instrText>
      </w:r>
      <w:r>
        <w:rPr/>
        <w:fldChar w:fldCharType="separate"/>
      </w:r>
      <w:r>
        <w:rPr/>
      </w:r>
      <w:r>
        <w:rPr/>
        <w:fldChar w:fldCharType="end"/>
      </w:r>
      <w:bookmarkStart w:id="10" w:name="__RefHeading___Toc497800368"/>
      <w:bookmarkEnd w:id="10"/>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Seller warrants that it will use reasonable skill and care to ensure that there will not be any Hazardous Material specified or incorporated into the Equipment installed at the site;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 to stipulate or use and Seller shall not stipulate or use the same without, in each case, the prior written consent of Purchaser.  Seller shall upon the request of Purchaser promptly certify in writing that to the best of its knowledge that no Hazardous Materials have been specified or incorporated in the Scope of Work. In the event Seller, with Purchaser's approval, incorporates any Hazardous Materials into the Equipment to be installed at the Site, Seller shall provide Purchaser with notification.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 shall be responsible for the proper collection, removal, and disposal of any Hazardous Materials furnished, used, applied, consumed, or stored at the Site by Seller, including used oils, greases, and solvents from flushing and cleaning processes and shall assume generator status for disposal of any Hazardous Materials introduced by Seller at the Site.  All costs, fines, liabilities, penalties, and other expenses associated with the handling, transporting, and disposing of Hazardous Materials introduced on or to the Site by Seller paid by Seller without reimbursement by Purchaser.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SHALL BE LIABLE FOR AND SHALL INDEMNIFY, PROTECT, DEFEND AND HOLD HARMLESS PURCHASER AND ITS DIRECTORS, OFFICERS, EMPLOYEES AND AGENTS FROM AND AGAINST ANY AND ALL DEMANDS, CLAIMS, SUITS AND CAUSES OF ACTION AND ANY AND ALL LIABILITY, COSTS, EXPENSES, SETTLEMENTS AND JUDGMENTS OF THIRD PARTIES INCURRED BY PURCHASER (INCLUDING ATTORNEYS FEES AND COURT COSTS) ARISING OUT OF THE CIRCUMSTANCES DESCRIBED IN THIS SECTION 3.4.</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3.5   </w:t>
      </w:r>
      <w:r>
        <w:rPr>
          <w:rFonts w:cs="Times New Roman" w:ascii="Times New Roman" w:hAnsi="Times New Roman"/>
          <w:sz w:val="22"/>
          <w:u w:val="single"/>
        </w:rPr>
        <w:t>Employment of Licensed Personnel</w:t>
      </w:r>
      <w:r>
        <w:fldChar w:fldCharType="begin"/>
      </w:r>
      <w:r>
        <w:rPr/>
        <w:instrText xml:space="preserve"> TC "3.5   Employment of Licensed Personnel" \l 2 </w:instrText>
      </w:r>
      <w:r>
        <w:rPr/>
        <w:fldChar w:fldCharType="separate"/>
      </w:r>
      <w:r>
        <w:rPr/>
      </w:r>
      <w:r>
        <w:rPr/>
        <w:fldChar w:fldCharType="end"/>
      </w:r>
      <w:bookmarkStart w:id="11" w:name="__RefHeading___Toc497800369"/>
      <w:bookmarkEnd w:id="11"/>
      <w:r>
        <w:rPr>
          <w:rFonts w:cs="Times New Roman" w:ascii="Times New Roman" w:hAnsi="Times New Roman"/>
          <w:sz w:val="22"/>
        </w:rPr>
        <w:t>.  Whenever required by Applicable Law or generally accepted engineering and construction practices, Seller agrees to employ licensed personnel to perform engineering, and design services in the performance of its obligations under this Agreement.  Seller shall be responsible for employing and utilizing personnel, including vendors and subcontractors, who possess the proper training and experience, and who are capable of performing the tasks for which they are employed or utilized.  Seller shall not employ or permit any Vendor to utilize any unfit person or anyone not skilled in the work assigned to such person.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pPr>
      <w:r>
        <w:rPr>
          <w:rFonts w:cs="Times New Roman" w:ascii="Times New Roman" w:hAnsi="Times New Roman"/>
          <w:sz w:val="22"/>
        </w:rPr>
        <w:t xml:space="preserve">3.6   </w:t>
      </w:r>
      <w:r>
        <w:rPr>
          <w:rFonts w:cs="Times New Roman" w:ascii="Times New Roman" w:hAnsi="Times New Roman"/>
          <w:sz w:val="22"/>
          <w:u w:val="single"/>
        </w:rPr>
        <w:t>Customs Clearance</w:t>
      </w:r>
      <w:r>
        <w:fldChar w:fldCharType="begin"/>
      </w:r>
      <w:r>
        <w:rPr/>
        <w:instrText xml:space="preserve"> TC "3.6   Customs Clearance" \l 2 </w:instrText>
      </w:r>
      <w:r>
        <w:rPr/>
        <w:fldChar w:fldCharType="separate"/>
      </w:r>
      <w:r>
        <w:rPr/>
      </w:r>
      <w:r>
        <w:rPr/>
        <w:fldChar w:fldCharType="end"/>
      </w:r>
      <w:bookmarkStart w:id="12" w:name="__RefHeading___Toc497800370"/>
      <w:bookmarkEnd w:id="12"/>
      <w:r>
        <w:rPr>
          <w:rFonts w:cs="Times New Roman" w:ascii="Times New Roman" w:hAnsi="Times New Roman"/>
          <w:sz w:val="22"/>
        </w:rPr>
        <w:t>.  Seller shall perform customs clearance for the Equipment through U.S. Customs, if applicable.</w:t>
      </w:r>
      <w:r>
        <w:fldChar w:fldCharType="begin"/>
      </w:r>
      <w:r>
        <w:rPr/>
        <w:instrText xml:space="preserve"> TC "3.6   Customs Clearance" \l 2 </w:instrText>
      </w:r>
      <w:r>
        <w:rPr/>
        <w:fldChar w:fldCharType="separate"/>
      </w:r>
      <w:r>
        <w:rPr/>
      </w:r>
      <w:r>
        <w:rPr/>
        <w:fldChar w:fldCharType="end"/>
      </w:r>
      <w:bookmarkStart w:id="13" w:name="__RefHeading___Toc497800371"/>
      <w:bookmarkEnd w:id="1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3.7   </w:t>
      </w:r>
      <w:r>
        <w:rPr>
          <w:rFonts w:cs="Times New Roman" w:ascii="Times New Roman" w:hAnsi="Times New Roman"/>
          <w:sz w:val="22"/>
          <w:u w:val="single"/>
        </w:rPr>
        <w:t>Not Used</w:t>
      </w:r>
      <w:r>
        <w:rPr>
          <w:rFonts w:cs="Times New Roman" w:ascii="Times New Roman" w:hAnsi="Times New Roman"/>
          <w:sz w:val="22"/>
        </w:rPr>
        <w:t>.</w:t>
      </w:r>
      <w:r>
        <w:fldChar w:fldCharType="begin"/>
      </w:r>
      <w:r>
        <w:rPr/>
        <w:instrText xml:space="preserve"> TC "3.7   Not Used" \l 2 </w:instrText>
      </w:r>
      <w:r>
        <w:rPr/>
        <w:fldChar w:fldCharType="separate"/>
      </w:r>
      <w:r>
        <w:rPr/>
      </w:r>
      <w:r>
        <w:rPr/>
        <w:fldChar w:fldCharType="end"/>
      </w:r>
      <w:bookmarkStart w:id="14" w:name="__RefHeading___Toc497800372"/>
      <w:bookmarkEnd w:id="1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3.8   </w:t>
      </w:r>
      <w:r>
        <w:rPr>
          <w:rFonts w:cs="Times New Roman" w:ascii="Times New Roman" w:hAnsi="Times New Roman"/>
          <w:sz w:val="22"/>
          <w:u w:val="single"/>
        </w:rPr>
        <w:t>Compliance with Governmental Rules</w:t>
      </w:r>
      <w:r>
        <w:fldChar w:fldCharType="begin"/>
      </w:r>
      <w:r>
        <w:rPr/>
        <w:instrText xml:space="preserve"> TC "3.8   Compliance with Governmental Rules" \l 2 </w:instrText>
      </w:r>
      <w:r>
        <w:rPr/>
        <w:fldChar w:fldCharType="separate"/>
      </w:r>
      <w:r>
        <w:rPr/>
      </w:r>
      <w:r>
        <w:rPr/>
        <w:fldChar w:fldCharType="end"/>
      </w:r>
      <w:bookmarkStart w:id="15" w:name="__RefHeading___Toc497800373"/>
      <w:bookmarkEnd w:id="15"/>
      <w:r>
        <w:rPr>
          <w:rFonts w:cs="Times New Roman" w:ascii="Times New Roman" w:hAnsi="Times New Roman"/>
          <w:sz w:val="22"/>
        </w:rPr>
        <w:t>.  Seller shall comply with government rules in the categories enumerated below.</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(a)</w:t>
        <w:tab/>
      </w:r>
      <w:r>
        <w:rPr>
          <w:rFonts w:cs="Times New Roman" w:ascii="Times New Roman" w:hAnsi="Times New Roman"/>
          <w:sz w:val="22"/>
          <w:u w:val="single"/>
        </w:rPr>
        <w:t>Seller Conduct</w:t>
      </w:r>
      <w:r>
        <w:rPr>
          <w:rFonts w:cs="Times New Roman" w:ascii="Times New Roman" w:hAnsi="Times New Roman"/>
          <w:sz w:val="22"/>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(b)</w:t>
        <w:tab/>
      </w:r>
      <w:r>
        <w:rPr>
          <w:rFonts w:cs="Times New Roman" w:ascii="Times New Roman" w:hAnsi="Times New Roman"/>
          <w:sz w:val="22"/>
          <w:u w:val="single"/>
        </w:rPr>
        <w:t>Employment Practices</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 xml:space="preserve">(1) </w:t>
        <w:tab/>
        <w:t>Seller agrees that it shall be at all times during the term of this Agreement in full compliance with all Applicable Laws relative to Seller’s employment of employees and agents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pPr>
      <w:r>
        <w:rPr>
          <w:rFonts w:cs="Times New Roman" w:ascii="Times New Roman" w:hAnsi="Times New Roman"/>
          <w:sz w:val="22"/>
        </w:rPr>
        <w:t>(c)</w:t>
        <w:tab/>
      </w:r>
      <w:r>
        <w:rPr>
          <w:rFonts w:cs="Times New Roman" w:ascii="Times New Roman" w:hAnsi="Times New Roman"/>
          <w:sz w:val="22"/>
          <w:u w:val="single"/>
        </w:rPr>
        <w:t>Scope of Work to Comply with Applicable Laws</w:t>
      </w:r>
      <w:r>
        <w:rPr>
          <w:rFonts w:cs="Times New Roman" w:ascii="Times New Roman" w:hAnsi="Times New Roman"/>
          <w:sz w:val="22"/>
        </w:rPr>
        <w:t>.  Subject to the provisions of Section 3.8 (c) (4);</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(1)</w:t>
        <w:tab/>
        <w:t>Seller shall cause the Scope of Work to comply with the Specification and Applicable Laws that were: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w:t>
        <w:tab/>
        <w:t xml:space="preserve">in effect on the date this Agreement was signed; or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880" w:end="0"/>
        <w:jc w:val="both"/>
        <w:rPr>
          <w:rFonts w:ascii="Times New Roman" w:hAnsi="Times New Roman" w:cs="Times New Roman"/>
          <w:sz w:val="22"/>
        </w:rPr>
      </w:pPr>
      <w:r>
        <w:rPr>
          <w:rFonts w:cs="Times New Roman" w:ascii="Times New Roman" w:hAnsi="Times New Roman"/>
          <w:sz w:val="22"/>
        </w:rPr>
        <w:t>(ii)</w:t>
        <w:tab/>
        <w:t>were not yet in effect on the date this Agreement was signed, but at such time a change to such valid Applicable Laws, issued or promulgated by units of government and regulatory bodies had passed but was not yet effective.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2160" w:end="0"/>
        <w:jc w:val="both"/>
        <w:rPr>
          <w:rFonts w:ascii="Times New Roman" w:hAnsi="Times New Roman" w:cs="Times New Roman"/>
          <w:sz w:val="22"/>
        </w:rPr>
      </w:pPr>
      <w:r>
        <w:rPr>
          <w:rFonts w:cs="Times New Roman" w:ascii="Times New Roman" w:hAnsi="Times New Roman"/>
          <w:sz w:val="22"/>
        </w:rPr>
        <w:t xml:space="preserve">In the event Seller fails to cause the Scope of Work to so comply with the Specification and Applicable Laws, Seller shall correct such non-complying Scope of Work or portion thereof as necessary to comply with the above, and shall not be entitled to a change order.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the Article XVII, or direct Seller to complete the Equipment without such changes, in which case Purchaser shall assume full responsibility for obtaining any necessary waivers from the appropriate federal, state or local authorities.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Seller shall, on a reasonable efforts basis, advise Purchaser of pending Applicable Laws of which Seller is aware so that Purchaser may make an informed decision as to whether to have the Equipment designed in anticipation of such pending change as it affects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(4)</w:t>
        <w:tab/>
        <w:t>In the event a Change in Law occurs subsequent to the times set forth in Section 3.8(c)(1),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3.9   </w:t>
      </w:r>
      <w:r>
        <w:rPr>
          <w:rFonts w:cs="Times New Roman" w:ascii="Times New Roman" w:hAnsi="Times New Roman"/>
          <w:sz w:val="22"/>
          <w:u w:val="single"/>
        </w:rPr>
        <w:t>Purchaser Review of Vendors</w:t>
      </w:r>
      <w:r>
        <w:fldChar w:fldCharType="begin"/>
      </w:r>
      <w:r>
        <w:rPr/>
        <w:instrText xml:space="preserve"> TC "3.9   Purchaser Review of Vendors" \l 2 </w:instrText>
      </w:r>
      <w:r>
        <w:rPr/>
        <w:fldChar w:fldCharType="separate"/>
      </w:r>
      <w:r>
        <w:rPr/>
      </w:r>
      <w:r>
        <w:rPr/>
        <w:fldChar w:fldCharType="end"/>
      </w:r>
      <w:bookmarkStart w:id="16" w:name="__RefHeading___Toc497800374"/>
      <w:bookmarkEnd w:id="16"/>
      <w:r>
        <w:rPr>
          <w:rFonts w:cs="Times New Roman" w:ascii="Times New Roman" w:hAnsi="Times New Roman"/>
          <w:sz w:val="22"/>
        </w:rPr>
        <w:t>.  Seller will notify Purchaser as to the Vendors to be used in performance of the Scope of Work for an item of Equipment or performance of a particular portion of the Work.  Purchaser shall have the right to disapprove any Vendor proposed by Seller for an item of Equipment for good cause.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3.10  Not used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3.11  </w:t>
      </w:r>
      <w:r>
        <w:rPr>
          <w:rFonts w:cs="Times New Roman" w:ascii="Times New Roman" w:hAnsi="Times New Roman"/>
          <w:sz w:val="22"/>
          <w:u w:val="single"/>
        </w:rPr>
        <w:t>Financing Assistance</w:t>
      </w:r>
      <w:r>
        <w:fldChar w:fldCharType="begin"/>
      </w:r>
      <w:r>
        <w:rPr/>
        <w:instrText xml:space="preserve"> TC "3.11  Financing Assistance" \l 2 </w:instrText>
      </w:r>
      <w:r>
        <w:rPr/>
        <w:fldChar w:fldCharType="separate"/>
      </w:r>
      <w:r>
        <w:rPr/>
      </w:r>
      <w:r>
        <w:rPr/>
        <w:fldChar w:fldCharType="end"/>
      </w:r>
      <w:bookmarkStart w:id="17" w:name="__RefHeading___Toc497800375"/>
      <w:bookmarkEnd w:id="17"/>
      <w:r>
        <w:rPr>
          <w:rFonts w:cs="Times New Roman" w:ascii="Times New Roman" w:hAnsi="Times New Roman"/>
          <w:sz w:val="22"/>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that Purchaser is entitled to attend pursuant to this Agreement. At Purchaser's request, Seller shall furnish to Purchaser and/or Lender copies of notices given to Purchaser hereunder.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3.12  </w:t>
      </w:r>
      <w:r>
        <w:rPr>
          <w:rFonts w:cs="Times New Roman" w:ascii="Times New Roman" w:hAnsi="Times New Roman"/>
          <w:sz w:val="22"/>
          <w:u w:val="single"/>
        </w:rPr>
        <w:t>Purchaser Permit Support</w:t>
      </w:r>
      <w:r>
        <w:fldChar w:fldCharType="begin"/>
      </w:r>
      <w:r>
        <w:rPr/>
        <w:instrText xml:space="preserve"> TC "3.12  Purchaser Permit Support" \l 2 </w:instrText>
      </w:r>
      <w:r>
        <w:rPr/>
        <w:fldChar w:fldCharType="separate"/>
      </w:r>
      <w:r>
        <w:rPr/>
      </w:r>
      <w:r>
        <w:rPr/>
        <w:fldChar w:fldCharType="end"/>
      </w:r>
      <w:bookmarkStart w:id="18" w:name="__RefHeading___Toc497800376"/>
      <w:bookmarkEnd w:id="18"/>
      <w:r>
        <w:rPr>
          <w:rFonts w:cs="Times New Roman" w:ascii="Times New Roman" w:hAnsi="Times New Roman"/>
          <w:sz w:val="22"/>
        </w:rPr>
        <w:t>.  Seller shall provide all information, data and documents in a timely fashion that Purchaser may reasonably require for Purchaser to obtain applicable permits.  Purchaser shall from time to time keep Seller appraised of the status of key permitting activities as such activities for the Facilities relate to the specifications and performance standards of the Units. If (i) Purchaser becomes aware of a permitting issue related specifically to the level of the Performance Standards of a Unit and (ii) after exercising commercially reasonable efforts to resolve such issue, Purchaser reasonably determines that a permit allowing the unit or units to operate at maximum unit capacity for a minimum of [8,760] hours per year is unlikely to be obtained, Purchaser at its sole discretion can issue a Permit Notice to Seller. This Permit Notice will detail the specific nature of the permitting problem and the change needed to the Performance Standards to resolve the problem.  Along with the Permit Notice, Purchaser shall supply all relevant documentation received from permitting agencies supporting the proposed change to the Performance Standard. Seller shall have thirty (30) days from receipt of such Permit Notice to amend this Agreement for the new Performance Standard or Purchaser shall have the right to terminate the Release and/or this Agreement pursuant to Section 17.7.</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3.13  </w:t>
      </w:r>
      <w:r>
        <w:rPr>
          <w:rFonts w:cs="Times New Roman" w:ascii="Times New Roman" w:hAnsi="Times New Roman"/>
          <w:sz w:val="22"/>
          <w:u w:val="single"/>
        </w:rPr>
        <w:t>Not Used</w:t>
      </w:r>
      <w:r>
        <w:fldChar w:fldCharType="begin"/>
      </w:r>
      <w:r>
        <w:rPr/>
        <w:instrText xml:space="preserve"> TC "3.13  Not Used " \l 2 </w:instrText>
      </w:r>
      <w:r>
        <w:rPr/>
        <w:fldChar w:fldCharType="separate"/>
      </w:r>
      <w:r>
        <w:rPr/>
      </w:r>
      <w:r>
        <w:rPr/>
        <w:fldChar w:fldCharType="end"/>
      </w:r>
      <w:bookmarkStart w:id="19" w:name="__RefHeading___Toc497800377"/>
      <w:bookmarkEnd w:id="1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  </w:t>
      </w:r>
      <w:r>
        <w:rPr>
          <w:rFonts w:cs="Times New Roman" w:ascii="Times New Roman" w:hAnsi="Times New Roman"/>
          <w:sz w:val="22"/>
          <w:u w:val="single"/>
        </w:rPr>
        <w:t>Spare Parts</w:t>
      </w:r>
      <w:r>
        <w:fldChar w:fldCharType="begin"/>
      </w:r>
      <w:r>
        <w:rPr/>
        <w:instrText xml:space="preserve"> TC "3.14  Spare Parts" \l 2 </w:instrText>
      </w:r>
      <w:r>
        <w:rPr/>
        <w:fldChar w:fldCharType="separate"/>
      </w:r>
      <w:r>
        <w:rPr/>
      </w:r>
      <w:r>
        <w:rPr/>
        <w:fldChar w:fldCharType="end"/>
      </w:r>
      <w:bookmarkStart w:id="20" w:name="__RefHeading___Toc497800378"/>
      <w:bookmarkEnd w:id="20"/>
      <w:r>
        <w:rPr>
          <w:rFonts w:cs="Times New Roman" w:ascii="Times New Roman" w:hAnsi="Times New Roman"/>
          <w:sz w:val="22"/>
        </w:rPr>
        <w:t>.[FCE to provide suggestions on this section. Concept is to provide a conceptual/functional list with not to exceed pricing for budget purposes. The price list will be firm for (12) months after order.]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3.14.1   </w:t>
      </w:r>
      <w:r>
        <w:rPr>
          <w:rFonts w:cs="Times New Roman" w:ascii="Times New Roman" w:hAnsi="Times New Roman"/>
          <w:sz w:val="22"/>
          <w:u w:val="single"/>
        </w:rPr>
        <w:t>Commissioning Spares</w:t>
      </w:r>
      <w:r>
        <w:fldChar w:fldCharType="begin"/>
      </w:r>
      <w:r>
        <w:rPr/>
        <w:instrText xml:space="preserve"> TC "3.14.1   Commissioning Spares" \l 3 </w:instrText>
      </w:r>
      <w:r>
        <w:rPr/>
        <w:fldChar w:fldCharType="separate"/>
      </w:r>
      <w:r>
        <w:rPr/>
      </w:r>
      <w:r>
        <w:rPr/>
        <w:fldChar w:fldCharType="end"/>
      </w:r>
      <w:bookmarkStart w:id="21" w:name="__RefHeading___Toc497800379"/>
      <w:bookmarkEnd w:id="21"/>
      <w:r>
        <w:rPr>
          <w:rFonts w:cs="Times New Roman" w:ascii="Times New Roman" w:hAnsi="Times New Roman"/>
          <w:sz w:val="22"/>
        </w:rPr>
        <w:t>.  Seller’s representative price list of start-up and commissioning spares and a representative list of special tools needed during start-up and commissioning are set forth in Exhibit M.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3.14.2   </w:t>
      </w:r>
      <w:r>
        <w:rPr>
          <w:rFonts w:cs="Times New Roman" w:ascii="Times New Roman" w:hAnsi="Times New Roman"/>
          <w:sz w:val="22"/>
          <w:u w:val="single"/>
        </w:rPr>
        <w:t>O &amp; M Spare Parts</w:t>
      </w:r>
      <w:r>
        <w:fldChar w:fldCharType="begin"/>
      </w:r>
      <w:r>
        <w:rPr/>
        <w:instrText xml:space="preserve"> TC "3.14.2   O &amp; M Spare Parts" \l 3 </w:instrText>
      </w:r>
      <w:r>
        <w:rPr/>
        <w:fldChar w:fldCharType="separate"/>
      </w:r>
      <w:r>
        <w:rPr/>
      </w:r>
      <w:r>
        <w:rPr/>
        <w:fldChar w:fldCharType="end"/>
      </w:r>
      <w:bookmarkStart w:id="22" w:name="__RefHeading___Toc497800380"/>
      <w:bookmarkEnd w:id="22"/>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3.14.2.1   </w:t>
      </w:r>
      <w:r>
        <w:rPr>
          <w:rFonts w:cs="Times New Roman" w:ascii="Times New Roman" w:hAnsi="Times New Roman"/>
          <w:sz w:val="22"/>
          <w:u w:val="single"/>
        </w:rPr>
        <w:t>O &amp; M Spare Parts</w:t>
      </w:r>
      <w:r>
        <w:fldChar w:fldCharType="begin"/>
      </w:r>
      <w:r>
        <w:rPr/>
        <w:instrText xml:space="preserve"> TC "3.14.2.1   O &amp; M Spare Parts" \l 3 </w:instrText>
      </w:r>
      <w:r>
        <w:rPr/>
        <w:fldChar w:fldCharType="separate"/>
      </w:r>
      <w:r>
        <w:rPr/>
      </w:r>
      <w:r>
        <w:rPr/>
        <w:fldChar w:fldCharType="end"/>
      </w:r>
      <w:bookmarkStart w:id="23" w:name="__RefHeading___Toc497800381"/>
      <w:bookmarkEnd w:id="23"/>
      <w:r>
        <w:rPr>
          <w:rFonts w:cs="Times New Roman" w:ascii="Times New Roman" w:hAnsi="Times New Roman"/>
          <w:sz w:val="22"/>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3.14.2.2   </w:t>
      </w:r>
      <w:r>
        <w:rPr>
          <w:rFonts w:cs="Times New Roman" w:ascii="Times New Roman" w:hAnsi="Times New Roman"/>
          <w:sz w:val="22"/>
          <w:u w:val="single"/>
        </w:rPr>
        <w:t>Purchase of O &amp; M Spare Parts</w:t>
      </w:r>
      <w:r>
        <w:fldChar w:fldCharType="begin"/>
      </w:r>
      <w:r>
        <w:rPr/>
        <w:instrText xml:space="preserve"> TC "3.14.2.2   Purchase of O &amp; M Spare Parts" \l 3 </w:instrText>
      </w:r>
      <w:r>
        <w:rPr/>
        <w:fldChar w:fldCharType="separate"/>
      </w:r>
      <w:r>
        <w:rPr/>
      </w:r>
      <w:r>
        <w:rPr/>
        <w:fldChar w:fldCharType="end"/>
      </w:r>
      <w:bookmarkStart w:id="24" w:name="__RefHeading___Toc497800382"/>
      <w:bookmarkEnd w:id="24"/>
      <w:r>
        <w:rPr>
          <w:rFonts w:cs="Times New Roman" w:ascii="Times New Roman" w:hAnsi="Times New Roman"/>
          <w:sz w:val="22"/>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710" w:start="1710" w:end="0"/>
        <w:jc w:val="both"/>
        <w:rPr/>
      </w:pPr>
      <w:r>
        <w:rPr>
          <w:rFonts w:cs="Times New Roman" w:ascii="Times New Roman" w:hAnsi="Times New Roman"/>
          <w:sz w:val="22"/>
        </w:rPr>
        <w:tab/>
        <w:t xml:space="preserve">3.14.2.3   </w:t>
      </w:r>
      <w:r>
        <w:rPr>
          <w:rFonts w:cs="Times New Roman" w:ascii="Times New Roman" w:hAnsi="Times New Roman"/>
          <w:sz w:val="22"/>
          <w:u w:val="single"/>
        </w:rPr>
        <w:t>Delivery of O &amp; M Spare Parts</w:t>
      </w:r>
      <w:r>
        <w:fldChar w:fldCharType="begin"/>
      </w:r>
      <w:r>
        <w:rPr/>
        <w:instrText xml:space="preserve"> TC "3.14.2.3   Delivery of O &amp; M Spare Parts" \l 3 </w:instrText>
      </w:r>
      <w:r>
        <w:rPr/>
        <w:fldChar w:fldCharType="separate"/>
      </w:r>
      <w:r>
        <w:rPr/>
      </w:r>
      <w:r>
        <w:rPr/>
        <w:fldChar w:fldCharType="end"/>
      </w:r>
      <w:bookmarkStart w:id="25" w:name="__RefHeading___Toc497800383"/>
      <w:bookmarkEnd w:id="25"/>
      <w:r>
        <w:rPr>
          <w:rFonts w:cs="Times New Roman" w:ascii="Times New Roman" w:hAnsi="Times New Roman"/>
          <w:sz w:val="22"/>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Normal"/>
        <w:widowControl/>
        <w:tabs>
          <w:tab w:val="clear" w:pos="720"/>
          <w:tab w:val="left" w:pos="-1440" w:leader="none"/>
        </w:tabs>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tabs>
          <w:tab w:val="clear" w:pos="720"/>
          <w:tab w:val="left" w:pos="-1440" w:leader="none"/>
        </w:tabs>
        <w:spacing w:lineRule="auto" w:line="300"/>
        <w:ind w:hanging="990" w:start="1710" w:end="0"/>
        <w:jc w:val="both"/>
        <w:rPr/>
      </w:pPr>
      <w:r>
        <w:rPr>
          <w:rFonts w:cs="Times New Roman" w:ascii="Times New Roman" w:hAnsi="Times New Roman"/>
          <w:sz w:val="22"/>
        </w:rPr>
        <w:t xml:space="preserve">3.14.2.4  </w:t>
      </w:r>
      <w:r>
        <w:rPr>
          <w:rFonts w:cs="Times New Roman" w:ascii="Times New Roman" w:hAnsi="Times New Roman"/>
          <w:sz w:val="22"/>
          <w:u w:val="single"/>
        </w:rPr>
        <w:t>Use of O &amp; M Spare Parts</w:t>
      </w:r>
      <w:r>
        <w:fldChar w:fldCharType="begin"/>
      </w:r>
      <w:r>
        <w:rPr/>
        <w:instrText xml:space="preserve"> TC "3.14.2.4   Use of O &amp; M Spare Parts" \l 3 </w:instrText>
      </w:r>
      <w:r>
        <w:rPr/>
        <w:fldChar w:fldCharType="separate"/>
      </w:r>
      <w:r>
        <w:rPr/>
      </w:r>
      <w:r>
        <w:rPr/>
        <w:fldChar w:fldCharType="end"/>
      </w:r>
      <w:bookmarkStart w:id="26" w:name="__RefHeading___Toc497800384"/>
      <w:bookmarkEnd w:id="26"/>
      <w:r>
        <w:rPr>
          <w:rFonts w:cs="Times New Roman" w:ascii="Times New Roman" w:hAnsi="Times New Roman"/>
          <w:sz w:val="22"/>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z w:val="22"/>
        </w:rPr>
        <w:t xml:space="preserve">3.15  </w:t>
      </w:r>
      <w:r>
        <w:rPr>
          <w:rFonts w:cs="Times New Roman" w:ascii="Times New Roman" w:hAnsi="Times New Roman"/>
          <w:sz w:val="22"/>
          <w:u w:val="single"/>
        </w:rPr>
        <w:t>Key Personnel</w:t>
      </w:r>
      <w:r>
        <w:fldChar w:fldCharType="begin"/>
      </w:r>
      <w:r>
        <w:rPr/>
        <w:instrText xml:space="preserve"> TC "3.15  Key Personnel" \l 2 </w:instrText>
      </w:r>
      <w:r>
        <w:rPr/>
        <w:fldChar w:fldCharType="separate"/>
      </w:r>
      <w:r>
        <w:rPr/>
      </w:r>
      <w:r>
        <w:rPr/>
        <w:fldChar w:fldCharType="end"/>
      </w:r>
      <w:bookmarkStart w:id="27" w:name="__RefHeading___Toc497800385"/>
      <w:bookmarkEnd w:id="27"/>
      <w:r>
        <w:rPr>
          <w:rFonts w:cs="Times New Roman" w:ascii="Times New Roman" w:hAnsi="Times New Roman"/>
          <w:sz w:val="22"/>
        </w:rPr>
        <w:t>.  Seller shall provide Purchaser with resumes for the Project Manager and Site Manager.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Normal"/>
        <w:widowControl/>
        <w:spacing w:lineRule="auto" w:line="300"/>
        <w:jc w:val="both"/>
        <w:rPr>
          <w:rFonts w:ascii="Times New Roman" w:hAnsi="Times New Roman" w:cs="Times New Roman"/>
          <w:spacing w:val="-2"/>
          <w:sz w:val="22"/>
        </w:rPr>
      </w:pPr>
      <w:r>
        <w:rPr>
          <w:rFonts w:cs="Times New Roman" w:ascii="Times New Roman" w:hAnsi="Times New Roman"/>
          <w:spacing w:val="-2"/>
          <w:sz w:val="22"/>
        </w:rPr>
      </w:r>
    </w:p>
    <w:p>
      <w:pPr>
        <w:pStyle w:val="Normal"/>
        <w:widowControl/>
        <w:tabs>
          <w:tab w:val="clear" w:pos="720"/>
          <w:tab w:val="left" w:pos="-1440" w:leader="none"/>
          <w:tab w:val="left" w:pos="0" w:leader="none"/>
          <w:tab w:val="left" w:pos="180" w:leader="none"/>
        </w:tabs>
        <w:spacing w:lineRule="auto" w:line="300"/>
        <w:ind w:hanging="720" w:start="9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IV.  </w:t>
      </w:r>
      <w:r>
        <w:rPr>
          <w:rFonts w:cs="Times New Roman" w:ascii="Times New Roman" w:hAnsi="Times New Roman"/>
          <w:sz w:val="22"/>
          <w:u w:val="single"/>
        </w:rPr>
        <w:t>REPRESENTATIONS AND WARRANTIES</w:t>
      </w:r>
      <w:r>
        <w:fldChar w:fldCharType="begin"/>
      </w:r>
      <w:r>
        <w:rPr/>
        <w:instrText xml:space="preserve"> TC "ARTICLE IV.  REPRESENTATIONS AND WARRANTIES" \l 1 </w:instrText>
      </w:r>
      <w:r>
        <w:rPr/>
        <w:fldChar w:fldCharType="separate"/>
      </w:r>
      <w:r>
        <w:rPr/>
      </w:r>
      <w:r>
        <w:rPr/>
        <w:fldChar w:fldCharType="end"/>
      </w:r>
      <w:bookmarkStart w:id="28" w:name="__RefHeading___Toc497800386"/>
      <w:bookmarkEnd w:id="2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4.1   </w:t>
      </w:r>
      <w:r>
        <w:rPr>
          <w:rFonts w:cs="Times New Roman" w:ascii="Times New Roman" w:hAnsi="Times New Roman"/>
          <w:sz w:val="22"/>
          <w:u w:val="single"/>
        </w:rPr>
        <w:t>Representations and Warranties of Purchaser</w:t>
      </w:r>
      <w:r>
        <w:fldChar w:fldCharType="begin"/>
      </w:r>
      <w:r>
        <w:rPr/>
        <w:instrText xml:space="preserve"> TC "4.1   Representations and Warranties of Purchaser" \l 2 </w:instrText>
      </w:r>
      <w:r>
        <w:rPr/>
        <w:fldChar w:fldCharType="separate"/>
      </w:r>
      <w:r>
        <w:rPr/>
      </w:r>
      <w:r>
        <w:rPr/>
        <w:fldChar w:fldCharType="end"/>
      </w:r>
      <w:bookmarkStart w:id="29" w:name="__RefHeading___Toc497800387"/>
      <w:bookmarkEnd w:id="29"/>
      <w:r>
        <w:rPr>
          <w:rFonts w:cs="Times New Roman" w:ascii="Times New Roman" w:hAnsi="Times New Roman"/>
          <w:sz w:val="22"/>
        </w:rPr>
        <w:t>.  Purchaser makes the following representations and warranties to Seller,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(a)</w:t>
        <w:tab/>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(b)</w:t>
        <w:tab/>
        <w:tab/>
        <w:t>Purchaser's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Purchaser's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(c)</w:t>
        <w:tab/>
        <w:tab/>
        <w:t>Purchaser is not in breach of, in default under, or in violation of, any Applicable Laws, or the provisions of its articles of incorporation or by</w:t>
        <w:noBreakHyphen/>
        <w:t>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(d)</w:t>
        <w:tab/>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4.2   </w:t>
      </w:r>
      <w:r>
        <w:rPr>
          <w:rFonts w:cs="Times New Roman" w:ascii="Times New Roman" w:hAnsi="Times New Roman"/>
          <w:sz w:val="22"/>
          <w:u w:val="single"/>
        </w:rPr>
        <w:t>Purchaser Supplied Information</w:t>
      </w:r>
      <w:r>
        <w:fldChar w:fldCharType="begin"/>
      </w:r>
      <w:r>
        <w:rPr/>
        <w:instrText xml:space="preserve"> TC "4.2   Purchaser Supplied Information" \l 2 </w:instrText>
      </w:r>
      <w:r>
        <w:rPr/>
        <w:fldChar w:fldCharType="separate"/>
      </w:r>
      <w:r>
        <w:rPr/>
      </w:r>
      <w:r>
        <w:rPr/>
        <w:fldChar w:fldCharType="end"/>
      </w:r>
      <w:bookmarkStart w:id="30" w:name="__RefHeading___Toc497800388"/>
      <w:bookmarkEnd w:id="30"/>
      <w:r>
        <w:rPr>
          <w:rFonts w:cs="Times New Roman" w:ascii="Times New Roman" w:hAnsi="Times New Roman"/>
          <w:sz w:val="22"/>
        </w:rPr>
        <w:t xml:space="preserve">.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4.3   </w:t>
      </w:r>
      <w:r>
        <w:rPr>
          <w:rFonts w:cs="Times New Roman" w:ascii="Times New Roman" w:hAnsi="Times New Roman"/>
          <w:sz w:val="22"/>
          <w:u w:val="single"/>
        </w:rPr>
        <w:t>Representations and Warranties of Seller</w:t>
      </w:r>
      <w:r>
        <w:fldChar w:fldCharType="begin"/>
      </w:r>
      <w:r>
        <w:rPr/>
        <w:instrText xml:space="preserve"> TC "4.3   Representations and Warranties of Seller" \l 2 </w:instrText>
      </w:r>
      <w:r>
        <w:rPr/>
        <w:fldChar w:fldCharType="separate"/>
      </w:r>
      <w:r>
        <w:rPr/>
      </w:r>
      <w:r>
        <w:rPr/>
        <w:fldChar w:fldCharType="end"/>
      </w:r>
      <w:bookmarkStart w:id="31" w:name="__RefHeading___Toc497800389"/>
      <w:bookmarkEnd w:id="31"/>
      <w:r>
        <w:rPr>
          <w:rFonts w:cs="Times New Roman" w:ascii="Times New Roman" w:hAnsi="Times New Roman"/>
          <w:sz w:val="22"/>
        </w:rPr>
        <w:t>.  Seller makes the following representations and warranties to Purchaser, each of which is true and correct on the date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(e)</w:t>
        <w:tab/>
        <w:t>Seller will use its skill, efforts and judgment to further the interests of Purchaser, to furnish efficient business administration and supervision, and to furnish at all times an adequate supply of workers and materials;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(f)</w:t>
        <w:tab/>
        <w:t xml:space="preserve">Seller has the right and authority to convey and grant all the rights of ownership in the Equipment;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(g)</w:t>
        <w:tab/>
        <w:t xml:space="preserve">All services, equipment, documentation, materials and information, presented to Purchaser for acceptance hereunder are complete, and accurate, and meet the requirements of this Agreement; </w:t>
      </w:r>
    </w:p>
    <w:p>
      <w:pPr>
        <w:pStyle w:val="Normal"/>
        <w:widowControl/>
        <w:spacing w:lineRule="auto" w:line="300"/>
        <w:jc w:val="both"/>
        <w:rPr>
          <w:rFonts w:ascii="Times New Roman" w:hAnsi="Times New Roman" w:cs="Times New Roman"/>
          <w:b/>
          <w:bCs/>
          <w:i/>
          <w:i/>
          <w:iCs/>
          <w:sz w:val="22"/>
        </w:rPr>
      </w:pPr>
      <w:r>
        <w:rPr>
          <w:rFonts w:cs="Times New Roman" w:ascii="Times New Roman" w:hAnsi="Times New Roman"/>
          <w:b/>
          <w:bCs/>
          <w:i/>
          <w:iCs/>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(h)</w:t>
        <w:tab/>
        <w:t xml:space="preserve">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(i)</w:t>
        <w:tab/>
        <w:t>Any and all hardware, software and firmware product delivered (as a component of a system, part of a piece of equipment, or as a stand alone item) under this Agreement shall be able to:</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10"/>
        </w:numPr>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clear" w:pos="720"/>
          <w:tab w:val="left" w:pos="-1440" w:leader="none"/>
        </w:tabs>
        <w:spacing w:lineRule="auto" w:line="300"/>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(2)</w:t>
        <w:tab/>
        <w:t>respond to and process two digit year input without creating any ambiguity as to the century;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2160" w:end="0"/>
        <w:jc w:val="both"/>
        <w:rPr>
          <w:rFonts w:ascii="Times New Roman" w:hAnsi="Times New Roman" w:cs="Times New Roman"/>
          <w:sz w:val="22"/>
        </w:rPr>
      </w:pPr>
      <w:r>
        <w:rPr>
          <w:rFonts w:cs="Times New Roman" w:ascii="Times New Roman" w:hAnsi="Times New Roman"/>
          <w:sz w:val="22"/>
        </w:rPr>
        <w:t>(3)</w:t>
        <w:tab/>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hanging="720" w:start="1440" w:end="0"/>
        <w:rPr>
          <w:rFonts w:ascii="Times New Roman" w:hAnsi="Times New Roman" w:cs="Times New Roman"/>
          <w:sz w:val="22"/>
        </w:rPr>
      </w:pPr>
      <w:r>
        <w:rPr>
          <w:rFonts w:cs="Times New Roman" w:ascii="Times New Roman" w:hAnsi="Times New Roman"/>
          <w:sz w:val="22"/>
        </w:rPr>
        <w:t>(j)</w:t>
        <w:tab/>
        <w:t>Seller has the manufacturing capacity to meet the requirements of this Agreement and a Release thereunder, and shall identify manufacturing slots for any Equipment ordered in accordance with the terms of this Agreement and the Project Management Plan, and will devote sufficient resources to meet the requirements of this Agreement, including the Project Schedule.</w:t>
      </w:r>
      <w:r>
        <w:br w:type="page"/>
      </w:r>
    </w:p>
    <w:p>
      <w:pPr>
        <w:pStyle w:val="Normal"/>
        <w:widowControl/>
        <w:spacing w:lineRule="auto" w:line="300"/>
        <w:ind w:start="1440" w:end="0"/>
        <w:rPr>
          <w:rFonts w:ascii="Times New Roman" w:hAnsi="Times New Roman" w:cs="Times New Roman"/>
          <w:sz w:val="22"/>
          <w:u w:val="single"/>
        </w:rPr>
      </w:pPr>
      <w:r>
        <w:rPr>
          <w:rFonts w:cs="Times New Roman" w:ascii="Times New Roman" w:hAnsi="Times New Roman"/>
          <w:sz w:val="22"/>
        </w:rPr>
        <w:t xml:space="preserve">ARTICLE V.  </w:t>
      </w:r>
      <w:r>
        <w:rPr>
          <w:rFonts w:cs="Times New Roman" w:ascii="Times New Roman" w:hAnsi="Times New Roman"/>
          <w:sz w:val="22"/>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bookmarkStart w:id="32" w:name="__RefHeading___Toc497800390"/>
      <w:bookmarkEnd w:id="32"/>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5.1   </w:t>
      </w:r>
      <w:r>
        <w:rPr>
          <w:rFonts w:cs="Times New Roman" w:ascii="Times New Roman" w:hAnsi="Times New Roman"/>
          <w:sz w:val="22"/>
          <w:u w:val="single"/>
        </w:rPr>
        <w:t>Purchase Amount</w:t>
      </w:r>
      <w:r>
        <w:fldChar w:fldCharType="begin"/>
      </w:r>
      <w:r>
        <w:rPr/>
        <w:instrText xml:space="preserve"> TC "5.1   Purchase Amount" \l 2 </w:instrText>
      </w:r>
      <w:r>
        <w:rPr/>
        <w:fldChar w:fldCharType="separate"/>
      </w:r>
      <w:r>
        <w:rPr/>
      </w:r>
      <w:r>
        <w:rPr/>
        <w:fldChar w:fldCharType="end"/>
      </w:r>
      <w:bookmarkStart w:id="33" w:name="__RefHeading___Toc497800391"/>
      <w:bookmarkEnd w:id="33"/>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5.1.1   </w:t>
      </w:r>
      <w:r>
        <w:rPr>
          <w:rFonts w:cs="Times New Roman" w:ascii="Times New Roman" w:hAnsi="Times New Roman"/>
          <w:sz w:val="22"/>
          <w:u w:val="single"/>
        </w:rPr>
        <w:t>Purchase Amount</w:t>
      </w:r>
      <w:r>
        <w:fldChar w:fldCharType="begin"/>
      </w:r>
      <w:r>
        <w:rPr/>
        <w:instrText xml:space="preserve"> TC "5.1.1   Purchase Amount" \l 3 </w:instrText>
      </w:r>
      <w:r>
        <w:rPr/>
        <w:fldChar w:fldCharType="separate"/>
      </w:r>
      <w:r>
        <w:rPr/>
      </w:r>
      <w:r>
        <w:rPr/>
        <w:fldChar w:fldCharType="end"/>
      </w:r>
      <w:bookmarkStart w:id="34" w:name="__RefHeading___Toc497800392"/>
      <w:bookmarkEnd w:id="34"/>
      <w:r>
        <w:rPr>
          <w:rFonts w:cs="Times New Roman" w:ascii="Times New Roman" w:hAnsi="Times New Roman"/>
          <w:sz w:val="22"/>
        </w:rPr>
        <w:t>.  The purchase amount for the Equipment and their associated services shall be as stated in Exhibit A (the "Purchase Amount"), which is fixed and not subject to escalation for any Release submitted prior to March 1, 2001. The Purchase Amount for any Release submitted after March 1, 2001 shall be as agreed at or before the time of the Release. The Purchase Amount shall be complete compensation for Seller to perform its obligations under this Agreement, with the exception of the cost of any replacement modules under Section 14.4 (“Stack Purchase Amount”) and shipping charges.  Shipping charges shall be invoiced at the lesser of the actual cost or $87,000 per Unit (“Shipping Charge”).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   </w:t>
      </w:r>
      <w:r>
        <w:rPr>
          <w:rFonts w:cs="Times New Roman" w:ascii="Times New Roman" w:hAnsi="Times New Roman"/>
          <w:sz w:val="22"/>
          <w:u w:val="single"/>
        </w:rPr>
        <w:t>Taxes and Contributions</w:t>
      </w:r>
      <w:r>
        <w:fldChar w:fldCharType="begin"/>
      </w:r>
      <w:r>
        <w:rPr/>
        <w:instrText xml:space="preserve"> TC "5.2   Taxes and Contributions" \l 2 </w:instrText>
      </w:r>
      <w:r>
        <w:rPr/>
        <w:fldChar w:fldCharType="separate"/>
      </w:r>
      <w:r>
        <w:rPr/>
      </w:r>
      <w:r>
        <w:rPr/>
        <w:fldChar w:fldCharType="end"/>
      </w:r>
      <w:bookmarkStart w:id="35" w:name="__RefHeading___Toc497800393"/>
      <w:bookmarkEnd w:id="35"/>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5.2.1   </w:t>
      </w:r>
      <w:r>
        <w:rPr>
          <w:rFonts w:cs="Times New Roman" w:ascii="Times New Roman" w:hAnsi="Times New Roman"/>
          <w:sz w:val="22"/>
          <w:u w:val="single"/>
        </w:rPr>
        <w:t>Seller’s Responsibility for Personnel Taxes</w:t>
      </w:r>
      <w:r>
        <w:fldChar w:fldCharType="begin"/>
      </w:r>
      <w:r>
        <w:rPr/>
        <w:instrText xml:space="preserve"> TC "5.2.1   Seller Responsibility for Personnel Taxes" \l 3 </w:instrText>
      </w:r>
      <w:r>
        <w:rPr/>
        <w:fldChar w:fldCharType="separate"/>
      </w:r>
      <w:r>
        <w:rPr/>
      </w:r>
      <w:r>
        <w:rPr/>
        <w:fldChar w:fldCharType="end"/>
      </w:r>
      <w:bookmarkStart w:id="36" w:name="__RefHeading___Toc497800394"/>
      <w:bookmarkEnd w:id="36"/>
      <w:r>
        <w:rPr>
          <w:rFonts w:cs="Times New Roman" w:ascii="Times New Roman" w:hAnsi="Times New Roman"/>
          <w:sz w:val="22"/>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and the Warranty.  Seller acknowledges that Purchaser has no responsibility for such taxes as they apply to Seller, Seller’s employees or the employees of Vendors.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5.2.2   </w:t>
      </w:r>
      <w:r>
        <w:rPr>
          <w:rFonts w:cs="Times New Roman" w:ascii="Times New Roman" w:hAnsi="Times New Roman"/>
          <w:sz w:val="22"/>
          <w:u w:val="single"/>
        </w:rPr>
        <w:t>Seller’s Responsibility for Taxes</w:t>
      </w:r>
      <w:r>
        <w:fldChar w:fldCharType="begin"/>
      </w:r>
      <w:r>
        <w:rPr/>
        <w:instrText xml:space="preserve"> TC "5.2.2   Seller’s Responsibility for Taxes" \l 3 </w:instrText>
      </w:r>
      <w:r>
        <w:rPr/>
        <w:fldChar w:fldCharType="separate"/>
      </w:r>
      <w:r>
        <w:rPr/>
      </w:r>
      <w:r>
        <w:rPr/>
        <w:fldChar w:fldCharType="end"/>
      </w:r>
      <w:bookmarkStart w:id="37" w:name="__RefHeading___Toc497800395"/>
      <w:bookmarkEnd w:id="37"/>
      <w:r>
        <w:rPr>
          <w:rFonts w:cs="Times New Roman" w:ascii="Times New Roman" w:hAnsi="Times New Roman"/>
          <w:sz w:val="22"/>
        </w:rPr>
        <w:t>. Except as set forth herein, Seller is responsible for taxes arising out of its performance of the Work including import duties (if any), harbor taxes, personal and corporate taxes.  The Purchase Amount and Stack Purchase Amount excludes any US federal, state or local jurisdiction imposed property,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Should Purchaser be exempted from any such tax it shall provide Seller with certification prior to transfer of title of such Work, or at the time the certification is obtained, whichever first occurs.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5.2.3   </w:t>
      </w:r>
      <w:r>
        <w:rPr>
          <w:rFonts w:cs="Times New Roman" w:ascii="Times New Roman" w:hAnsi="Times New Roman"/>
          <w:sz w:val="22"/>
          <w:u w:val="single"/>
        </w:rPr>
        <w:t xml:space="preserve"> Intentionally Deleted</w:t>
      </w:r>
      <w:r>
        <w:rPr>
          <w:rFonts w:cs="Times New Roman" w:ascii="Times New Roman" w:hAnsi="Times New Roman"/>
          <w:sz w:val="22"/>
        </w:rPr>
        <w:t>.</w:t>
      </w:r>
      <w:r>
        <w:fldChar w:fldCharType="begin"/>
      </w:r>
      <w:r>
        <w:rPr/>
        <w:instrText xml:space="preserve"> TC "5.2.3   Not Used" \l 3 </w:instrText>
      </w:r>
      <w:r>
        <w:rPr/>
        <w:fldChar w:fldCharType="separate"/>
      </w:r>
      <w:r>
        <w:rPr/>
      </w:r>
      <w:r>
        <w:rPr/>
        <w:fldChar w:fldCharType="end"/>
      </w:r>
      <w:bookmarkStart w:id="38" w:name="__RefHeading___Toc497800396"/>
      <w:bookmarkEnd w:id="3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5.2.4   </w:t>
      </w:r>
      <w:r>
        <w:rPr>
          <w:rFonts w:cs="Times New Roman" w:ascii="Times New Roman" w:hAnsi="Times New Roman"/>
          <w:sz w:val="22"/>
          <w:u w:val="single"/>
        </w:rPr>
        <w:t>Tax Penalties</w:t>
      </w:r>
      <w:r>
        <w:fldChar w:fldCharType="begin"/>
      </w:r>
      <w:r>
        <w:rPr/>
        <w:instrText xml:space="preserve"> TC "5.2.4   Tax Penalties" \l 3 </w:instrText>
      </w:r>
      <w:r>
        <w:rPr/>
        <w:fldChar w:fldCharType="separate"/>
      </w:r>
      <w:r>
        <w:rPr/>
      </w:r>
      <w:r>
        <w:rPr/>
        <w:fldChar w:fldCharType="end"/>
      </w:r>
      <w:bookmarkStart w:id="39" w:name="__RefHeading___Toc497800397"/>
      <w:bookmarkEnd w:id="39"/>
      <w:r>
        <w:rPr>
          <w:rFonts w:cs="Times New Roman" w:ascii="Times New Roman" w:hAnsi="Times New Roman"/>
          <w:sz w:val="22"/>
        </w:rPr>
        <w:t>. Each party agrees to timely pay any tax, interest, penalty, fines, costs, losses and expenses (including, without limitation, court costs and attorney’s fees) of whatever kind, which said party is required to pay in accordance with this Agreement. Each party shall indemnity the other for any which the other party may incur , be required by law to pay, or be liable for as a result of, arising from, in connection with, related to or based on any failure to withhold any amounts from any payments made or any amounts which the responsible party  fails to pay in connection with, as a result of, arising from or based on the Scope of Work  or otherwise comply with this Section 5.</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5.3   </w:t>
      </w:r>
      <w:r>
        <w:rPr>
          <w:rFonts w:cs="Times New Roman" w:ascii="Times New Roman" w:hAnsi="Times New Roman"/>
          <w:sz w:val="22"/>
          <w:u w:val="single"/>
        </w:rPr>
        <w:t>Increases to the Purchase Amount</w:t>
      </w:r>
      <w:r>
        <w:fldChar w:fldCharType="begin"/>
      </w:r>
      <w:r>
        <w:rPr/>
        <w:instrText xml:space="preserve"> TC "5.3   Changes to the Purchase Amount" \l 2 </w:instrText>
      </w:r>
      <w:r>
        <w:rPr/>
        <w:fldChar w:fldCharType="separate"/>
      </w:r>
      <w:r>
        <w:rPr/>
      </w:r>
      <w:r>
        <w:rPr/>
        <w:fldChar w:fldCharType="end"/>
      </w:r>
      <w:bookmarkStart w:id="40" w:name="__RefHeading___Toc497800398"/>
      <w:bookmarkEnd w:id="40"/>
      <w:r>
        <w:rPr>
          <w:rFonts w:cs="Times New Roman" w:ascii="Times New Roman" w:hAnsi="Times New Roman"/>
          <w:sz w:val="22"/>
        </w:rPr>
        <w:t>. After Release, the Purchase Amount may only be increased by Change Order pursuant to Article XI. Seller’s entitlement to an increase in the Purchase Amount shall be conditional upon: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used reasonable endeavors to mitigate the cost increase (except for Purchaser’s exercise of options);</w:t>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Seller having given notice in accordance with the terms of this Agreement; and</w:t>
      </w:r>
    </w:p>
    <w:p>
      <w:pPr>
        <w:pStyle w:val="Normal"/>
        <w:widowControl/>
        <w:numPr>
          <w:ilvl w:val="0"/>
          <w:numId w:val="3"/>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the cost increase not being attributable to Seller’s default.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5.4   </w:t>
      </w:r>
      <w:r>
        <w:rPr>
          <w:rFonts w:cs="Times New Roman" w:ascii="Times New Roman" w:hAnsi="Times New Roman"/>
          <w:sz w:val="22"/>
          <w:u w:val="single"/>
        </w:rPr>
        <w:t>Cancellation</w:t>
      </w:r>
      <w:r>
        <w:fldChar w:fldCharType="begin"/>
      </w:r>
      <w:r>
        <w:rPr/>
        <w:instrText xml:space="preserve"> TC "5.4   Cancellation" \l 2 </w:instrText>
      </w:r>
      <w:r>
        <w:rPr/>
        <w:fldChar w:fldCharType="separate"/>
      </w:r>
      <w:r>
        <w:rPr/>
      </w:r>
      <w:r>
        <w:rPr/>
        <w:fldChar w:fldCharType="end"/>
      </w:r>
      <w:bookmarkStart w:id="41" w:name="__RefHeading___Toc497800399"/>
      <w:bookmarkEnd w:id="41"/>
      <w:r>
        <w:rPr>
          <w:rFonts w:cs="Times New Roman" w:ascii="Times New Roman" w:hAnsi="Times New Roman"/>
          <w:sz w:val="22"/>
        </w:rPr>
        <w:t xml:space="preserve">. </w:t>
      </w:r>
      <w:r>
        <w:fldChar w:fldCharType="begin"/>
      </w:r>
      <w:r>
        <w:rPr/>
        <w:instrText xml:space="preserve"> TC "5.4.1   Cancellation by Purchaser" \l 3 </w:instrText>
      </w:r>
      <w:r>
        <w:rPr/>
        <w:fldChar w:fldCharType="separate"/>
      </w:r>
      <w:r>
        <w:rPr/>
      </w:r>
      <w:r>
        <w:rPr/>
        <w:fldChar w:fldCharType="end"/>
      </w:r>
      <w:bookmarkStart w:id="42" w:name="__RefHeading___Toc497800400"/>
      <w:bookmarkEnd w:id="42"/>
      <w:r>
        <w:rPr>
          <w:rFonts w:cs="Times New Roman" w:ascii="Times New Roman" w:hAnsi="Times New Roman"/>
          <w:sz w:val="22"/>
        </w:rPr>
        <w:t xml:space="preserve">Once a Unit has been included in a Release, neither party may cancel the order for the Unit for convenience.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 xml:space="preserve">. </w:t>
      </w:r>
      <w:r>
        <w:br w:type="page"/>
      </w:r>
    </w:p>
    <w:p>
      <w:pPr>
        <w:pStyle w:val="BodyText"/>
        <w:rPr>
          <w:rFonts w:ascii="Times New Roman" w:hAnsi="Times New Roman" w:cs="Times New Roman"/>
        </w:rPr>
      </w:pPr>
      <w:r>
        <w:rPr>
          <w:rFonts w:cs="Times New Roman" w:ascii="Times New Roman" w:hAnsi="Times New Roman"/>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  </w:t>
      </w:r>
      <w:r>
        <w:rPr>
          <w:rFonts w:cs="Times New Roman" w:ascii="Times New Roman" w:hAnsi="Times New Roman"/>
          <w:sz w:val="22"/>
          <w:u w:val="single"/>
        </w:rPr>
        <w:t>PAYMENT TERMS</w:t>
      </w:r>
      <w:r>
        <w:fldChar w:fldCharType="begin"/>
      </w:r>
      <w:r>
        <w:rPr/>
        <w:instrText xml:space="preserve"> TC "ARTICLE VI.  PAYMENT TERMS" \l 1 </w:instrText>
      </w:r>
      <w:r>
        <w:rPr/>
        <w:fldChar w:fldCharType="separate"/>
      </w:r>
      <w:r>
        <w:rPr/>
      </w:r>
      <w:r>
        <w:rPr/>
        <w:fldChar w:fldCharType="end"/>
      </w:r>
      <w:bookmarkStart w:id="43" w:name="__RefHeading___Toc497800401"/>
      <w:bookmarkEnd w:id="43"/>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   </w:t>
      </w:r>
      <w:r>
        <w:rPr>
          <w:rFonts w:cs="Times New Roman" w:ascii="Times New Roman" w:hAnsi="Times New Roman"/>
          <w:sz w:val="22"/>
          <w:u w:val="single"/>
        </w:rPr>
        <w:t>Payment of Purchase Amount</w:t>
      </w:r>
      <w:r>
        <w:fldChar w:fldCharType="begin"/>
      </w:r>
      <w:r>
        <w:rPr/>
        <w:instrText xml:space="preserve"> TC "6.1   Payment of Purchase Amount" \l 2 </w:instrText>
      </w:r>
      <w:r>
        <w:rPr/>
        <w:fldChar w:fldCharType="separate"/>
      </w:r>
      <w:r>
        <w:rPr/>
      </w:r>
      <w:r>
        <w:rPr/>
        <w:fldChar w:fldCharType="end"/>
      </w:r>
      <w:bookmarkStart w:id="44" w:name="__RefHeading___Toc497800402"/>
      <w:bookmarkEnd w:id="44"/>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6.1.1   </w:t>
      </w:r>
      <w:r>
        <w:rPr>
          <w:rFonts w:cs="Times New Roman" w:ascii="Times New Roman" w:hAnsi="Times New Roman"/>
          <w:sz w:val="22"/>
          <w:u w:val="single"/>
        </w:rPr>
        <w:t>Payment.</w:t>
      </w:r>
      <w:r>
        <w:fldChar w:fldCharType="begin"/>
      </w:r>
      <w:r>
        <w:rPr/>
        <w:instrText xml:space="preserve"> TC "6.1.1   Payment Periods." \l 3 </w:instrText>
      </w:r>
      <w:r>
        <w:rPr/>
        <w:fldChar w:fldCharType="separate"/>
      </w:r>
      <w:r>
        <w:rPr/>
      </w:r>
      <w:r>
        <w:rPr/>
        <w:fldChar w:fldCharType="end"/>
      </w:r>
      <w:bookmarkStart w:id="45" w:name="__RefHeading___Toc497800403"/>
      <w:bookmarkEnd w:id="45"/>
      <w:r>
        <w:rPr>
          <w:rFonts w:cs="Times New Roman" w:ascii="Times New Roman" w:hAnsi="Times New Roman"/>
          <w:sz w:val="22"/>
        </w:rPr>
        <w:t xml:space="preserve">  Upon Acceptance of a Unit, Seller shall invoice Purchaser for the Purchase Amount, Shipping Charge and/or Stack Purchase Amount (in accordance with Section 14.4) related to that Unit, including any approved Change Orders. Payment of the Purchase Price for the Unit shall be due within ten (10) days of receipt of the invoice.</w:t>
      </w:r>
    </w:p>
    <w:p>
      <w:pPr>
        <w:pStyle w:val="BodyText3"/>
        <w:tabs>
          <w:tab w:val="clear" w:pos="720"/>
          <w:tab w:val="left" w:pos="-1440" w:leader="none"/>
        </w:tabs>
        <w:spacing w:lineRule="auto" w:line="240"/>
        <w:rPr>
          <w:rFonts w:ascii="Times New Roman" w:hAnsi="Times New Roman" w:cs="Times New Roman"/>
          <w:sz w:val="22"/>
        </w:rPr>
      </w:pPr>
      <w:r>
        <w:fldChar w:fldCharType="begin"/>
      </w:r>
      <w:r>
        <w:rPr/>
        <w:instrText xml:space="preserve"> TC "6.1.4   Not Used" \l 3 </w:instrText>
      </w:r>
      <w:r>
        <w:rPr/>
        <w:fldChar w:fldCharType="separate"/>
      </w:r>
      <w:r>
        <w:rPr/>
      </w:r>
      <w:r>
        <w:rPr/>
        <w:fldChar w:fldCharType="end"/>
      </w:r>
      <w:bookmarkStart w:id="46" w:name="__RefHeading___Toc497800404"/>
      <w:bookmarkEnd w:id="46"/>
    </w:p>
    <w:p>
      <w:pPr>
        <w:pStyle w:val="Normal"/>
        <w:widowControl/>
        <w:spacing w:lineRule="auto" w:line="300"/>
        <w:jc w:val="both"/>
        <w:rPr/>
      </w:pPr>
      <w:r>
        <w:rPr>
          <w:rFonts w:cs="Times New Roman" w:ascii="Times New Roman" w:hAnsi="Times New Roman"/>
          <w:sz w:val="22"/>
        </w:rPr>
        <w:t>6.1.2</w:t>
        <w:tab/>
      </w:r>
      <w:r>
        <w:rPr>
          <w:rFonts w:cs="Times New Roman" w:ascii="Times New Roman" w:hAnsi="Times New Roman"/>
          <w:sz w:val="22"/>
          <w:u w:val="single"/>
        </w:rPr>
        <w:t>Payment for Spare Parts.</w:t>
      </w:r>
      <w:r>
        <w:rPr>
          <w:rFonts w:cs="Times New Roman" w:ascii="Times New Roman" w:hAnsi="Times New Roman"/>
          <w:sz w:val="22"/>
        </w:rPr>
        <w:t xml:space="preserve"> Payment of the O &amp; M Spare Parts Amount, to the extent Purchaser orders O&amp;M Spare Parts, shall be due and payable by Purchaser to Seller within thirty (30) days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Seller’s proper delivery of all of the O&amp;M Spare Parts to the Delivery Point in accordance with terms of the Change Order; and</w:t>
      </w:r>
    </w:p>
    <w:p>
      <w:pPr>
        <w:pStyle w:val="Normal"/>
        <w:widowControl/>
        <w:tabs>
          <w:tab w:val="clear" w:pos="720"/>
          <w:tab w:val="left" w:pos="-1440" w:leader="none"/>
        </w:tabs>
        <w:ind w:hanging="1440" w:start="2160" w:end="0"/>
        <w:jc w:val="both"/>
        <w:rPr>
          <w:rFonts w:ascii="Times New Roman" w:hAnsi="Times New Roman" w:cs="Times New Roman"/>
          <w:sz w:val="22"/>
        </w:rPr>
      </w:pPr>
      <w:r>
        <w:rPr>
          <w:rFonts w:cs="Times New Roman" w:ascii="Times New Roman" w:hAnsi="Times New Roman"/>
          <w:sz w:val="22"/>
        </w:rPr>
        <w:t>(ii)</w:t>
        <w:tab/>
        <w:t>Purchaser's receipt of a properly prepared invoice for such Spare Parts Amount.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6.2   </w:t>
      </w:r>
      <w:r>
        <w:rPr>
          <w:rFonts w:cs="Times New Roman" w:ascii="Times New Roman" w:hAnsi="Times New Roman"/>
          <w:sz w:val="22"/>
          <w:u w:val="single"/>
        </w:rPr>
        <w:t>Payment Disputes</w:t>
      </w:r>
      <w:r>
        <w:fldChar w:fldCharType="begin"/>
      </w:r>
      <w:r>
        <w:rPr/>
        <w:instrText xml:space="preserve"> TC "6.2   Payment Disputes" \l 2 </w:instrText>
      </w:r>
      <w:r>
        <w:rPr/>
        <w:fldChar w:fldCharType="separate"/>
      </w:r>
      <w:r>
        <w:rPr/>
      </w:r>
      <w:r>
        <w:rPr/>
        <w:fldChar w:fldCharType="end"/>
      </w:r>
      <w:bookmarkStart w:id="47" w:name="__RefHeading___Toc497800405"/>
      <w:bookmarkEnd w:id="47"/>
      <w:r>
        <w:rPr>
          <w:rFonts w:cs="Times New Roman" w:ascii="Times New Roman" w:hAnsi="Times New Roman"/>
          <w:sz w:val="22"/>
        </w:rPr>
        <w:t xml:space="preserve">.  Payment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reasonable efforts to resolve all disputed amounts as soon as practicable.  Any undisputed amounts not paid when due shall bear interest at the Interest Rate.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   </w:t>
      </w:r>
      <w:r>
        <w:rPr>
          <w:rFonts w:cs="Times New Roman" w:ascii="Times New Roman" w:hAnsi="Times New Roman"/>
          <w:sz w:val="22"/>
          <w:u w:val="single"/>
        </w:rPr>
        <w:t>Payments Withheld or Offset</w:t>
      </w:r>
      <w:r>
        <w:fldChar w:fldCharType="begin"/>
      </w:r>
      <w:r>
        <w:rPr/>
        <w:instrText xml:space="preserve"> TC "6.3   Payments Withheld or Offset" \l 2 </w:instrText>
      </w:r>
      <w:r>
        <w:rPr/>
        <w:fldChar w:fldCharType="separate"/>
      </w:r>
      <w:r>
        <w:rPr/>
      </w:r>
      <w:r>
        <w:rPr/>
        <w:fldChar w:fldCharType="end"/>
      </w:r>
      <w:bookmarkStart w:id="48" w:name="__RefHeading___Toc497800406"/>
      <w:bookmarkEnd w:id="48"/>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6.3.1   </w:t>
      </w:r>
      <w:r>
        <w:rPr>
          <w:rFonts w:cs="Times New Roman" w:ascii="Times New Roman" w:hAnsi="Times New Roman"/>
          <w:sz w:val="22"/>
          <w:u w:val="single"/>
        </w:rPr>
        <w:t>Payments Withheld</w:t>
      </w:r>
      <w:r>
        <w:fldChar w:fldCharType="begin"/>
      </w:r>
      <w:r>
        <w:rPr/>
        <w:instrText xml:space="preserve"> TC "6.3.1   Payments Withheld" \l 3 </w:instrText>
      </w:r>
      <w:r>
        <w:rPr/>
        <w:fldChar w:fldCharType="separate"/>
      </w:r>
      <w:r>
        <w:rPr/>
      </w:r>
      <w:r>
        <w:rPr/>
        <w:fldChar w:fldCharType="end"/>
      </w:r>
      <w:bookmarkStart w:id="49" w:name="__RefHeading___Toc497800407"/>
      <w:bookmarkEnd w:id="49"/>
      <w:r>
        <w:rPr>
          <w:rFonts w:cs="Times New Roman" w:ascii="Times New Roman" w:hAnsi="Times New Roman"/>
          <w:sz w:val="22"/>
        </w:rPr>
        <w:t>.  Purchaser may withhold payment or a portion thereof in an amount and to such extent as may be reasonable necessary, subject to the dispute resolution provisions of Article XXVI, to protect Purchaser from loss because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defective work or Equipment not remedied pursuant to Section 9.5 or the warranty provisions of Article XIV or the failure of Seller to perform work or provide Equipment in accordance with the provisions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(c)</w:t>
        <w:tab/>
        <w:t>uninsured damage to Purchaser or Vendor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6.3.2   </w:t>
      </w:r>
      <w:r>
        <w:rPr>
          <w:rFonts w:cs="Times New Roman" w:ascii="Times New Roman" w:hAnsi="Times New Roman"/>
          <w:sz w:val="22"/>
          <w:u w:val="single"/>
        </w:rPr>
        <w:t>Payment of Subcontractors</w:t>
      </w:r>
      <w:r>
        <w:rPr>
          <w:rFonts w:cs="Times New Roman" w:ascii="Times New Roman" w:hAnsi="Times New Roman"/>
          <w:sz w:val="22"/>
        </w:rPr>
        <w:t>.</w:t>
      </w:r>
      <w:r>
        <w:fldChar w:fldCharType="begin"/>
      </w:r>
      <w:r>
        <w:rPr/>
        <w:instrText xml:space="preserve"> TC "6.3.3   Payment of Subcontractors." \l 3 </w:instrText>
      </w:r>
      <w:r>
        <w:rPr/>
        <w:fldChar w:fldCharType="separate"/>
      </w:r>
      <w:r>
        <w:rPr/>
      </w:r>
      <w:r>
        <w:rPr/>
        <w:fldChar w:fldCharType="end"/>
      </w:r>
      <w:bookmarkStart w:id="50" w:name="__RefHeading___Toc497800408"/>
      <w:bookmarkEnd w:id="50"/>
      <w:r>
        <w:rPr>
          <w:rFonts w:cs="Times New Roman" w:ascii="Times New Roman" w:hAnsi="Times New Roman"/>
          <w:sz w:val="22"/>
        </w:rPr>
        <w:t xml:space="preserve">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6.4  </w:t>
      </w:r>
      <w:r>
        <w:rPr>
          <w:rFonts w:cs="Times New Roman" w:ascii="Times New Roman" w:hAnsi="Times New Roman"/>
          <w:sz w:val="22"/>
          <w:u w:val="single"/>
        </w:rPr>
        <w:t>Purchaser Delay; Payment.</w:t>
      </w:r>
      <w:r>
        <w:rPr>
          <w:rFonts w:cs="Times New Roman" w:ascii="Times New Roman" w:hAnsi="Times New Roman"/>
          <w:sz w:val="22"/>
        </w:rPr>
        <w:t xml:space="preserve">  The following shall constitute an event or act of Purchaser Delay: (i) failing to make the site available as of the latest date allowed under this Agreement and the Final Project Schedule, assuming Seller has given notice of readiness to ship in accordance with this Agreement, (ii) changing the site to which a Unit is to be delivered after the latest time for making the change has passed, (iii) failing to commence the Performance Tests within fourteen (14) days of Installation Completion, and Purchaser’s receipt of proper notice thereof, or (iv) Purchaser failing to complete its construction obligations in accordance with the Final Project Schedule, so long as Seller has delivered the Major Components to the Site in accordance with said schedule. </w:t>
      </w:r>
      <w:r>
        <w:fldChar w:fldCharType="begin"/>
      </w:r>
      <w:r>
        <w:rPr/>
        <w:instrText xml:space="preserve"> TC "6.4   Payment of Liquidated Damages" \l 2 </w:instrText>
      </w:r>
      <w:r>
        <w:rPr/>
        <w:fldChar w:fldCharType="separate"/>
      </w:r>
      <w:r>
        <w:rPr/>
      </w:r>
      <w:r>
        <w:rPr/>
        <w:fldChar w:fldCharType="end"/>
      </w:r>
      <w:bookmarkStart w:id="51" w:name="__RefHeading___Toc497800409"/>
      <w:bookmarkEnd w:id="51"/>
      <w:r>
        <w:rPr>
          <w:rFonts w:cs="Times New Roman" w:ascii="Times New Roman" w:hAnsi="Times New Roman"/>
          <w:sz w:val="22"/>
        </w:rPr>
        <w:t xml:space="preserve">Seller shall be entitled to an extension in the Project Schedule (including the termination dates referenced in Section 17.1 (d)) for any Units for which a  Purchaser Delay directly causes the Acceptance of a Unit to be delayed, so long as Seller is in compliance with the Project Schedule. The failure to obtain necessary permits shall not constitute and event of Purchaser Delay so long as (a) Purchaser has initiated the permitting process within ninety (90) days of Release (b) the failure to obtain a permit is the result of insufficient information being provided by Seller, or (c) the Performance Standards are not acceptable to the authority issuing the permit pursuant to Section 3.12. If an event or act of Purchaser Delay continues for forty-five (45) days or more, then upon the later of one hundred and five (105) days from the Earliest Delivery Date for such Unit set forth in Exhibit ___ or the date on which all the Major Components for a Unit are delivered to the Site, Purchaser shall pay Seller the Purchase Amount for the affected Unit. Seller’s right to receive payment shall be contingent upon Seller providing five (5) days Notice of actual delay caused by the above, shall be subject to any offset permitted under this Agreement, and shall be subject to refund should the Unit fail to successfully pass the Performance Tests.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6.5   </w:t>
      </w:r>
      <w:r>
        <w:rPr>
          <w:rFonts w:cs="Times New Roman" w:ascii="Times New Roman" w:hAnsi="Times New Roman"/>
          <w:sz w:val="22"/>
          <w:u w:val="single"/>
        </w:rPr>
        <w:t>Notices of Nonpayment</w:t>
      </w:r>
      <w:r>
        <w:fldChar w:fldCharType="begin"/>
      </w:r>
      <w:r>
        <w:rPr/>
        <w:instrText xml:space="preserve"> TC "6.5   Notices of Nonpayment" \l 2 </w:instrText>
      </w:r>
      <w:r>
        <w:rPr/>
        <w:fldChar w:fldCharType="separate"/>
      </w:r>
      <w:r>
        <w:rPr/>
      </w:r>
      <w:r>
        <w:rPr/>
        <w:fldChar w:fldCharType="end"/>
      </w:r>
      <w:bookmarkStart w:id="52" w:name="__RefHeading___Toc497800410"/>
      <w:bookmarkEnd w:id="52"/>
      <w:r>
        <w:rPr>
          <w:rFonts w:cs="Times New Roman" w:ascii="Times New Roman" w:hAnsi="Times New Roman"/>
          <w:sz w:val="22"/>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notify Purchaser in writing within such thirty (30) days that Seller disputes the Vendor's claim.  Purchaser may continue to withhold such amount until Purchaser receives written notice from such Vendor that such amount has been paid in full by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6.6   </w:t>
      </w:r>
      <w:r>
        <w:rPr>
          <w:rFonts w:cs="Times New Roman" w:ascii="Times New Roman" w:hAnsi="Times New Roman"/>
          <w:sz w:val="22"/>
          <w:u w:val="single"/>
        </w:rPr>
        <w:t>Lien Release</w:t>
      </w:r>
      <w:r>
        <w:fldChar w:fldCharType="begin"/>
      </w:r>
      <w:r>
        <w:rPr/>
        <w:instrText xml:space="preserve"> TC "6.6   Lien Release" \l 2 </w:instrText>
      </w:r>
      <w:r>
        <w:rPr/>
        <w:fldChar w:fldCharType="separate"/>
      </w:r>
      <w:r>
        <w:rPr/>
      </w:r>
      <w:r>
        <w:rPr/>
        <w:fldChar w:fldCharType="end"/>
      </w:r>
      <w:bookmarkStart w:id="53" w:name="__RefHeading___Toc497800411"/>
      <w:bookmarkEnd w:id="53"/>
      <w:r>
        <w:rPr>
          <w:rFonts w:cs="Times New Roman" w:ascii="Times New Roman" w:hAnsi="Times New Roman"/>
          <w:sz w:val="22"/>
        </w:rPr>
        <w:t xml:space="preserve">.  Seller represents that all amounts reflected on invoices submitted by Seller for payment are accurate, just, due and owing under the terms of this Agreement.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and shall provide Purchaser with a lien release in conformity with [Exhibit 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      </w:t>
      </w:r>
      <w:r>
        <w:rPr>
          <w:rFonts w:cs="Times New Roman" w:ascii="Times New Roman" w:hAnsi="Times New Roman"/>
          <w:sz w:val="22"/>
          <w:u w:val="single"/>
        </w:rPr>
        <w:t>Invoices</w:t>
      </w:r>
      <w:r>
        <w:fldChar w:fldCharType="begin"/>
      </w:r>
      <w:r>
        <w:rPr/>
        <w:instrText xml:space="preserve"> TC "6.7   Invoices" \l 2 </w:instrText>
      </w:r>
      <w:r>
        <w:rPr/>
        <w:fldChar w:fldCharType="separate"/>
      </w:r>
      <w:r>
        <w:rPr/>
      </w:r>
      <w:r>
        <w:rPr/>
        <w:fldChar w:fldCharType="end"/>
      </w:r>
      <w:bookmarkStart w:id="54" w:name="__RefHeading___Toc497800412"/>
      <w:bookmarkEnd w:id="54"/>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6.7.1   </w:t>
      </w:r>
      <w:r>
        <w:rPr>
          <w:rFonts w:cs="Times New Roman" w:ascii="Times New Roman" w:hAnsi="Times New Roman"/>
          <w:sz w:val="22"/>
          <w:u w:val="single"/>
        </w:rPr>
        <w:t>Contract Reference</w:t>
      </w:r>
      <w:r>
        <w:fldChar w:fldCharType="begin"/>
      </w:r>
      <w:r>
        <w:rPr/>
        <w:instrText xml:space="preserve"> TC "6.7.1   Contract Reference" \l 3 </w:instrText>
      </w:r>
      <w:r>
        <w:rPr/>
        <w:fldChar w:fldCharType="separate"/>
      </w:r>
      <w:r>
        <w:rPr/>
      </w:r>
      <w:r>
        <w:rPr/>
        <w:fldChar w:fldCharType="end"/>
      </w:r>
      <w:bookmarkStart w:id="55" w:name="__RefHeading___Toc497800413"/>
      <w:bookmarkEnd w:id="55"/>
      <w:r>
        <w:rPr>
          <w:rFonts w:cs="Times New Roman" w:ascii="Times New Roman" w:hAnsi="Times New Roman"/>
          <w:sz w:val="22"/>
        </w:rPr>
        <w:t>.  Each invoice will reference CONTRACT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6.7.2   </w:t>
      </w:r>
      <w:r>
        <w:rPr>
          <w:rFonts w:cs="Times New Roman" w:ascii="Times New Roman" w:hAnsi="Times New Roman"/>
          <w:sz w:val="22"/>
          <w:u w:val="single"/>
        </w:rPr>
        <w:t>Address for Invoices</w:t>
      </w:r>
      <w:r>
        <w:fldChar w:fldCharType="begin"/>
      </w:r>
      <w:r>
        <w:rPr/>
        <w:instrText xml:space="preserve"> TC "6.7.2   Address for Invoices" \l 3 </w:instrText>
      </w:r>
      <w:r>
        <w:rPr/>
        <w:fldChar w:fldCharType="separate"/>
      </w:r>
      <w:r>
        <w:rPr/>
      </w:r>
      <w:r>
        <w:rPr/>
        <w:fldChar w:fldCharType="end"/>
      </w:r>
      <w:bookmarkStart w:id="56" w:name="__RefHeading___Toc497800414"/>
      <w:bookmarkEnd w:id="56"/>
      <w:r>
        <w:rPr>
          <w:rFonts w:cs="Times New Roman" w:ascii="Times New Roman" w:hAnsi="Times New Roman"/>
          <w:sz w:val="22"/>
        </w:rPr>
        <w:t>.  Invoices will be mailed or hand carried to:</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[Enron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Houston, Texas  77002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 xml:space="preserve">Attn: ]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Purchaser anticipates that this address may change, and will notify Seller of such change, prior to the change.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6.7.3   </w:t>
      </w:r>
      <w:r>
        <w:rPr>
          <w:rFonts w:cs="Times New Roman" w:ascii="Times New Roman" w:hAnsi="Times New Roman"/>
          <w:sz w:val="22"/>
          <w:u w:val="single"/>
        </w:rPr>
        <w:t>Date of Receipt</w:t>
      </w:r>
      <w:r>
        <w:fldChar w:fldCharType="begin"/>
      </w:r>
      <w:r>
        <w:rPr/>
        <w:instrText xml:space="preserve"> TC "6.7.3   Date of Receipt" \l 3 </w:instrText>
      </w:r>
      <w:r>
        <w:rPr/>
        <w:fldChar w:fldCharType="separate"/>
      </w:r>
      <w:r>
        <w:rPr/>
      </w:r>
      <w:r>
        <w:rPr/>
        <w:fldChar w:fldCharType="end"/>
      </w:r>
      <w:bookmarkStart w:id="57" w:name="__RefHeading___Toc497800415"/>
      <w:bookmarkEnd w:id="57"/>
      <w:r>
        <w:rPr>
          <w:rFonts w:cs="Times New Roman" w:ascii="Times New Roman" w:hAnsi="Times New Roman"/>
          <w:sz w:val="22"/>
        </w:rPr>
        <w:t>.  Date of receipt of invoice by Purchaser will be evidenced by date stamp, or other generally accepted date receipting system.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6.8   </w:t>
      </w:r>
      <w:r>
        <w:rPr>
          <w:rFonts w:cs="Times New Roman" w:ascii="Times New Roman" w:hAnsi="Times New Roman"/>
          <w:sz w:val="22"/>
          <w:u w:val="single"/>
        </w:rPr>
        <w:t>Method of Payment</w:t>
      </w:r>
      <w:r>
        <w:fldChar w:fldCharType="begin"/>
      </w:r>
      <w:r>
        <w:rPr/>
        <w:instrText xml:space="preserve"> TC "6.8   Method of Payment" \l 2 </w:instrText>
      </w:r>
      <w:r>
        <w:rPr/>
        <w:fldChar w:fldCharType="separate"/>
      </w:r>
      <w:r>
        <w:rPr/>
      </w:r>
      <w:r>
        <w:rPr/>
        <w:fldChar w:fldCharType="end"/>
      </w:r>
      <w:bookmarkStart w:id="58" w:name="__RefHeading___Toc497800416"/>
      <w:bookmarkEnd w:id="58"/>
      <w:r>
        <w:rPr>
          <w:rFonts w:cs="Times New Roman" w:ascii="Times New Roman" w:hAnsi="Times New Roman"/>
          <w:sz w:val="22"/>
        </w:rPr>
        <w:t>.  Payment will be made by wire transfer unless otherwise requested by Seller.  Payments to the Seller shall be made to the following address: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6.9   </w:t>
      </w:r>
      <w:r>
        <w:rPr>
          <w:rFonts w:cs="Times New Roman" w:ascii="Times New Roman" w:hAnsi="Times New Roman"/>
          <w:sz w:val="22"/>
          <w:u w:val="single"/>
        </w:rPr>
        <w:t>Payments Not Acceptance of Work</w:t>
      </w:r>
      <w:r>
        <w:fldChar w:fldCharType="begin"/>
      </w:r>
      <w:r>
        <w:rPr/>
        <w:instrText xml:space="preserve"> TC "6.9   Payments Not Acceptance of Work" \l 2 </w:instrText>
      </w:r>
      <w:r>
        <w:rPr/>
        <w:fldChar w:fldCharType="separate"/>
      </w:r>
      <w:r>
        <w:rPr/>
      </w:r>
      <w:r>
        <w:rPr/>
        <w:fldChar w:fldCharType="end"/>
      </w:r>
      <w:bookmarkStart w:id="59" w:name="__RefHeading___Toc497800417"/>
      <w:bookmarkEnd w:id="59"/>
      <w:r>
        <w:rPr>
          <w:rFonts w:cs="Times New Roman" w:ascii="Times New Roman" w:hAnsi="Times New Roman"/>
          <w:sz w:val="22"/>
        </w:rPr>
        <w:t>.   Purchaser waives no rights under this Agreement by making payment hereunder, including any partial payment or payments prior to Acceptance for a particular Unit.[hall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VII.  </w:t>
      </w:r>
      <w:r>
        <w:rPr>
          <w:rFonts w:cs="Times New Roman" w:ascii="Times New Roman" w:hAnsi="Times New Roman"/>
          <w:sz w:val="22"/>
          <w:u w:val="single"/>
        </w:rPr>
        <w:t>RELEASE</w:t>
      </w:r>
      <w:r>
        <w:fldChar w:fldCharType="begin"/>
      </w:r>
      <w:r>
        <w:rPr/>
        <w:instrText xml:space="preserve"> TC "ARTICLE VII.  EFFECTIVE DATE, COMMENCEMENT OF THE WORK, TERMINATION" \l 1 </w:instrText>
      </w:r>
      <w:r>
        <w:rPr/>
        <w:fldChar w:fldCharType="separate"/>
      </w:r>
      <w:r>
        <w:rPr/>
      </w:r>
      <w:r>
        <w:rPr/>
        <w:fldChar w:fldCharType="end"/>
      </w:r>
      <w:bookmarkStart w:id="60" w:name="__RefHeading___Toc497800418"/>
      <w:bookmarkEnd w:id="6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7.1   </w:t>
      </w:r>
      <w:r>
        <w:rPr>
          <w:rFonts w:cs="Times New Roman" w:ascii="Times New Roman" w:hAnsi="Times New Roman"/>
          <w:sz w:val="22"/>
          <w:u w:val="single"/>
        </w:rPr>
        <w:t>Effective Period for Submitting Release</w:t>
      </w:r>
      <w:r>
        <w:fldChar w:fldCharType="begin"/>
      </w:r>
      <w:r>
        <w:rPr/>
        <w:instrText xml:space="preserve"> TC "7.1   Effective Date" \l 2 </w:instrText>
      </w:r>
      <w:r>
        <w:rPr/>
        <w:fldChar w:fldCharType="separate"/>
      </w:r>
      <w:r>
        <w:rPr/>
      </w:r>
      <w:r>
        <w:rPr/>
        <w:fldChar w:fldCharType="end"/>
      </w:r>
      <w:bookmarkStart w:id="61" w:name="__RefHeading___Toc497800419"/>
      <w:bookmarkEnd w:id="61"/>
      <w:r>
        <w:rPr>
          <w:rFonts w:cs="Times New Roman" w:ascii="Times New Roman" w:hAnsi="Times New Roman"/>
          <w:sz w:val="22"/>
        </w:rPr>
        <w:t>.  This Agreement shall terminate one year after the Effective Date if Purchaser has not submitted a Release (as defined below) by that date.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7.2   </w:t>
      </w:r>
      <w:r>
        <w:rPr>
          <w:rFonts w:cs="Times New Roman" w:ascii="Times New Roman" w:hAnsi="Times New Roman"/>
          <w:sz w:val="22"/>
          <w:u w:val="single"/>
        </w:rPr>
        <w:t>Release.</w:t>
      </w:r>
      <w:r>
        <w:fldChar w:fldCharType="begin"/>
      </w:r>
      <w:r>
        <w:rPr/>
        <w:instrText xml:space="preserve"> TC "7.2   Commencement of Work" \l 2 </w:instrText>
      </w:r>
      <w:r>
        <w:rPr/>
        <w:fldChar w:fldCharType="separate"/>
      </w:r>
      <w:r>
        <w:rPr/>
      </w:r>
      <w:r>
        <w:rPr/>
        <w:fldChar w:fldCharType="end"/>
      </w:r>
      <w:bookmarkStart w:id="62" w:name="__RefHeading___Toc497800420"/>
      <w:bookmarkEnd w:id="62"/>
      <w:r>
        <w:rPr>
          <w:rFonts w:cs="Times New Roman" w:ascii="Times New Roman" w:hAnsi="Times New Roman"/>
          <w:sz w:val="22"/>
        </w:rPr>
        <w:t xml:space="preserve"> Should Purchaser desire to place an order for Equipment, it shall submit a Release to Seller.  The date the Release is submitted shall be the Release Date. Such Release shall specify which Units shall be delivered to a specified Site, subject to change in accordance with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pPr>
      <w:r>
        <w:rPr>
          <w:rFonts w:cs="Times New Roman" w:ascii="Times New Roman" w:hAnsi="Times New Roman"/>
          <w:sz w:val="22"/>
        </w:rPr>
        <w:t xml:space="preserve">ARTICLE VIII.  </w:t>
      </w:r>
      <w:r>
        <w:rPr>
          <w:rFonts w:cs="Times New Roman" w:ascii="Times New Roman" w:hAnsi="Times New Roman"/>
          <w:sz w:val="22"/>
          <w:u w:val="single"/>
        </w:rPr>
        <w:t>PROJECT DOCUMENTS</w:t>
      </w:r>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numPr>
          <w:ilvl w:val="1"/>
          <w:numId w:val="11"/>
        </w:numPr>
        <w:tabs>
          <w:tab w:val="clear" w:pos="720"/>
          <w:tab w:val="left" w:pos="-1440" w:leader="none"/>
          <w:tab w:val="left" w:pos="0" w:leader="none"/>
          <w:tab w:val="left" w:pos="180" w:leader="none"/>
        </w:tabs>
        <w:spacing w:lineRule="auto" w:line="300"/>
        <w:jc w:val="both"/>
        <w:rPr>
          <w:rFonts w:ascii="Times New Roman" w:hAnsi="Times New Roman" w:cs="Times New Roman"/>
          <w:sz w:val="22"/>
        </w:rPr>
      </w:pPr>
      <w:r>
        <w:rPr>
          <w:rFonts w:cs="Times New Roman" w:ascii="Times New Roman" w:hAnsi="Times New Roman"/>
          <w:sz w:val="22"/>
          <w:u w:val="single"/>
        </w:rPr>
        <w:t>Project Management Plan</w:t>
      </w:r>
      <w:r>
        <w:fldChar w:fldCharType="begin"/>
      </w:r>
      <w:r>
        <w:rPr/>
        <w:instrText xml:space="preserve"> TC "3.16  Project Planning and Control" \l 2 </w:instrText>
      </w:r>
      <w:r>
        <w:rPr/>
        <w:fldChar w:fldCharType="separate"/>
      </w:r>
      <w:r>
        <w:rPr/>
      </w:r>
      <w:r>
        <w:rPr/>
        <w:fldChar w:fldCharType="end"/>
      </w:r>
      <w:bookmarkStart w:id="63" w:name="__RefHeading___Toc497800421"/>
      <w:bookmarkEnd w:id="63"/>
      <w:r>
        <w:rPr>
          <w:rFonts w:cs="Times New Roman" w:ascii="Times New Roman" w:hAnsi="Times New Roman"/>
          <w:sz w:val="22"/>
        </w:rPr>
        <w:t xml:space="preserve">. Within thirty days of the Effective Date the Seller shall submit a proposed Project Management Plan.  Such plan shall include the project schedule for manufacturing, shipping and installation of each unit, a staffing plan, a quality control plan, a subcontracting plan, a list of major Vendors, a transportation plan, a document review schedule, performance test procedures, technical interface, and other matters required to successfully manage the project to conclusion. Seller shall update the plan monthly, specifically including any deviations in the project schedule. </w:t>
      </w:r>
    </w:p>
    <w:p>
      <w:pPr>
        <w:pStyle w:val="Normal"/>
        <w:widowControl/>
        <w:tabs>
          <w:tab w:val="clear" w:pos="720"/>
          <w:tab w:val="left" w:pos="-1440" w:leader="none"/>
          <w:tab w:val="left" w:pos="0" w:leader="none"/>
          <w:tab w:val="left" w:pos="180" w:leader="none"/>
        </w:tabs>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1"/>
        </w:numPr>
        <w:tabs>
          <w:tab w:val="clear" w:pos="720"/>
          <w:tab w:val="left" w:pos="-1440" w:leader="none"/>
          <w:tab w:val="left" w:pos="0" w:leader="none"/>
          <w:tab w:val="left" w:pos="180" w:leader="none"/>
        </w:tabs>
        <w:spacing w:lineRule="auto" w:line="300"/>
        <w:jc w:val="both"/>
        <w:rPr>
          <w:rFonts w:ascii="Times New Roman" w:hAnsi="Times New Roman" w:cs="Times New Roman"/>
          <w:sz w:val="22"/>
        </w:rPr>
      </w:pPr>
      <w:r>
        <w:rPr>
          <w:rFonts w:cs="Times New Roman" w:ascii="Times New Roman" w:hAnsi="Times New Roman"/>
          <w:sz w:val="22"/>
          <w:u w:val="single"/>
        </w:rPr>
        <w:t>Project Schedule.</w:t>
      </w:r>
      <w:r>
        <w:rPr>
          <w:rFonts w:cs="Times New Roman" w:ascii="Times New Roman" w:hAnsi="Times New Roman"/>
          <w:sz w:val="22"/>
        </w:rPr>
        <w:t xml:space="preserve">  Six months following the Release Date, Seller and Purchaser shall agree to the initial project schedule contained in the Project Management Plan, which shall set forth the critical path for each Unit to achieve Acceptance prior to the termination dates under Section 17.1(d) related to such Unit.  This initial Project Management Plan shall set forth the Expected Delivery Date for each Unit.  Seller may revise the Expected Delivery Date, however, the Expected Delivery Dates for Units, for a given Unit may not be changed before the Earliest Delivery Date for such Unit and cannot be changed by more than ___ months during any six month planning period.  Purchaser shall not be obligated to have the site ready for installation prior to the later of (i) the date by which the Major Components for the first Unit to be installed at the Site are delivered to the Site or (ii) the Expected Delivery Date for the Unit.  </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8.3  </w:t>
      </w:r>
      <w:r>
        <w:rPr>
          <w:rFonts w:cs="Times New Roman" w:ascii="Times New Roman" w:hAnsi="Times New Roman"/>
          <w:sz w:val="22"/>
          <w:u w:val="single"/>
        </w:rPr>
        <w:t>Specifications</w:t>
      </w:r>
      <w:r>
        <w:rPr>
          <w:rFonts w:cs="Times New Roman" w:ascii="Times New Roman" w:hAnsi="Times New Roman"/>
          <w:sz w:val="22"/>
        </w:rPr>
        <w:t xml:space="preserve">.  Exhibit __contains the preliminary specifications for the Equipment.  No later than [ ] months following Release, Purchaser shall submit final Specifications to Purchaser, which shall be in general conformity with the preliminary specifications.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8.4   </w:t>
      </w:r>
      <w:r>
        <w:rPr>
          <w:rFonts w:cs="Times New Roman" w:ascii="Times New Roman" w:hAnsi="Times New Roman"/>
          <w:sz w:val="22"/>
          <w:u w:val="single"/>
        </w:rPr>
        <w:t>Establishment of Delivery and Acceptance Dates</w:t>
      </w:r>
      <w:r>
        <w:fldChar w:fldCharType="begin"/>
      </w:r>
      <w:r>
        <w:rPr/>
        <w:instrText xml:space="preserve"> TC "10.2.1   Guaranteed Installation Date" \l 3 </w:instrText>
      </w:r>
      <w:r>
        <w:rPr/>
        <w:fldChar w:fldCharType="separate"/>
      </w:r>
      <w:r>
        <w:rPr/>
      </w:r>
      <w:r>
        <w:rPr/>
        <w:fldChar w:fldCharType="end"/>
      </w:r>
      <w:bookmarkStart w:id="64" w:name="__RefHeading___Toc497800422"/>
      <w:bookmarkEnd w:id="64"/>
      <w:r>
        <w:rPr>
          <w:rFonts w:cs="Times New Roman" w:ascii="Times New Roman" w:hAnsi="Times New Roman"/>
          <w:sz w:val="22"/>
        </w:rPr>
        <w:t>. Each Release shall specify the expected Delivery and Acceptance Dates for each Unit and its associated Equipment. Such dates may be adjusted in accordance with the terms of this Agreement. Seller shall (i) cause the Equipment to be delivered to the Delivery Point in undamaged condition in accordance with the Specification and the Release on or before the Delivery Date, (ii) use commercially reasonable efforts to manufacture, deliver and install the Equipment in accordance with the Scope of Work, (“Installation Completion”)]  and (iii) and conduct and satisfactorily complete the Performance Tests at the Site on or before the Acceptance Date.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IX.  </w:t>
      </w:r>
      <w:r>
        <w:rPr>
          <w:rFonts w:cs="Times New Roman" w:ascii="Times New Roman" w:hAnsi="Times New Roman"/>
          <w:sz w:val="22"/>
          <w:u w:val="single"/>
        </w:rPr>
        <w:t xml:space="preserve">INSPECTION AND CORRECTION OF WORK </w:t>
      </w:r>
      <w:r>
        <w:fldChar w:fldCharType="begin"/>
      </w:r>
      <w:r>
        <w:rPr/>
        <w:instrText xml:space="preserve"> TC "ARTICLE IX.  INSPECTION AND CORRECTION OF WORK" \l 1 </w:instrText>
      </w:r>
      <w:r>
        <w:rPr/>
        <w:fldChar w:fldCharType="separate"/>
      </w:r>
      <w:r>
        <w:rPr/>
      </w:r>
      <w:r>
        <w:rPr/>
        <w:fldChar w:fldCharType="end"/>
      </w:r>
      <w:bookmarkStart w:id="65" w:name="__RefHeading___Toc497800423"/>
      <w:bookmarkEnd w:id="6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9.1   </w:t>
      </w:r>
      <w:r>
        <w:rPr>
          <w:rFonts w:cs="Times New Roman" w:ascii="Times New Roman" w:hAnsi="Times New Roman"/>
          <w:sz w:val="22"/>
          <w:u w:val="single"/>
        </w:rPr>
        <w:t>Inspections</w:t>
      </w:r>
      <w:r>
        <w:fldChar w:fldCharType="begin"/>
      </w:r>
      <w:r>
        <w:rPr/>
        <w:instrText xml:space="preserve"> TC "9.1   Inspections" \l 2 </w:instrText>
      </w:r>
      <w:r>
        <w:rPr/>
        <w:fldChar w:fldCharType="separate"/>
      </w:r>
      <w:r>
        <w:rPr/>
      </w:r>
      <w:r>
        <w:rPr/>
        <w:fldChar w:fldCharType="end"/>
      </w:r>
      <w:bookmarkStart w:id="66" w:name="__RefHeading___Toc497800424"/>
      <w:bookmarkEnd w:id="66"/>
      <w:r>
        <w:rPr>
          <w:rFonts w:cs="Times New Roman" w:ascii="Times New Roman" w:hAnsi="Times New Roman"/>
          <w:sz w:val="22"/>
        </w:rPr>
        <w:t>.  Purchaser or its designated representatives, shall have the right from time to time during this Agreement and during normal business hours to review Seller’s performance of this Agreement; provided, however that Purchaser has provided Seller with seven (7) days notice of such desire to observe Seller’s performance.   Purchaser's rights to inspect under this Section 9.1 shall include those actions reasonably necessary to verify that the Equipment conforms to the specified requirements of this Agreement (including the Specifications and Project Schedule), is being produced in accordance with the manufacturing schedules, and that Seller is acting in conformity with its quality plan. These inspection and observation rights may include but not be limited to the right to review manufacturing schedules and observe certain agreed production inspections and tests of Equipment at Seller’s workplace or those of its Vendors.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9.2   </w:t>
      </w:r>
      <w:r>
        <w:rPr>
          <w:rFonts w:cs="Times New Roman" w:ascii="Times New Roman" w:hAnsi="Times New Roman"/>
          <w:sz w:val="22"/>
          <w:u w:val="single"/>
        </w:rPr>
        <w:t>Resident Facilities</w:t>
      </w:r>
      <w:r>
        <w:fldChar w:fldCharType="begin"/>
      </w:r>
      <w:r>
        <w:rPr/>
        <w:instrText xml:space="preserve"> TC "9.2   Resident Facilities" \l 2 </w:instrText>
      </w:r>
      <w:r>
        <w:rPr/>
        <w:fldChar w:fldCharType="separate"/>
      </w:r>
      <w:r>
        <w:rPr/>
      </w:r>
      <w:r>
        <w:rPr/>
        <w:fldChar w:fldCharType="end"/>
      </w:r>
      <w:bookmarkStart w:id="67" w:name="__RefHeading___Toc497800425"/>
      <w:bookmarkEnd w:id="67"/>
      <w:r>
        <w:rPr>
          <w:rFonts w:cs="Times New Roman" w:ascii="Times New Roman" w:hAnsi="Times New Roman"/>
          <w:sz w:val="22"/>
        </w:rPr>
        <w:t xml:space="preserve">.  If reasonably requested by Purchaser, Seller shall act in a commercially reasonable manner to accommodate Purchaser’s request to have a quality representative resident at Seller’s facilities and the Site.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9.3   </w:t>
      </w:r>
      <w:r>
        <w:rPr>
          <w:rFonts w:cs="Times New Roman" w:ascii="Times New Roman" w:hAnsi="Times New Roman"/>
          <w:sz w:val="22"/>
          <w:u w:val="single"/>
        </w:rPr>
        <w:t>Quality Plan</w:t>
      </w:r>
      <w:r>
        <w:fldChar w:fldCharType="begin"/>
      </w:r>
      <w:r>
        <w:rPr/>
        <w:instrText xml:space="preserve"> TC "9.3   Quality Plan" \l 2 </w:instrText>
      </w:r>
      <w:r>
        <w:rPr/>
        <w:fldChar w:fldCharType="separate"/>
      </w:r>
      <w:r>
        <w:rPr/>
      </w:r>
      <w:r>
        <w:rPr/>
        <w:fldChar w:fldCharType="end"/>
      </w:r>
      <w:bookmarkStart w:id="68" w:name="__RefHeading___Toc497800426"/>
      <w:bookmarkEnd w:id="68"/>
      <w:r>
        <w:rPr>
          <w:rFonts w:cs="Times New Roman" w:ascii="Times New Roman" w:hAnsi="Times New Roman"/>
          <w:sz w:val="22"/>
        </w:rPr>
        <w:t>.  Seller shall maintain a quality plan compliant with ISO 2000, in general conformity with [Exhibit J], detailing:</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specific authorities and responsibilities;</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(ii)</w:t>
        <w:tab/>
        <w:t xml:space="preserve">procedures, methods and work instructions;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inspection and test plans;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(iv)</w:t>
        <w:tab/>
        <w:t xml:space="preserve">vendor qualification procedure.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of a conflict between [Exhibit J] and ISO 2000, the higher standard shall prevail.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9.4   </w:t>
      </w:r>
      <w:r>
        <w:rPr>
          <w:rFonts w:cs="Times New Roman" w:ascii="Times New Roman" w:hAnsi="Times New Roman"/>
          <w:sz w:val="22"/>
          <w:u w:val="single"/>
        </w:rPr>
        <w:t>Notice of Witness Points</w:t>
      </w:r>
      <w:r>
        <w:fldChar w:fldCharType="begin"/>
      </w:r>
      <w:r>
        <w:rPr/>
        <w:instrText xml:space="preserve"> TC "9.4   Notice" \l 2 </w:instrText>
      </w:r>
      <w:r>
        <w:rPr/>
        <w:fldChar w:fldCharType="separate"/>
      </w:r>
      <w:r>
        <w:rPr/>
      </w:r>
      <w:r>
        <w:rPr/>
        <w:fldChar w:fldCharType="end"/>
      </w:r>
      <w:bookmarkStart w:id="69" w:name="__RefHeading___Toc497800427"/>
      <w:bookmarkEnd w:id="69"/>
      <w:r>
        <w:rPr>
          <w:rFonts w:cs="Times New Roman" w:ascii="Times New Roman" w:hAnsi="Times New Roman"/>
          <w:sz w:val="22"/>
        </w:rPr>
        <w:t xml:space="preserve">.  In establishing the Project Management Plan the parties shall agree on witness points and factory acceptance tests. Seller shall provide not less than fourteen (14) days notice prior to any of the witness or hold points as set forth in the Project Management Plan.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Purchaser shall be deemed to have waived the right to witness the test. Witnessing a test (or waiving the right to witness such test) does not constitute an acceptance of any work, or waiver of any rights under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9.5   </w:t>
      </w:r>
      <w:r>
        <w:rPr>
          <w:rFonts w:cs="Times New Roman" w:ascii="Times New Roman" w:hAnsi="Times New Roman"/>
          <w:sz w:val="22"/>
          <w:u w:val="single"/>
        </w:rPr>
        <w:t>Correction of Equipment</w:t>
      </w:r>
      <w:r>
        <w:fldChar w:fldCharType="begin"/>
      </w:r>
      <w:r>
        <w:rPr/>
        <w:instrText xml:space="preserve"> TC "9.5   Correction of Equipment" \l 2 </w:instrText>
      </w:r>
      <w:r>
        <w:rPr/>
        <w:fldChar w:fldCharType="separate"/>
      </w:r>
      <w:r>
        <w:rPr/>
      </w:r>
      <w:r>
        <w:rPr/>
        <w:fldChar w:fldCharType="end"/>
      </w:r>
      <w:bookmarkStart w:id="70" w:name="__RefHeading___Toc497800428"/>
      <w:bookmarkEnd w:id="70"/>
      <w:r>
        <w:rPr>
          <w:rFonts w:cs="Times New Roman" w:ascii="Times New Roman" w:hAnsi="Times New Roman"/>
          <w:sz w:val="22"/>
        </w:rPr>
        <w:t>.  Prior to Acceptance, Seller shall, at its sole cost and risk,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written consent, which will not be unreasonably withheld.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w:t>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  </w:t>
      </w:r>
      <w:r>
        <w:rPr>
          <w:rFonts w:cs="Times New Roman" w:ascii="Times New Roman" w:hAnsi="Times New Roman"/>
          <w:sz w:val="22"/>
          <w:u w:val="single"/>
        </w:rPr>
        <w:t>PERFORMANCE GUARANTEES AND ACCEPTANCE</w:t>
      </w:r>
      <w:r>
        <w:fldChar w:fldCharType="begin"/>
      </w:r>
      <w:r>
        <w:rPr/>
        <w:instrText xml:space="preserve"> TC "ARTICLE X.  DELIVERY AND PERFORMANCE" \l 1 </w:instrText>
      </w:r>
      <w:r>
        <w:rPr/>
        <w:fldChar w:fldCharType="separate"/>
      </w:r>
      <w:r>
        <w:rPr/>
      </w:r>
      <w:r>
        <w:rPr/>
        <w:fldChar w:fldCharType="end"/>
      </w:r>
      <w:bookmarkStart w:id="71" w:name="__RefHeading___Toc497800429"/>
      <w:bookmarkEnd w:id="71"/>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fldChar w:fldCharType="begin"/>
      </w:r>
      <w:r>
        <w:rPr/>
        <w:instrText xml:space="preserve"> TC "10.1   Delivery of Documentation" \l 2 </w:instrText>
      </w:r>
      <w:r>
        <w:rPr/>
        <w:fldChar w:fldCharType="separate"/>
      </w:r>
      <w:r>
        <w:rPr/>
      </w:r>
      <w:r>
        <w:rPr/>
        <w:fldChar w:fldCharType="end"/>
      </w:r>
      <w:bookmarkStart w:id="72" w:name="__RefHeading___Toc497800430"/>
      <w:bookmarkEnd w:id="72"/>
      <w:r>
        <w:rPr>
          <w:rFonts w:cs="Times New Roman" w:ascii="Times New Roman" w:hAnsi="Times New Roman"/>
          <w:sz w:val="22"/>
        </w:rPr>
        <w:t xml:space="preserve">   </w:t>
      </w:r>
    </w:p>
    <w:p>
      <w:pPr>
        <w:pStyle w:val="Normal"/>
        <w:widowControl/>
        <w:autoSpaceDE w:val="false"/>
        <w:spacing w:lineRule="atLeast" w:line="240"/>
        <w:rPr/>
      </w:pPr>
      <w:r>
        <w:rPr>
          <w:rFonts w:cs="Times New Roman" w:ascii="Times New Roman" w:hAnsi="Times New Roman"/>
          <w:color w:val="000000"/>
          <w:sz w:val="22"/>
          <w:szCs w:val="22"/>
        </w:rPr>
        <w:t xml:space="preserve">ARTICLE X.  </w:t>
      </w:r>
      <w:r>
        <w:rPr>
          <w:rFonts w:cs="Times New Roman" w:ascii="Times New Roman" w:hAnsi="Times New Roman"/>
          <w:color w:val="000000"/>
          <w:sz w:val="22"/>
          <w:szCs w:val="22"/>
          <w:u w:val="single"/>
        </w:rPr>
        <w:t>PERFORMANCE GUARANTEES AND ACCEPTANCE</w:t>
      </w:r>
    </w:p>
    <w:p>
      <w:pPr>
        <w:pStyle w:val="Normal"/>
        <w:widowControl/>
        <w:autoSpaceDE w:val="false"/>
        <w:spacing w:lineRule="atLeast" w:line="240"/>
        <w:jc w:val="both"/>
        <w:rPr>
          <w:rFonts w:ascii="Times New Roman" w:hAnsi="Times New Roman" w:cs="Times New Roman"/>
          <w:color w:val="000000"/>
          <w:sz w:val="22"/>
          <w:szCs w:val="22"/>
          <w:u w:val="single"/>
        </w:rPr>
      </w:pPr>
      <w:r>
        <w:rPr>
          <w:rFonts w:cs="Times New Roman" w:ascii="Times New Roman" w:hAnsi="Times New Roman"/>
          <w:color w:val="000000"/>
          <w:sz w:val="22"/>
          <w:szCs w:val="22"/>
          <w:u w:val="single"/>
        </w:rPr>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p>
    <w:p>
      <w:pPr>
        <w:pStyle w:val="Normal"/>
        <w:widowControl/>
        <w:autoSpaceDE w:val="false"/>
        <w:spacing w:lineRule="atLeast" w:line="240"/>
        <w:jc w:val="both"/>
        <w:rPr/>
      </w:pPr>
      <w:r>
        <w:rPr>
          <w:rFonts w:cs="Times New Roman" w:ascii="Times New Roman" w:hAnsi="Times New Roman"/>
          <w:color w:val="000000"/>
          <w:sz w:val="22"/>
          <w:szCs w:val="22"/>
        </w:rPr>
        <w:t xml:space="preserve">10.1   </w:t>
      </w:r>
      <w:r>
        <w:rPr>
          <w:rFonts w:cs="Times New Roman" w:ascii="Times New Roman" w:hAnsi="Times New Roman"/>
          <w:color w:val="000000"/>
          <w:sz w:val="22"/>
          <w:szCs w:val="22"/>
          <w:u w:val="single"/>
        </w:rPr>
        <w:t>Performance Guarantees.</w:t>
      </w:r>
      <w:r>
        <w:rPr>
          <w:rFonts w:cs="Times New Roman" w:ascii="Times New Roman" w:hAnsi="Times New Roman"/>
          <w:color w:val="000000"/>
          <w:sz w:val="22"/>
          <w:szCs w:val="22"/>
        </w:rPr>
        <w:t xml:space="preserve"> Seller guarantees that each Unit, including Units subject to stack replacements under Section __, will meet the applicable Unit Performance Standards for Heat Rate, Electrical Output, Emissions, Water Consumption, and Sound as set forth in Section 10.2, when Performance Tests are conducted in accordance with the Performance Test Procedures.</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pPr>
      <w:r>
        <w:rPr>
          <w:rFonts w:cs="Times New Roman" w:ascii="Times New Roman" w:hAnsi="Times New Roman"/>
          <w:color w:val="000000"/>
          <w:sz w:val="22"/>
          <w:szCs w:val="22"/>
        </w:rPr>
        <w:t xml:space="preserve">10.2  </w:t>
      </w:r>
      <w:r>
        <w:rPr>
          <w:rFonts w:cs="Times New Roman" w:ascii="Times New Roman" w:hAnsi="Times New Roman"/>
          <w:color w:val="000000"/>
          <w:sz w:val="22"/>
          <w:szCs w:val="22"/>
          <w:u w:val="single"/>
        </w:rPr>
        <w:t>Performance Standards</w:t>
      </w:r>
      <w:r>
        <w:rPr>
          <w:rFonts w:cs="Times New Roman" w:ascii="Times New Roman" w:hAnsi="Times New Roman"/>
          <w:color w:val="000000"/>
          <w:sz w:val="22"/>
          <w:szCs w:val="22"/>
        </w:rPr>
        <w:t>. Each Unit shall meet the applicable Performance Standards for that model as described in this Article and as set forth in the following table below in order to achieve Acceptance:</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tbl>
      <w:tblPr>
        <w:tblW w:w="10228" w:type="dxa"/>
        <w:jc w:val="start"/>
        <w:tblInd w:w="40" w:type="dxa"/>
        <w:tblLayout w:type="fixed"/>
        <w:tblCellMar>
          <w:top w:w="0" w:type="dxa"/>
          <w:start w:w="40" w:type="dxa"/>
          <w:bottom w:w="0" w:type="dxa"/>
          <w:end w:w="40" w:type="dxa"/>
        </w:tblCellMar>
      </w:tblPr>
      <w:tblGrid>
        <w:gridCol w:w="3194"/>
        <w:gridCol w:w="2314"/>
        <w:gridCol w:w="2360"/>
        <w:gridCol w:w="2360"/>
      </w:tblGrid>
      <w:tr>
        <w:trPr/>
        <w:tc>
          <w:tcPr>
            <w:tcW w:w="3194" w:type="dxa"/>
            <w:tcBorders/>
          </w:tcPr>
          <w:p>
            <w:pPr>
              <w:pStyle w:val="Normal"/>
              <w:widowControl/>
              <w:autoSpaceDE w:val="false"/>
              <w:snapToGrid w:val="false"/>
              <w:spacing w:lineRule="atLeast" w:line="240"/>
              <w:ind w:start="105" w:end="105"/>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314" w:type="dxa"/>
            <w:tcBorders/>
          </w:tcPr>
          <w:p>
            <w:pPr>
              <w:pStyle w:val="Normal"/>
              <w:widowControl/>
              <w:autoSpaceDE w:val="false"/>
              <w:spacing w:lineRule="atLeast" w:line="240"/>
              <w:ind w:start="116" w:end="116"/>
              <w:jc w:val="end"/>
              <w:rPr>
                <w:rFonts w:ascii="Times New Roman" w:hAnsi="Times New Roman" w:cs="Times New Roman"/>
                <w:b/>
                <w:bCs/>
                <w:color w:val="000000"/>
                <w:sz w:val="22"/>
                <w:szCs w:val="22"/>
              </w:rPr>
            </w:pPr>
            <w:r>
              <w:rPr>
                <w:rFonts w:cs="Times New Roman" w:ascii="Times New Roman" w:hAnsi="Times New Roman"/>
                <w:b/>
                <w:bCs/>
                <w:color w:val="000000"/>
                <w:sz w:val="22"/>
                <w:szCs w:val="22"/>
              </w:rPr>
              <w:t>2MW Power Plants</w:t>
            </w:r>
          </w:p>
        </w:tc>
        <w:tc>
          <w:tcPr>
            <w:tcW w:w="2360" w:type="dxa"/>
            <w:tcBorders/>
          </w:tcPr>
          <w:p>
            <w:pPr>
              <w:pStyle w:val="Normal"/>
              <w:widowControl/>
              <w:autoSpaceDE w:val="false"/>
              <w:spacing w:lineRule="atLeast" w:line="240"/>
              <w:ind w:start="47" w:end="118"/>
              <w:jc w:val="end"/>
              <w:rPr>
                <w:rFonts w:ascii="Times New Roman" w:hAnsi="Times New Roman" w:cs="Times New Roman"/>
                <w:b/>
                <w:bCs/>
                <w:color w:val="000000"/>
                <w:sz w:val="22"/>
                <w:szCs w:val="22"/>
              </w:rPr>
            </w:pPr>
            <w:r>
              <w:rPr>
                <w:rFonts w:cs="Times New Roman" w:ascii="Times New Roman" w:hAnsi="Times New Roman"/>
                <w:b/>
                <w:bCs/>
                <w:color w:val="000000"/>
                <w:sz w:val="22"/>
                <w:szCs w:val="22"/>
              </w:rPr>
              <w:t>2.4MW Power Plants</w:t>
            </w:r>
          </w:p>
        </w:tc>
        <w:tc>
          <w:tcPr>
            <w:tcW w:w="2360" w:type="dxa"/>
            <w:tcBorders/>
          </w:tcPr>
          <w:p>
            <w:pPr>
              <w:pStyle w:val="Normal"/>
              <w:widowControl/>
              <w:autoSpaceDE w:val="false"/>
              <w:spacing w:lineRule="atLeast" w:line="240"/>
              <w:ind w:start="47" w:end="118"/>
              <w:jc w:val="end"/>
              <w:rPr>
                <w:rFonts w:ascii="Times New Roman" w:hAnsi="Times New Roman" w:cs="Times New Roman"/>
                <w:b/>
                <w:bCs/>
                <w:color w:val="000000"/>
                <w:sz w:val="22"/>
                <w:szCs w:val="22"/>
              </w:rPr>
            </w:pPr>
            <w:r>
              <w:rPr>
                <w:rFonts w:cs="Times New Roman" w:ascii="Times New Roman" w:hAnsi="Times New Roman"/>
                <w:b/>
                <w:bCs/>
                <w:color w:val="000000"/>
                <w:sz w:val="22"/>
                <w:szCs w:val="22"/>
              </w:rPr>
              <w:t>3.0 MW Power Plants</w:t>
            </w:r>
          </w:p>
        </w:tc>
      </w:tr>
      <w:tr>
        <w:trPr/>
        <w:tc>
          <w:tcPr>
            <w:tcW w:w="3194" w:type="dxa"/>
            <w:tcBorders/>
          </w:tcPr>
          <w:p>
            <w:pPr>
              <w:pStyle w:val="Normal"/>
              <w:widowControl/>
              <w:autoSpaceDE w:val="false"/>
              <w:spacing w:lineRule="atLeast" w:line="240"/>
              <w:ind w:start="105" w:end="105"/>
              <w:rPr>
                <w:rFonts w:ascii="Times New Roman" w:hAnsi="Times New Roman" w:cs="Times New Roman"/>
                <w:color w:val="000000"/>
                <w:sz w:val="22"/>
                <w:szCs w:val="22"/>
              </w:rPr>
            </w:pPr>
            <w:r>
              <w:rPr>
                <w:rFonts w:cs="Times New Roman" w:ascii="Times New Roman" w:hAnsi="Times New Roman"/>
                <w:color w:val="000000"/>
                <w:sz w:val="22"/>
                <w:szCs w:val="22"/>
              </w:rPr>
              <w:t>Electrical Output, kW</w:t>
            </w:r>
          </w:p>
        </w:tc>
        <w:tc>
          <w:tcPr>
            <w:tcW w:w="2314" w:type="dxa"/>
            <w:tcBorders/>
          </w:tcPr>
          <w:p>
            <w:pPr>
              <w:pStyle w:val="Normal"/>
              <w:widowControl/>
              <w:autoSpaceDE w:val="false"/>
              <w:spacing w:lineRule="atLeast" w:line="240"/>
              <w:ind w:start="116" w:end="116"/>
              <w:jc w:val="end"/>
              <w:rPr>
                <w:rFonts w:ascii="Times New Roman" w:hAnsi="Times New Roman" w:cs="Times New Roman"/>
                <w:color w:val="000000"/>
                <w:sz w:val="22"/>
                <w:szCs w:val="22"/>
              </w:rPr>
            </w:pPr>
            <w:r>
              <w:rPr>
                <w:rFonts w:cs="Times New Roman" w:ascii="Times New Roman" w:hAnsi="Times New Roman"/>
                <w:color w:val="000000"/>
                <w:sz w:val="22"/>
                <w:szCs w:val="22"/>
              </w:rPr>
              <w:t>2000 kW</w:t>
            </w:r>
          </w:p>
        </w:tc>
        <w:tc>
          <w:tcPr>
            <w:tcW w:w="2360" w:type="dxa"/>
            <w:tcBorders/>
          </w:tcPr>
          <w:p>
            <w:pPr>
              <w:pStyle w:val="Normal"/>
              <w:widowControl/>
              <w:autoSpaceDE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t>2400 kW</w:t>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3194" w:type="dxa"/>
            <w:tcBorders/>
          </w:tcPr>
          <w:p>
            <w:pPr>
              <w:pStyle w:val="Normal"/>
              <w:widowControl/>
              <w:autoSpaceDE w:val="false"/>
              <w:spacing w:lineRule="atLeast" w:line="240"/>
              <w:ind w:start="52" w:end="52"/>
              <w:rPr>
                <w:rFonts w:ascii="Times New Roman" w:hAnsi="Times New Roman" w:cs="Times New Roman"/>
                <w:color w:val="000000"/>
                <w:sz w:val="22"/>
                <w:szCs w:val="22"/>
              </w:rPr>
            </w:pPr>
            <w:r>
              <w:rPr>
                <w:rFonts w:cs="Times New Roman" w:ascii="Times New Roman" w:hAnsi="Times New Roman"/>
                <w:color w:val="000000"/>
                <w:sz w:val="22"/>
                <w:szCs w:val="22"/>
              </w:rPr>
              <w:t>Heat Rate (LHV)</w:t>
            </w:r>
          </w:p>
        </w:tc>
        <w:tc>
          <w:tcPr>
            <w:tcW w:w="2314" w:type="dxa"/>
            <w:tcBorders/>
          </w:tcPr>
          <w:p>
            <w:pPr>
              <w:pStyle w:val="Normal"/>
              <w:widowControl/>
              <w:autoSpaceDE w:val="false"/>
              <w:spacing w:lineRule="atLeast" w:line="240"/>
              <w:ind w:start="46" w:end="46"/>
              <w:jc w:val="end"/>
              <w:rPr>
                <w:rFonts w:ascii="Times New Roman" w:hAnsi="Times New Roman" w:cs="Times New Roman"/>
                <w:color w:val="000000"/>
                <w:sz w:val="22"/>
                <w:szCs w:val="22"/>
              </w:rPr>
            </w:pPr>
            <w:r>
              <w:rPr>
                <w:rFonts w:cs="Times New Roman" w:ascii="Times New Roman" w:hAnsi="Times New Roman"/>
                <w:color w:val="000000"/>
                <w:sz w:val="22"/>
                <w:szCs w:val="22"/>
              </w:rPr>
              <w:t>7,108 BTU/kWh</w:t>
            </w:r>
          </w:p>
        </w:tc>
        <w:tc>
          <w:tcPr>
            <w:tcW w:w="2360" w:type="dxa"/>
            <w:tcBorders/>
          </w:tcPr>
          <w:p>
            <w:pPr>
              <w:pStyle w:val="Normal"/>
              <w:widowControl/>
              <w:autoSpaceDE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t>7,108 BTU/kWh</w:t>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3194" w:type="dxa"/>
            <w:tcBorders/>
          </w:tcPr>
          <w:p>
            <w:pPr>
              <w:pStyle w:val="Normal"/>
              <w:widowControl/>
              <w:autoSpaceDE w:val="false"/>
              <w:spacing w:lineRule="atLeast" w:line="240"/>
              <w:ind w:start="52" w:end="52"/>
              <w:rPr>
                <w:rFonts w:ascii="Times New Roman" w:hAnsi="Times New Roman" w:cs="Times New Roman"/>
                <w:color w:val="000000"/>
                <w:sz w:val="22"/>
                <w:szCs w:val="22"/>
              </w:rPr>
            </w:pPr>
            <w:r>
              <w:rPr>
                <w:rFonts w:cs="Times New Roman" w:ascii="Times New Roman" w:hAnsi="Times New Roman"/>
                <w:color w:val="000000"/>
                <w:sz w:val="22"/>
                <w:szCs w:val="22"/>
              </w:rPr>
              <w:t>Water Consumption</w:t>
            </w:r>
          </w:p>
        </w:tc>
        <w:tc>
          <w:tcPr>
            <w:tcW w:w="2314" w:type="dxa"/>
            <w:tcBorders/>
          </w:tcPr>
          <w:p>
            <w:pPr>
              <w:pStyle w:val="Normal"/>
              <w:widowControl/>
              <w:autoSpaceDE w:val="false"/>
              <w:spacing w:lineRule="atLeast" w:line="240"/>
              <w:ind w:start="46" w:end="46"/>
              <w:jc w:val="end"/>
              <w:rPr>
                <w:rFonts w:ascii="Times New Roman" w:hAnsi="Times New Roman" w:cs="Times New Roman"/>
                <w:color w:val="000000"/>
                <w:sz w:val="22"/>
                <w:szCs w:val="22"/>
              </w:rPr>
            </w:pPr>
            <w:r>
              <w:rPr>
                <w:rFonts w:cs="Times New Roman" w:ascii="Times New Roman" w:hAnsi="Times New Roman"/>
                <w:color w:val="000000"/>
                <w:sz w:val="22"/>
                <w:szCs w:val="22"/>
              </w:rPr>
              <w:t>600 gal/h</w:t>
            </w:r>
          </w:p>
        </w:tc>
        <w:tc>
          <w:tcPr>
            <w:tcW w:w="2360" w:type="dxa"/>
            <w:tcBorders/>
          </w:tcPr>
          <w:p>
            <w:pPr>
              <w:pStyle w:val="Normal"/>
              <w:widowControl/>
              <w:autoSpaceDE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t>620 gal/h</w:t>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3194" w:type="dxa"/>
            <w:tcBorders/>
          </w:tcPr>
          <w:p>
            <w:pPr>
              <w:pStyle w:val="Normal"/>
              <w:widowControl/>
              <w:autoSpaceDE w:val="false"/>
              <w:spacing w:lineRule="atLeast" w:line="240"/>
              <w:ind w:start="52" w:end="52"/>
              <w:rPr>
                <w:rFonts w:ascii="Times New Roman" w:hAnsi="Times New Roman" w:cs="Times New Roman"/>
                <w:color w:val="000000"/>
                <w:sz w:val="22"/>
                <w:szCs w:val="22"/>
              </w:rPr>
            </w:pPr>
            <w:r>
              <w:rPr>
                <w:rFonts w:cs="Times New Roman" w:ascii="Times New Roman" w:hAnsi="Times New Roman"/>
                <w:color w:val="000000"/>
                <w:sz w:val="22"/>
                <w:szCs w:val="22"/>
              </w:rPr>
              <w:t>Sound level</w:t>
            </w:r>
          </w:p>
        </w:tc>
        <w:tc>
          <w:tcPr>
            <w:tcW w:w="2314" w:type="dxa"/>
            <w:tcBorders/>
          </w:tcPr>
          <w:p>
            <w:pPr>
              <w:pStyle w:val="Normal"/>
              <w:widowControl/>
              <w:autoSpaceDE w:val="false"/>
              <w:spacing w:lineRule="atLeast" w:line="240"/>
              <w:ind w:start="46" w:end="46"/>
              <w:jc w:val="end"/>
              <w:rPr>
                <w:rFonts w:ascii="Times New Roman" w:hAnsi="Times New Roman" w:cs="Times New Roman"/>
                <w:color w:val="000000"/>
                <w:sz w:val="22"/>
                <w:szCs w:val="22"/>
              </w:rPr>
            </w:pPr>
            <w:r>
              <w:rPr>
                <w:rFonts w:cs="Times New Roman" w:ascii="Times New Roman" w:hAnsi="Times New Roman"/>
                <w:color w:val="000000"/>
                <w:sz w:val="22"/>
                <w:szCs w:val="22"/>
              </w:rPr>
              <w:t>65 dB(A) at 100 feet</w:t>
            </w:r>
          </w:p>
        </w:tc>
        <w:tc>
          <w:tcPr>
            <w:tcW w:w="2360" w:type="dxa"/>
            <w:tcBorders/>
          </w:tcPr>
          <w:p>
            <w:pPr>
              <w:pStyle w:val="Normal"/>
              <w:widowControl/>
              <w:autoSpaceDE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t>65 dB(A) at 100 feet</w:t>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3194" w:type="dxa"/>
            <w:tcBorders/>
          </w:tcPr>
          <w:p>
            <w:pPr>
              <w:pStyle w:val="Normal"/>
              <w:widowControl/>
              <w:autoSpaceDE w:val="false"/>
              <w:spacing w:lineRule="atLeast" w:line="240"/>
              <w:ind w:start="52" w:end="52"/>
              <w:rPr>
                <w:rFonts w:ascii="Times New Roman" w:hAnsi="Times New Roman" w:cs="Times New Roman"/>
                <w:color w:val="000000"/>
                <w:sz w:val="22"/>
                <w:szCs w:val="22"/>
              </w:rPr>
            </w:pPr>
            <w:r>
              <w:rPr>
                <w:rFonts w:cs="Times New Roman" w:ascii="Times New Roman" w:hAnsi="Times New Roman"/>
                <w:color w:val="000000"/>
                <w:sz w:val="22"/>
                <w:szCs w:val="22"/>
              </w:rPr>
              <w:t>Emissions</w:t>
            </w:r>
          </w:p>
        </w:tc>
        <w:tc>
          <w:tcPr>
            <w:tcW w:w="2314" w:type="dxa"/>
            <w:tcBorders/>
          </w:tcPr>
          <w:p>
            <w:pPr>
              <w:pStyle w:val="Normal"/>
              <w:widowControl/>
              <w:autoSpaceDE w:val="false"/>
              <w:snapToGrid w:val="false"/>
              <w:spacing w:lineRule="atLeast" w:line="240"/>
              <w:ind w:start="46" w:end="46"/>
              <w:jc w:val="end"/>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3194" w:type="dxa"/>
            <w:tcBorders/>
          </w:tcPr>
          <w:p>
            <w:pPr>
              <w:pStyle w:val="Normal"/>
              <w:widowControl/>
              <w:autoSpaceDE w:val="false"/>
              <w:spacing w:lineRule="atLeast" w:line="240"/>
              <w:ind w:start="183" w:end="52"/>
              <w:rPr>
                <w:rFonts w:ascii="Times New Roman" w:hAnsi="Times New Roman" w:cs="Times New Roman"/>
                <w:color w:val="000000"/>
                <w:sz w:val="22"/>
                <w:szCs w:val="22"/>
              </w:rPr>
            </w:pPr>
            <w:r>
              <w:rPr>
                <w:rFonts w:cs="Times New Roman" w:ascii="Times New Roman" w:hAnsi="Times New Roman"/>
                <w:color w:val="000000"/>
                <w:sz w:val="22"/>
                <w:szCs w:val="22"/>
              </w:rPr>
              <w:t>Nox</w:t>
            </w:r>
          </w:p>
        </w:tc>
        <w:tc>
          <w:tcPr>
            <w:tcW w:w="2314" w:type="dxa"/>
            <w:tcBorders/>
          </w:tcPr>
          <w:p>
            <w:pPr>
              <w:pStyle w:val="Normal"/>
              <w:widowControl/>
              <w:autoSpaceDE w:val="false"/>
              <w:spacing w:lineRule="atLeast" w:line="240"/>
              <w:ind w:start="46" w:end="46"/>
              <w:jc w:val="end"/>
              <w:rPr>
                <w:rFonts w:ascii="Times New Roman" w:hAnsi="Times New Roman" w:cs="Times New Roman"/>
                <w:color w:val="000000"/>
                <w:sz w:val="22"/>
                <w:szCs w:val="22"/>
              </w:rPr>
            </w:pPr>
            <w:r>
              <w:rPr>
                <w:rFonts w:cs="Times New Roman" w:ascii="Times New Roman" w:hAnsi="Times New Roman"/>
                <w:color w:val="000000"/>
                <w:sz w:val="22"/>
                <w:szCs w:val="22"/>
              </w:rPr>
              <w:t>&lt;1 ppmv</w:t>
            </w:r>
          </w:p>
        </w:tc>
        <w:tc>
          <w:tcPr>
            <w:tcW w:w="2360" w:type="dxa"/>
            <w:tcBorders/>
          </w:tcPr>
          <w:p>
            <w:pPr>
              <w:pStyle w:val="Normal"/>
              <w:widowControl/>
              <w:autoSpaceDE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t>&lt;1 ppmv</w:t>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3194" w:type="dxa"/>
            <w:tcBorders/>
          </w:tcPr>
          <w:p>
            <w:pPr>
              <w:pStyle w:val="Normal"/>
              <w:widowControl/>
              <w:autoSpaceDE w:val="false"/>
              <w:spacing w:lineRule="atLeast" w:line="240"/>
              <w:ind w:start="183" w:end="52"/>
              <w:rPr>
                <w:rFonts w:ascii="Times New Roman" w:hAnsi="Times New Roman" w:cs="Times New Roman"/>
                <w:color w:val="000000"/>
                <w:sz w:val="22"/>
                <w:szCs w:val="22"/>
              </w:rPr>
            </w:pPr>
            <w:r>
              <w:rPr>
                <w:rFonts w:cs="Times New Roman" w:ascii="Times New Roman" w:hAnsi="Times New Roman"/>
                <w:color w:val="000000"/>
                <w:sz w:val="22"/>
                <w:szCs w:val="22"/>
              </w:rPr>
              <w:t>SOx</w:t>
            </w:r>
          </w:p>
        </w:tc>
        <w:tc>
          <w:tcPr>
            <w:tcW w:w="2314" w:type="dxa"/>
            <w:tcBorders/>
          </w:tcPr>
          <w:p>
            <w:pPr>
              <w:pStyle w:val="Normal"/>
              <w:widowControl/>
              <w:autoSpaceDE w:val="false"/>
              <w:spacing w:lineRule="atLeast" w:line="240"/>
              <w:ind w:start="46" w:end="46"/>
              <w:jc w:val="end"/>
              <w:rPr>
                <w:rFonts w:ascii="Times New Roman" w:hAnsi="Times New Roman" w:cs="Times New Roman"/>
                <w:color w:val="000000"/>
                <w:sz w:val="22"/>
                <w:szCs w:val="22"/>
              </w:rPr>
            </w:pPr>
            <w:r>
              <w:rPr>
                <w:rFonts w:cs="Times New Roman" w:ascii="Times New Roman" w:hAnsi="Times New Roman"/>
                <w:color w:val="000000"/>
                <w:sz w:val="22"/>
                <w:szCs w:val="22"/>
              </w:rPr>
              <w:t>&lt;0.1 ppmv</w:t>
            </w:r>
          </w:p>
        </w:tc>
        <w:tc>
          <w:tcPr>
            <w:tcW w:w="2360" w:type="dxa"/>
            <w:tcBorders/>
          </w:tcPr>
          <w:p>
            <w:pPr>
              <w:pStyle w:val="Normal"/>
              <w:widowControl/>
              <w:autoSpaceDE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t>&lt;0.1 ppmv</w:t>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3194" w:type="dxa"/>
            <w:tcBorders/>
          </w:tcPr>
          <w:p>
            <w:pPr>
              <w:pStyle w:val="Normal"/>
              <w:widowControl/>
              <w:autoSpaceDE w:val="false"/>
              <w:spacing w:lineRule="atLeast" w:line="240"/>
              <w:ind w:start="183" w:end="52"/>
              <w:rPr>
                <w:rFonts w:ascii="Times New Roman" w:hAnsi="Times New Roman" w:cs="Times New Roman"/>
                <w:color w:val="000000"/>
                <w:sz w:val="22"/>
                <w:szCs w:val="22"/>
              </w:rPr>
            </w:pPr>
            <w:r>
              <w:rPr>
                <w:rFonts w:cs="Times New Roman" w:ascii="Times New Roman" w:hAnsi="Times New Roman"/>
                <w:color w:val="000000"/>
                <w:sz w:val="22"/>
                <w:szCs w:val="22"/>
              </w:rPr>
              <w:t>CO</w:t>
            </w:r>
          </w:p>
        </w:tc>
        <w:tc>
          <w:tcPr>
            <w:tcW w:w="2314" w:type="dxa"/>
            <w:tcBorders/>
          </w:tcPr>
          <w:p>
            <w:pPr>
              <w:pStyle w:val="Normal"/>
              <w:widowControl/>
              <w:autoSpaceDE w:val="false"/>
              <w:spacing w:lineRule="atLeast" w:line="240"/>
              <w:ind w:start="46" w:end="46"/>
              <w:jc w:val="end"/>
              <w:rPr>
                <w:rFonts w:ascii="Times New Roman" w:hAnsi="Times New Roman" w:cs="Times New Roman"/>
                <w:color w:val="000000"/>
                <w:sz w:val="22"/>
                <w:szCs w:val="22"/>
              </w:rPr>
            </w:pPr>
            <w:r>
              <w:rPr>
                <w:rFonts w:cs="Times New Roman" w:ascii="Times New Roman" w:hAnsi="Times New Roman"/>
                <w:color w:val="000000"/>
                <w:sz w:val="22"/>
                <w:szCs w:val="22"/>
              </w:rPr>
              <w:t>&lt;20 ppmv</w:t>
            </w:r>
          </w:p>
        </w:tc>
        <w:tc>
          <w:tcPr>
            <w:tcW w:w="2360" w:type="dxa"/>
            <w:tcBorders/>
          </w:tcPr>
          <w:p>
            <w:pPr>
              <w:pStyle w:val="Normal"/>
              <w:widowControl/>
              <w:autoSpaceDE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t>&lt;20 ppmv</w:t>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3194" w:type="dxa"/>
            <w:tcBorders/>
          </w:tcPr>
          <w:p>
            <w:pPr>
              <w:pStyle w:val="Normal"/>
              <w:widowControl/>
              <w:autoSpaceDE w:val="false"/>
              <w:spacing w:lineRule="atLeast" w:line="240"/>
              <w:ind w:start="183" w:end="52"/>
              <w:rPr>
                <w:rFonts w:ascii="Times New Roman" w:hAnsi="Times New Roman" w:cs="Times New Roman"/>
                <w:color w:val="000000"/>
                <w:sz w:val="22"/>
                <w:szCs w:val="22"/>
              </w:rPr>
            </w:pPr>
            <w:r>
              <w:rPr>
                <w:rFonts w:cs="Times New Roman" w:ascii="Times New Roman" w:hAnsi="Times New Roman"/>
                <w:color w:val="000000"/>
                <w:sz w:val="22"/>
                <w:szCs w:val="22"/>
              </w:rPr>
              <w:t>VOC</w:t>
            </w:r>
          </w:p>
        </w:tc>
        <w:tc>
          <w:tcPr>
            <w:tcW w:w="2314" w:type="dxa"/>
            <w:tcBorders/>
          </w:tcPr>
          <w:p>
            <w:pPr>
              <w:pStyle w:val="Normal"/>
              <w:widowControl/>
              <w:autoSpaceDE w:val="false"/>
              <w:spacing w:lineRule="atLeast" w:line="240"/>
              <w:ind w:start="46" w:end="46"/>
              <w:jc w:val="end"/>
              <w:rPr>
                <w:rFonts w:ascii="Times New Roman" w:hAnsi="Times New Roman" w:cs="Times New Roman"/>
                <w:color w:val="000000"/>
                <w:sz w:val="22"/>
                <w:szCs w:val="22"/>
              </w:rPr>
            </w:pPr>
            <w:r>
              <w:rPr>
                <w:rFonts w:cs="Times New Roman" w:ascii="Times New Roman" w:hAnsi="Times New Roman"/>
                <w:color w:val="000000"/>
                <w:sz w:val="22"/>
                <w:szCs w:val="22"/>
              </w:rPr>
              <w:t>&lt;20 ppmv</w:t>
            </w:r>
          </w:p>
        </w:tc>
        <w:tc>
          <w:tcPr>
            <w:tcW w:w="2360" w:type="dxa"/>
            <w:tcBorders/>
          </w:tcPr>
          <w:p>
            <w:pPr>
              <w:pStyle w:val="Normal"/>
              <w:widowControl/>
              <w:autoSpaceDE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t>&lt;20 ppmv</w:t>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r>
      <w:tr>
        <w:trPr/>
        <w:tc>
          <w:tcPr>
            <w:tcW w:w="3194" w:type="dxa"/>
            <w:tcBorders/>
          </w:tcPr>
          <w:p>
            <w:pPr>
              <w:pStyle w:val="Normal"/>
              <w:widowControl/>
              <w:autoSpaceDE w:val="false"/>
              <w:spacing w:lineRule="atLeast" w:line="240"/>
              <w:ind w:start="836" w:end="105"/>
              <w:rPr>
                <w:rFonts w:ascii="Times New Roman" w:hAnsi="Times New Roman" w:cs="Times New Roman"/>
                <w:color w:val="000000"/>
                <w:sz w:val="22"/>
                <w:szCs w:val="22"/>
              </w:rPr>
            </w:pPr>
            <w:r>
              <w:rPr>
                <w:rFonts w:cs="Times New Roman" w:ascii="Times New Roman" w:hAnsi="Times New Roman"/>
                <w:color w:val="000000"/>
                <w:sz w:val="22"/>
                <w:szCs w:val="22"/>
              </w:rPr>
              <w:t>Particulates (PM10)</w:t>
            </w:r>
          </w:p>
        </w:tc>
        <w:tc>
          <w:tcPr>
            <w:tcW w:w="2314" w:type="dxa"/>
            <w:tcBorders/>
          </w:tcPr>
          <w:p>
            <w:pPr>
              <w:pStyle w:val="Normal"/>
              <w:widowControl/>
              <w:autoSpaceDE w:val="false"/>
              <w:spacing w:lineRule="atLeast" w:line="240"/>
              <w:ind w:start="116" w:end="116"/>
              <w:jc w:val="end"/>
              <w:rPr>
                <w:rFonts w:ascii="Times New Roman" w:hAnsi="Times New Roman" w:cs="Times New Roman"/>
                <w:color w:val="000000"/>
                <w:sz w:val="22"/>
                <w:szCs w:val="22"/>
              </w:rPr>
            </w:pPr>
            <w:r>
              <w:rPr>
                <w:rFonts w:cs="Times New Roman" w:ascii="Times New Roman" w:hAnsi="Times New Roman"/>
                <w:color w:val="000000"/>
                <w:sz w:val="22"/>
                <w:szCs w:val="22"/>
              </w:rPr>
              <w:t>&lt;20 mg/m3</w:t>
            </w:r>
          </w:p>
        </w:tc>
        <w:tc>
          <w:tcPr>
            <w:tcW w:w="2360" w:type="dxa"/>
            <w:tcBorders/>
          </w:tcPr>
          <w:p>
            <w:pPr>
              <w:pStyle w:val="Normal"/>
              <w:widowControl/>
              <w:autoSpaceDE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t>&lt;20 mg/m3</w:t>
            </w:r>
          </w:p>
        </w:tc>
        <w:tc>
          <w:tcPr>
            <w:tcW w:w="2360" w:type="dxa"/>
            <w:tcBorders/>
          </w:tcPr>
          <w:p>
            <w:pPr>
              <w:pStyle w:val="Normal"/>
              <w:widowControl/>
              <w:autoSpaceDE w:val="false"/>
              <w:snapToGrid w:val="false"/>
              <w:spacing w:lineRule="atLeast" w:line="240"/>
              <w:ind w:start="118" w:end="118"/>
              <w:jc w:val="end"/>
              <w:rPr>
                <w:rFonts w:ascii="Times New Roman" w:hAnsi="Times New Roman" w:cs="Times New Roman"/>
                <w:color w:val="000000"/>
                <w:sz w:val="22"/>
                <w:szCs w:val="22"/>
              </w:rPr>
            </w:pPr>
            <w:r>
              <w:rPr>
                <w:rFonts w:cs="Times New Roman" w:ascii="Times New Roman" w:hAnsi="Times New Roman"/>
                <w:color w:val="000000"/>
                <w:sz w:val="22"/>
                <w:szCs w:val="22"/>
              </w:rPr>
            </w:r>
          </w:p>
        </w:tc>
      </w:tr>
    </w:tbl>
    <w:p>
      <w:pPr>
        <w:pStyle w:val="Normal"/>
        <w:widowControl/>
        <w:autoSpaceDE w:val="false"/>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r>
        <w:rPr>
          <w:rFonts w:cs="Times New Roman" w:ascii="Times New Roman" w:hAnsi="Times New Roman"/>
          <w:color w:val="000000"/>
          <w:sz w:val="22"/>
          <w:szCs w:val="22"/>
        </w:rPr>
        <w:t>Water Discharge</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pPr>
      <w:r>
        <w:rPr>
          <w:rFonts w:cs="Times New Roman" w:ascii="Times New Roman" w:hAnsi="Times New Roman"/>
          <w:color w:val="000000"/>
          <w:sz w:val="22"/>
          <w:szCs w:val="22"/>
        </w:rPr>
        <w:t xml:space="preserve">10.2.1   </w:t>
      </w:r>
      <w:r>
        <w:rPr>
          <w:rFonts w:cs="Times New Roman" w:ascii="Times New Roman" w:hAnsi="Times New Roman"/>
          <w:color w:val="000000"/>
          <w:sz w:val="22"/>
          <w:szCs w:val="22"/>
          <w:u w:val="single"/>
        </w:rPr>
        <w:t>Heat Rate Guarantee</w:t>
      </w:r>
      <w:r>
        <w:rPr>
          <w:rFonts w:cs="Times New Roman" w:ascii="Times New Roman" w:hAnsi="Times New Roman"/>
          <w:color w:val="000000"/>
          <w:sz w:val="22"/>
          <w:szCs w:val="22"/>
        </w:rPr>
        <w:t xml:space="preserve">.  Seller guarantees that the Heat Rate as measured for each of the Units </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as demonstrated during the most recent Performance Test conducted in accordance with Section 10.5, shall be equal to or less than the applicable Unit Performance Standard set forth in Section 10.2 . In the event the Heat Rate exceeds the Minimum Heat Rate Guarantee, Seller shall take all necessary actions to correct, retest the deficient Unit and cause the deficient Unit to meet the Minimum Heat Rate Guarantee.  Failure to meet the Heat Rate Guarantee shall prevent Acceptance, unless Purchaser explicitly waives this guarantee in writing.  </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pPr>
      <w:r>
        <w:rPr>
          <w:rFonts w:cs="Times New Roman" w:ascii="Times New Roman" w:hAnsi="Times New Roman"/>
          <w:color w:val="000000"/>
          <w:sz w:val="22"/>
          <w:szCs w:val="22"/>
        </w:rPr>
        <w:t xml:space="preserve">10.3.2   </w:t>
      </w:r>
      <w:r>
        <w:rPr>
          <w:rFonts w:cs="Times New Roman" w:ascii="Times New Roman" w:hAnsi="Times New Roman"/>
          <w:color w:val="000000"/>
          <w:sz w:val="22"/>
          <w:szCs w:val="22"/>
          <w:u w:val="single"/>
        </w:rPr>
        <w:t>Electrical Output Guarantee.</w:t>
      </w:r>
      <w:r>
        <w:rPr>
          <w:rFonts w:cs="Times New Roman" w:ascii="Times New Roman" w:hAnsi="Times New Roman"/>
          <w:color w:val="000000"/>
          <w:sz w:val="22"/>
          <w:szCs w:val="22"/>
        </w:rPr>
        <w:t xml:space="preserve">  Seller guarantees that the Electrical Output of each Unit as demonstrated in the most recent Performance Test conducted in accordance with Section 10.5 shall be equal or greater than 2000 kW (for a 2.0 MW Unit), 2400 kW (for a 2.4 MW) Unit, and 3000kW (for a 3.0 MW Unit).</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  </w:t>
      </w:r>
    </w:p>
    <w:p>
      <w:pPr>
        <w:pStyle w:val="Normal"/>
        <w:widowControl/>
        <w:autoSpaceDE w:val="false"/>
        <w:spacing w:lineRule="atLeast" w:line="240"/>
        <w:jc w:val="both"/>
        <w:rPr>
          <w:rFonts w:ascii="Times New Roman" w:hAnsi="Times New Roman" w:cs="Times New Roman"/>
          <w:b/>
          <w:bCs/>
          <w:color w:val="000000"/>
          <w:sz w:val="22"/>
          <w:szCs w:val="22"/>
        </w:rPr>
      </w:pPr>
      <w:r>
        <w:rPr>
          <w:rFonts w:cs="Times New Roman" w:ascii="Times New Roman" w:hAnsi="Times New Roman"/>
          <w:color w:val="000000"/>
          <w:sz w:val="22"/>
          <w:szCs w:val="22"/>
        </w:rPr>
        <w:t xml:space="preserve">10.3.3   </w:t>
      </w:r>
      <w:r>
        <w:rPr>
          <w:rFonts w:cs="Times New Roman" w:ascii="Times New Roman" w:hAnsi="Times New Roman"/>
          <w:color w:val="000000"/>
          <w:sz w:val="22"/>
          <w:szCs w:val="22"/>
          <w:u w:val="single"/>
        </w:rPr>
        <w:t>Emissions Guarantee</w:t>
      </w:r>
      <w:r>
        <w:rPr>
          <w:rFonts w:cs="Times New Roman" w:ascii="Times New Roman" w:hAnsi="Times New Roman"/>
          <w:color w:val="000000"/>
          <w:sz w:val="22"/>
          <w:szCs w:val="22"/>
        </w:rPr>
        <w:t xml:space="preserve">. Seller guarantees that the emissions of each Unit for NOx, SOx, CO, VOC and PM10 when the Unit is operated at Maximum Unit Output during the most recent Performance Test conducted in accordance with Section 10.5 shall not exceed the applicable Unit Performance Standards listed in Section 10.2.  </w:t>
      </w:r>
    </w:p>
    <w:p>
      <w:pPr>
        <w:pStyle w:val="Normal"/>
        <w:widowControl/>
        <w:autoSpaceDE w:val="false"/>
        <w:spacing w:lineRule="atLeast" w:line="240"/>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widowControl/>
        <w:autoSpaceDE w:val="false"/>
        <w:spacing w:lineRule="atLeast" w:line="240"/>
        <w:rPr/>
      </w:pPr>
      <w:r>
        <w:rPr>
          <w:rFonts w:cs="Times New Roman" w:ascii="Times New Roman" w:hAnsi="Times New Roman"/>
          <w:color w:val="000000"/>
          <w:sz w:val="22"/>
          <w:szCs w:val="22"/>
        </w:rPr>
        <w:t xml:space="preserve">10.3.4   </w:t>
      </w:r>
      <w:r>
        <w:rPr>
          <w:rFonts w:cs="Times New Roman" w:ascii="Times New Roman" w:hAnsi="Times New Roman"/>
          <w:color w:val="000000"/>
          <w:sz w:val="22"/>
          <w:szCs w:val="22"/>
          <w:u w:val="single"/>
        </w:rPr>
        <w:t>Water Consumption Guarantee.</w:t>
      </w:r>
      <w:r>
        <w:rPr>
          <w:rFonts w:cs="Times New Roman" w:ascii="Times New Roman" w:hAnsi="Times New Roman"/>
          <w:color w:val="000000"/>
          <w:sz w:val="22"/>
          <w:szCs w:val="22"/>
        </w:rPr>
        <w:t xml:space="preserve">  Seller guarantees that the Water consumption for each unit as demonstrated in the most recent Performance Test conducted in accordance with Section 10.5, will not exceed the applicable Unit Performance Standard set forth in Section 10.2. </w:t>
      </w:r>
    </w:p>
    <w:p>
      <w:pPr>
        <w:pStyle w:val="Normal"/>
        <w:widowControl/>
        <w:autoSpaceDE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rPr/>
      </w:pPr>
      <w:r>
        <w:rPr>
          <w:rFonts w:cs="Times New Roman" w:ascii="Times New Roman" w:hAnsi="Times New Roman"/>
          <w:color w:val="000000"/>
          <w:sz w:val="22"/>
          <w:szCs w:val="22"/>
        </w:rPr>
        <w:t>10.3.5</w:t>
        <w:tab/>
      </w:r>
      <w:r>
        <w:rPr>
          <w:rFonts w:cs="Times New Roman" w:ascii="Times New Roman" w:hAnsi="Times New Roman"/>
          <w:color w:val="000000"/>
          <w:sz w:val="22"/>
          <w:szCs w:val="22"/>
          <w:u w:val="single"/>
        </w:rPr>
        <w:t>Sound Guarantee.</w:t>
      </w:r>
      <w:r>
        <w:rPr>
          <w:rFonts w:cs="Times New Roman" w:ascii="Times New Roman" w:hAnsi="Times New Roman"/>
          <w:color w:val="000000"/>
          <w:sz w:val="22"/>
          <w:szCs w:val="22"/>
        </w:rPr>
        <w:t xml:space="preserve"> Seller guarantees that the near field average A-weighted sound pressure levels of the Facility </w:t>
      </w:r>
      <w:r>
        <w:rPr>
          <w:rFonts w:cs="Times New Roman" w:ascii="Times New Roman" w:hAnsi="Times New Roman"/>
          <w:b/>
          <w:bCs/>
          <w:color w:val="000000"/>
          <w:sz w:val="22"/>
          <w:szCs w:val="22"/>
        </w:rPr>
        <w:t>[Issue: How do we do this?]</w:t>
      </w:r>
      <w:r>
        <w:rPr>
          <w:rFonts w:cs="Times New Roman" w:ascii="Times New Roman" w:hAnsi="Times New Roman"/>
          <w:color w:val="000000"/>
          <w:sz w:val="22"/>
          <w:szCs w:val="22"/>
        </w:rPr>
        <w:t xml:space="preserve">  shall not exceed 65dB(a) (referenced to 20 micropascals) when measured during the most recent Performance Test conducted in accordance with Section 10.5, at one and a half (1.5) meters above the ground level and one (1) meter from the surface of the Equipment.]</w:t>
      </w:r>
    </w:p>
    <w:p>
      <w:pPr>
        <w:pStyle w:val="Normal"/>
        <w:widowControl/>
        <w:autoSpaceDE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rPr/>
      </w:pPr>
      <w:r>
        <w:rPr>
          <w:rFonts w:cs="Times New Roman" w:ascii="Times New Roman" w:hAnsi="Times New Roman"/>
          <w:color w:val="000000"/>
          <w:sz w:val="22"/>
          <w:szCs w:val="22"/>
        </w:rPr>
        <w:t>10.3.6</w:t>
        <w:tab/>
      </w:r>
      <w:r>
        <w:rPr>
          <w:rFonts w:cs="Times New Roman" w:ascii="Times New Roman" w:hAnsi="Times New Roman"/>
          <w:color w:val="000000"/>
          <w:sz w:val="22"/>
          <w:szCs w:val="22"/>
          <w:u w:val="single"/>
        </w:rPr>
        <w:t>Reliability.</w:t>
      </w:r>
      <w:r>
        <w:rPr>
          <w:rFonts w:cs="Times New Roman" w:ascii="Times New Roman" w:hAnsi="Times New Roman"/>
          <w:color w:val="000000"/>
          <w:sz w:val="22"/>
          <w:szCs w:val="22"/>
        </w:rPr>
        <w:t xml:space="preserve"> Seller guarantees that each Unit will pass a reliability test where the Unit is operated at Maximum Unit Output for seventy-two (72) consecutive hours without unplanned outages during the most recent Performance Test conducted in accordance with Section 10.5.</w:t>
      </w:r>
    </w:p>
    <w:p>
      <w:pPr>
        <w:pStyle w:val="Normal"/>
        <w:widowControl/>
        <w:autoSpaceDE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pPr>
      <w:r>
        <w:rPr>
          <w:rFonts w:cs="Times New Roman" w:ascii="Times New Roman" w:hAnsi="Times New Roman"/>
          <w:color w:val="000000"/>
          <w:sz w:val="22"/>
          <w:szCs w:val="22"/>
        </w:rPr>
        <w:t xml:space="preserve">10.4   </w:t>
      </w:r>
      <w:r>
        <w:rPr>
          <w:rFonts w:cs="Times New Roman" w:ascii="Times New Roman" w:hAnsi="Times New Roman"/>
          <w:color w:val="000000"/>
          <w:sz w:val="22"/>
          <w:szCs w:val="22"/>
          <w:u w:val="single"/>
        </w:rPr>
        <w:t xml:space="preserve"> Remedy for Failures to Meet Performance Guarantees.</w:t>
      </w:r>
      <w:r>
        <w:rPr>
          <w:rFonts w:cs="Times New Roman" w:ascii="Times New Roman" w:hAnsi="Times New Roman"/>
          <w:color w:val="000000"/>
          <w:sz w:val="22"/>
          <w:szCs w:val="22"/>
        </w:rPr>
        <w:t xml:space="preserve">  Except as specified in Section 10.8 the failure to achieve the Performance Guarantees by the Acceptance Deadline [to be defined] shall constitute a default under this Agreement, and Purchaser shall have the remedies specified in Article [].</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pPr>
      <w:r>
        <w:rPr>
          <w:rFonts w:cs="Times New Roman" w:ascii="Times New Roman" w:hAnsi="Times New Roman"/>
          <w:color w:val="000000"/>
          <w:sz w:val="22"/>
          <w:szCs w:val="22"/>
        </w:rPr>
        <w:t xml:space="preserve">10.5   </w:t>
      </w:r>
      <w:r>
        <w:rPr>
          <w:rFonts w:cs="Times New Roman" w:ascii="Times New Roman" w:hAnsi="Times New Roman"/>
          <w:color w:val="000000"/>
          <w:sz w:val="22"/>
          <w:szCs w:val="22"/>
          <w:u w:val="single"/>
        </w:rPr>
        <w:t>Testing.</w:t>
      </w:r>
    </w:p>
    <w:p>
      <w:pPr>
        <w:pStyle w:val="Normal"/>
        <w:widowControl/>
        <w:autoSpaceDE w:val="false"/>
        <w:spacing w:lineRule="atLeast" w:line="240"/>
        <w:jc w:val="both"/>
        <w:rPr>
          <w:rFonts w:ascii="Times New Roman" w:hAnsi="Times New Roman" w:cs="Times New Roman"/>
          <w:color w:val="000000"/>
          <w:sz w:val="22"/>
          <w:szCs w:val="22"/>
          <w:u w:val="single"/>
        </w:rPr>
      </w:pPr>
      <w:r>
        <w:rPr>
          <w:rFonts w:cs="Times New Roman" w:ascii="Times New Roman" w:hAnsi="Times New Roman"/>
          <w:color w:val="000000"/>
          <w:sz w:val="22"/>
          <w:szCs w:val="22"/>
          <w:u w:val="single"/>
        </w:rPr>
      </w:r>
    </w:p>
    <w:p>
      <w:pPr>
        <w:pStyle w:val="Normal"/>
        <w:widowControl/>
        <w:autoSpaceDE w:val="false"/>
        <w:spacing w:lineRule="atLeast" w:line="240"/>
        <w:jc w:val="both"/>
        <w:rPr/>
      </w:pPr>
      <w:r>
        <w:rPr>
          <w:rFonts w:cs="Times New Roman" w:ascii="Times New Roman" w:hAnsi="Times New Roman"/>
          <w:color w:val="000000"/>
          <w:sz w:val="22"/>
          <w:szCs w:val="22"/>
        </w:rPr>
        <w:t xml:space="preserve">10.5.1   </w:t>
      </w:r>
      <w:r>
        <w:rPr>
          <w:rFonts w:cs="Times New Roman" w:ascii="Times New Roman" w:hAnsi="Times New Roman"/>
          <w:color w:val="000000"/>
          <w:sz w:val="22"/>
          <w:szCs w:val="22"/>
          <w:u w:val="single"/>
        </w:rPr>
        <w:t>Notice of Installation Completion; Conducting Tests</w:t>
      </w:r>
      <w:r>
        <w:rPr>
          <w:rFonts w:cs="Times New Roman" w:ascii="Times New Roman" w:hAnsi="Times New Roman"/>
          <w:color w:val="000000"/>
          <w:sz w:val="22"/>
          <w:szCs w:val="22"/>
        </w:rPr>
        <w:t>. Seller shall deliver Notice to Purchaser that a Unit has achieved Installation Completion so that the Unit is ready to be tested.  Within fourteen (14) days of receipt of this Notice, Purchaser shall perform the Performance Tests in accordance with the Performance Test Procedure; however, Purchaser shall not be required to conduct Performance Tests prior to sixty (60) days from the Expected Delivery Date  or date of actual delivery of all the Major Components to the Site, whichever is latest. Purchaser shall give Seller five (5) days notice of the time of the Performance Tests. Seller shall be present or to have a representative present at the Performance Tests, and shall provide technical advice during the tests; however, Purchaser may at its option conduct the test without Seller, assuming notice was properly given in accordance with this section.</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pPr>
      <w:r>
        <w:rPr>
          <w:rFonts w:cs="Times New Roman" w:ascii="Times New Roman" w:hAnsi="Times New Roman"/>
          <w:color w:val="000000"/>
          <w:sz w:val="22"/>
          <w:szCs w:val="22"/>
        </w:rPr>
        <w:t xml:space="preserve">10.5.2   </w:t>
      </w:r>
      <w:r>
        <w:rPr>
          <w:rFonts w:cs="Times New Roman" w:ascii="Times New Roman" w:hAnsi="Times New Roman"/>
          <w:color w:val="000000"/>
          <w:sz w:val="22"/>
          <w:szCs w:val="22"/>
          <w:u w:val="single"/>
        </w:rPr>
        <w:t>Test Results</w:t>
      </w:r>
      <w:r>
        <w:rPr>
          <w:rFonts w:cs="Times New Roman" w:ascii="Times New Roman" w:hAnsi="Times New Roman"/>
          <w:color w:val="000000"/>
          <w:sz w:val="22"/>
          <w:szCs w:val="22"/>
        </w:rPr>
        <w:t>. Performance Tests shall be conducted on a unit-by-unit basis in strict accordance with the Acceptance and Performance Evaluation Testing Protocol set forth in Exhibit _. Upon the completion of a Performance Test for a Unit, Purchaser will issue a Performance Test Certificate setting forth the results achieved during such test.  In the case of multiple Performance Tests on a Unit, performance shall be measured by the most recent Performance Test.</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pPr>
      <w:r>
        <w:rPr>
          <w:rFonts w:cs="Times New Roman" w:ascii="Times New Roman" w:hAnsi="Times New Roman"/>
          <w:color w:val="000000"/>
          <w:sz w:val="22"/>
          <w:szCs w:val="22"/>
        </w:rPr>
        <w:t xml:space="preserve">10.5.3   </w:t>
      </w:r>
      <w:r>
        <w:rPr>
          <w:rFonts w:cs="Times New Roman" w:ascii="Times New Roman" w:hAnsi="Times New Roman"/>
          <w:color w:val="000000"/>
          <w:sz w:val="22"/>
          <w:szCs w:val="22"/>
          <w:u w:val="single"/>
        </w:rPr>
        <w:t>Costs of  Retests</w:t>
      </w:r>
      <w:r>
        <w:rPr>
          <w:rFonts w:cs="Times New Roman" w:ascii="Times New Roman" w:hAnsi="Times New Roman"/>
          <w:color w:val="000000"/>
          <w:sz w:val="22"/>
          <w:szCs w:val="22"/>
        </w:rPr>
        <w:t>.  If one or more additional Acceptance Tests are required due to the failure of a Unit to pass its Acceptance Test, Seller will bear the additional costs (if any) incurred by Purchaser in excess of the costs of fuel, water and operation and maintenance personnel associated with operating the Unit during such additional Acceptance Tests. Such additional costs may include, but not be limited to, cost of testing, instrumentation, fuel, consumable spare parts, and additional personnel required to conduct the tests.</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pPr>
      <w:r>
        <w:rPr>
          <w:rFonts w:cs="Times New Roman" w:ascii="Times New Roman" w:hAnsi="Times New Roman"/>
          <w:color w:val="000000"/>
          <w:sz w:val="22"/>
          <w:szCs w:val="22"/>
        </w:rPr>
        <w:t xml:space="preserve">10.6   </w:t>
      </w:r>
      <w:r>
        <w:rPr>
          <w:rFonts w:cs="Times New Roman" w:ascii="Times New Roman" w:hAnsi="Times New Roman"/>
          <w:color w:val="000000"/>
          <w:sz w:val="22"/>
          <w:szCs w:val="22"/>
          <w:u w:val="single"/>
        </w:rPr>
        <w:t>Acceptance</w:t>
      </w:r>
      <w:r>
        <w:rPr>
          <w:rFonts w:cs="Times New Roman" w:ascii="Times New Roman" w:hAnsi="Times New Roman"/>
          <w:color w:val="000000"/>
          <w:sz w:val="22"/>
          <w:szCs w:val="22"/>
        </w:rPr>
        <w:t xml:space="preserve">.  Upon the successful completion of the Performance Test for a Unit, Seller shall submit a Performance Test Certificate to Purchaser certifying that a Unit has achieved the Performance Standards and it ready for Acceptance.  Purchaser shall within ten  (10) days of receipt of such Performance Test Certificate, either sign such certificate acknowledging concurrence or reject such certificate specifically stating the reasons for such rejection. Acceptance for each Unit (and its associated Equipment) shall occur upon the issuance of the Performance Test Certificate by Purchaser as a result of the Unit having met the Performance Guarantees.  Acceptance of the each Unit to be installed in a Facility shall occur when all of the following have occurred: </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ind w:hanging="720" w:start="1440" w:end="0"/>
        <w:jc w:val="both"/>
        <w:rPr>
          <w:rFonts w:ascii="Times New Roman" w:hAnsi="Times New Roman" w:cs="Times New Roman"/>
          <w:color w:val="000000"/>
          <w:sz w:val="22"/>
          <w:szCs w:val="22"/>
        </w:rPr>
      </w:pPr>
      <w:r>
        <w:rPr>
          <w:rFonts w:cs="Times New Roman" w:ascii="Times New Roman" w:hAnsi="Times New Roman"/>
          <w:color w:val="000000"/>
          <w:sz w:val="22"/>
          <w:szCs w:val="22"/>
        </w:rPr>
        <w:t>(a)</w:t>
        <w:tab/>
        <w:t>the issuance of a Performance Test Certificate by Purchaser as a result of a Performance Test indicating that the final Unit has met the Performance Standards;</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tabs>
          <w:tab w:val="clear" w:pos="720"/>
          <w:tab w:val="left" w:pos="0" w:leader="none"/>
        </w:tabs>
        <w:autoSpaceDE w:val="false"/>
        <w:spacing w:lineRule="atLeast" w:line="240"/>
        <w:ind w:hanging="720" w:start="1440" w:end="0"/>
        <w:jc w:val="both"/>
        <w:rPr>
          <w:rFonts w:ascii="Times New Roman" w:hAnsi="Times New Roman" w:cs="Times New Roman"/>
          <w:color w:val="000000"/>
          <w:sz w:val="22"/>
          <w:szCs w:val="22"/>
        </w:rPr>
      </w:pPr>
      <w:r>
        <w:rPr>
          <w:rFonts w:cs="Times New Roman" w:ascii="Times New Roman" w:hAnsi="Times New Roman"/>
          <w:color w:val="000000"/>
          <w:sz w:val="22"/>
          <w:szCs w:val="22"/>
        </w:rPr>
        <w:t>(b)</w:t>
        <w:tab/>
        <w:t>all completion of training  and the delivery of O &amp; M Manuals and special tools required hereunder shall have occurred;</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(c)</w:t>
        <w:tab/>
        <w:t>Seller has delivered to Purchaser a waiver of liens in form as shown in Exhibit-S that have been or could have been placed upon the Equipment and that there are no outstanding claims of Seller or any Vendor with respect to the Equipment for that particular Facility;</w:t>
      </w:r>
    </w:p>
    <w:p>
      <w:pPr>
        <w:pStyle w:val="Normal"/>
        <w:widowControl/>
        <w:tabs>
          <w:tab w:val="clear" w:pos="720"/>
          <w:tab w:val="left" w:pos="0" w:leader="none"/>
        </w:tabs>
        <w:autoSpaceDE w:val="false"/>
        <w:spacing w:lineRule="atLeast" w:line="240"/>
        <w:ind w:start="720" w:end="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(d)</w:t>
        <w:tab/>
        <w:t>all of the Units in the Facility have achieved Installation Completion. [and there are no punch list items remaining to be completed – need to add retention concept.]</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jc w:val="both"/>
        <w:rPr/>
      </w:pPr>
      <w:r>
        <w:rPr>
          <w:rFonts w:cs="Times New Roman" w:ascii="Times New Roman" w:hAnsi="Times New Roman"/>
          <w:color w:val="000000"/>
          <w:sz w:val="22"/>
          <w:szCs w:val="22"/>
        </w:rPr>
        <w:t>10.7</w:t>
        <w:tab/>
      </w:r>
      <w:r>
        <w:rPr>
          <w:rFonts w:cs="Times New Roman" w:ascii="Times New Roman" w:hAnsi="Times New Roman"/>
          <w:color w:val="000000"/>
          <w:sz w:val="22"/>
          <w:szCs w:val="22"/>
          <w:u w:val="single"/>
        </w:rPr>
        <w:t>Obligation to Improve Performance.</w:t>
      </w:r>
      <w:r>
        <w:rPr>
          <w:rFonts w:cs="Times New Roman" w:ascii="Times New Roman" w:hAnsi="Times New Roman"/>
          <w:color w:val="000000"/>
          <w:sz w:val="22"/>
          <w:szCs w:val="22"/>
        </w:rPr>
        <w:t xml:space="preserve">  If the Performance Test should indicate that a Unit has met the Performance Standards but not the Expected Performance Standards set forth in Exhibit _, then for a period of ninety (90) days following the Performance Test Seller shall have the obligation to use reasonable efforts to improve performance so that the Guaranteed Performance Criteria are met. Such efforts shall be at Seller’s sole cost and risk. Performance Tests shall be conducted in accordance with this Article.  </w:t>
      </w:r>
    </w:p>
    <w:p>
      <w:pPr>
        <w:pStyle w:val="Normal"/>
        <w:widowControl/>
        <w:autoSpaceDE w:val="false"/>
        <w:spacing w:lineRule="atLeast" w:line="24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rPr/>
      </w:pPr>
      <w:r>
        <w:rPr>
          <w:rFonts w:cs="Times New Roman" w:ascii="Times New Roman" w:hAnsi="Times New Roman"/>
          <w:color w:val="000000"/>
          <w:sz w:val="22"/>
          <w:szCs w:val="22"/>
        </w:rPr>
        <w:t xml:space="preserve">10.8    </w:t>
      </w:r>
      <w:r>
        <w:rPr>
          <w:rFonts w:cs="Times New Roman" w:ascii="Times New Roman" w:hAnsi="Times New Roman"/>
          <w:color w:val="000000"/>
          <w:sz w:val="22"/>
          <w:szCs w:val="22"/>
          <w:u w:val="single"/>
        </w:rPr>
        <w:t>Reduced Purchase Amount for Failing to Meet Guaranteed Performance Levels.</w:t>
      </w:r>
      <w:r>
        <w:rPr>
          <w:rFonts w:cs="Times New Roman" w:ascii="Times New Roman" w:hAnsi="Times New Roman"/>
          <w:color w:val="000000"/>
          <w:sz w:val="22"/>
          <w:szCs w:val="22"/>
        </w:rPr>
        <w:t xml:space="preserve">  Should (i) the most recent Performance Test of a Unit demonstrate that the Unit has met the Performance Standards except for the Electrical Output Performance Standard and (ii) during such Performance Test of a Unit, the Unit demonstrates that it has met 90% or greater of the Electrical Output Performance Standard, the Purchase Amount related to that Unit shall be reduced by the percent by which the Unit fails to meet the Power Output/kW Performance Standard. Seller shall within 30 days refund any prior payment received for the Unit in excess of the reduced Purchase Amount. </w:t>
      </w:r>
      <w:r>
        <w:br w:type="page"/>
      </w:r>
    </w:p>
    <w:p>
      <w:pPr>
        <w:pStyle w:val="Normal"/>
        <w:widowControl/>
        <w:autoSpaceDE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autoSpaceDE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fldChar w:fldCharType="begin"/>
      </w:r>
      <w:r>
        <w:rPr/>
        <w:instrText xml:space="preserve"> TC "10.4   Electrical Losses Guarantee" \l 2 </w:instrText>
      </w:r>
      <w:r>
        <w:rPr/>
        <w:fldChar w:fldCharType="separate"/>
      </w:r>
      <w:r>
        <w:rPr/>
      </w:r>
      <w:r>
        <w:rPr/>
        <w:fldChar w:fldCharType="end"/>
      </w:r>
      <w:bookmarkStart w:id="73" w:name="__RefHeading___Toc497800436"/>
      <w:bookmarkEnd w:id="73"/>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  </w:t>
      </w:r>
      <w:r>
        <w:rPr>
          <w:rFonts w:cs="Times New Roman" w:ascii="Times New Roman" w:hAnsi="Times New Roman"/>
          <w:sz w:val="22"/>
          <w:u w:val="single"/>
        </w:rPr>
        <w:t>CHANGE ORDER</w:t>
      </w:r>
      <w:r>
        <w:fldChar w:fldCharType="begin"/>
      </w:r>
      <w:r>
        <w:rPr/>
        <w:instrText xml:space="preserve"> TC "ARTICLE XI.  CHANGE ORDER" \l 1 </w:instrText>
      </w:r>
      <w:r>
        <w:rPr/>
        <w:fldChar w:fldCharType="separate"/>
      </w:r>
      <w:r>
        <w:rPr/>
      </w:r>
      <w:r>
        <w:rPr/>
        <w:fldChar w:fldCharType="end"/>
      </w:r>
      <w:bookmarkStart w:id="74" w:name="__RefHeading___Toc497800448"/>
      <w:bookmarkEnd w:id="74"/>
      <w:r>
        <w:rPr>
          <w:rFonts w:cs="Times New Roman" w:ascii="Times New Roman" w:hAnsi="Times New Roman"/>
          <w:sz w:val="22"/>
          <w:u w:val="single"/>
        </w:rPr>
        <w: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11.1   </w:t>
      </w:r>
      <w:r>
        <w:rPr>
          <w:rFonts w:cs="Times New Roman" w:ascii="Times New Roman" w:hAnsi="Times New Roman"/>
          <w:sz w:val="22"/>
          <w:u w:val="single"/>
        </w:rPr>
        <w:t>Adjustment of Purchase Amount</w:t>
      </w:r>
      <w:r>
        <w:fldChar w:fldCharType="begin"/>
      </w:r>
      <w:r>
        <w:rPr/>
        <w:instrText xml:space="preserve"> TC "11.1   Adjustment of Purchase Amount" \l 2 </w:instrText>
      </w:r>
      <w:r>
        <w:rPr/>
        <w:fldChar w:fldCharType="separate"/>
      </w:r>
      <w:r>
        <w:rPr/>
      </w:r>
      <w:r>
        <w:rPr/>
        <w:fldChar w:fldCharType="end"/>
      </w:r>
      <w:bookmarkStart w:id="75" w:name="__RefHeading___Toc497800449"/>
      <w:bookmarkEnd w:id="75"/>
      <w:r>
        <w:rPr>
          <w:rFonts w:cs="Times New Roman" w:ascii="Times New Roman" w:hAnsi="Times New Roman"/>
          <w:sz w:val="22"/>
        </w:rPr>
        <w:t>.  The Purchase Amount shall be subject to adjustment in accordance with the terms of this Agreement solely for (a) Purchaser</w:t>
        <w:noBreakHyphen/>
        <w:t>directed changes in the Scope of Work (b) changes in the Scope of Work proposed by Seller and approved by Purchaser (c) Change in Law, or (d) Force Majeure.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11.2   </w:t>
      </w:r>
      <w:r>
        <w:rPr>
          <w:rFonts w:cs="Times New Roman" w:ascii="Times New Roman" w:hAnsi="Times New Roman"/>
          <w:sz w:val="22"/>
          <w:u w:val="single"/>
        </w:rPr>
        <w:t>Purchaser Requested Change Order</w:t>
      </w:r>
      <w:r>
        <w:fldChar w:fldCharType="begin"/>
      </w:r>
      <w:r>
        <w:rPr/>
        <w:instrText xml:space="preserve"> TC "11.2   Purchaser Requested Change Order" \l 2 </w:instrText>
      </w:r>
      <w:r>
        <w:rPr/>
        <w:fldChar w:fldCharType="separate"/>
      </w:r>
      <w:r>
        <w:rPr/>
      </w:r>
      <w:r>
        <w:rPr/>
        <w:fldChar w:fldCharType="end"/>
      </w:r>
      <w:bookmarkStart w:id="76" w:name="__RefHeading___Toc497800450"/>
      <w:bookmarkEnd w:id="76"/>
      <w:r>
        <w:rPr>
          <w:rFonts w:cs="Times New Roman" w:ascii="Times New Roman" w:hAnsi="Times New Roman"/>
          <w:sz w:val="22"/>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delivery date set forth in Section 8.2,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delivery date set forth in Section 8.2,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11.3   </w:t>
      </w:r>
      <w:r>
        <w:rPr>
          <w:rFonts w:cs="Times New Roman" w:ascii="Times New Roman" w:hAnsi="Times New Roman"/>
          <w:sz w:val="22"/>
          <w:u w:val="single"/>
        </w:rPr>
        <w:t>Seller Requested Change Order</w:t>
      </w:r>
      <w:r>
        <w:fldChar w:fldCharType="begin"/>
      </w:r>
      <w:r>
        <w:rPr/>
        <w:instrText xml:space="preserve"> TC "11.3   Seller Requested Change Order" \l 2 </w:instrText>
      </w:r>
      <w:r>
        <w:rPr/>
        <w:fldChar w:fldCharType="separate"/>
      </w:r>
      <w:r>
        <w:rPr/>
      </w:r>
      <w:r>
        <w:rPr/>
        <w:fldChar w:fldCharType="end"/>
      </w:r>
      <w:bookmarkStart w:id="77" w:name="__RefHeading___Toc497800451"/>
      <w:bookmarkEnd w:id="77"/>
      <w:r>
        <w:rPr>
          <w:rFonts w:cs="Times New Roman" w:ascii="Times New Roman" w:hAnsi="Times New Roman"/>
          <w:sz w:val="22"/>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delivery date as set forth in Section 10.2 and/or the Purchase Amount requested by it.  Following receipt of such request, Purchaser shall determine whether any changes to the Scope of Work, the delivery date set forth in Section 10.2 and/or the Purchase Amount shall be effected, but failure by Purchaser to approve any such changes shall not affect or modify any of Seller’s obligations hereunder or cause an increase in the Purchase Amount and/or extension of the delivery date.  If Seller propose changes in the Scope of Work to Purchaser, Seller shall not make such changes without receiving the prior written consent of Purchaser which shall be reflected on a Change Order, in accordance with the procedures as described in Section 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11.4   </w:t>
      </w:r>
      <w:r>
        <w:rPr>
          <w:rFonts w:cs="Times New Roman" w:ascii="Times New Roman" w:hAnsi="Times New Roman"/>
          <w:sz w:val="22"/>
          <w:u w:val="single"/>
        </w:rPr>
        <w:t>Other Change Order</w:t>
      </w:r>
      <w:r>
        <w:fldChar w:fldCharType="begin"/>
      </w:r>
      <w:r>
        <w:rPr/>
        <w:instrText xml:space="preserve"> TC "11.4   Other Change Order" \l 2 </w:instrText>
      </w:r>
      <w:r>
        <w:rPr/>
        <w:fldChar w:fldCharType="separate"/>
      </w:r>
      <w:r>
        <w:rPr/>
      </w:r>
      <w:r>
        <w:rPr/>
        <w:fldChar w:fldCharType="end"/>
      </w:r>
      <w:bookmarkStart w:id="78" w:name="__RefHeading___Toc497800452"/>
      <w:bookmarkEnd w:id="78"/>
      <w:r>
        <w:rPr>
          <w:rFonts w:cs="Times New Roman" w:ascii="Times New Roman" w:hAnsi="Times New Roman"/>
          <w:sz w:val="22"/>
        </w:rPr>
        <w:t>.  Except as otherwise provided by Sections 3.8(c), if after the date of this Agreement there shall be any Change in Law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11.5   </w:t>
      </w:r>
      <w:r>
        <w:rPr>
          <w:rFonts w:cs="Times New Roman" w:ascii="Times New Roman" w:hAnsi="Times New Roman"/>
          <w:sz w:val="22"/>
          <w:u w:val="single"/>
        </w:rPr>
        <w:t>Disputes</w:t>
      </w:r>
      <w:r>
        <w:fldChar w:fldCharType="begin"/>
      </w:r>
      <w:r>
        <w:rPr/>
        <w:instrText xml:space="preserve"> TC "11.5   Disputes" \l 2 </w:instrText>
      </w:r>
      <w:r>
        <w:rPr/>
        <w:fldChar w:fldCharType="separate"/>
      </w:r>
      <w:r>
        <w:rPr/>
      </w:r>
      <w:r>
        <w:rPr/>
        <w:fldChar w:fldCharType="end"/>
      </w:r>
      <w:bookmarkStart w:id="79" w:name="__RefHeading___Toc497800453"/>
      <w:bookmarkEnd w:id="79"/>
      <w:r>
        <w:rPr>
          <w:rFonts w:cs="Times New Roman" w:ascii="Times New Roman" w:hAnsi="Times New Roman"/>
          <w:sz w:val="22"/>
        </w:rPr>
        <w:t xml:space="preserve">.  In the event of an unresolved dispute regarding a Change Order, the parties agree that the matter shall be submitted to expedited arbitration in accordance with Section 26. </w:t>
      </w:r>
      <w:r>
        <w:br w:type="page"/>
      </w:r>
    </w:p>
    <w:p>
      <w:pPr>
        <w:pStyle w:val="Normal"/>
        <w:widowControl/>
        <w:spacing w:lineRule="auto" w:line="300"/>
        <w:jc w:val="both"/>
        <w:rPr/>
      </w:pPr>
      <w:r>
        <w:rPr>
          <w:rFonts w:cs="Times New Roman" w:ascii="Times New Roman" w:hAnsi="Times New Roman"/>
          <w:sz w:val="22"/>
        </w:rPr>
        <w:t xml:space="preserve">11.6   </w:t>
      </w:r>
      <w:r>
        <w:rPr>
          <w:rFonts w:cs="Times New Roman" w:ascii="Times New Roman" w:hAnsi="Times New Roman"/>
          <w:sz w:val="22"/>
          <w:u w:val="single"/>
        </w:rPr>
        <w:t>Change Order Pricing</w:t>
      </w:r>
      <w:r>
        <w:fldChar w:fldCharType="begin"/>
      </w:r>
      <w:r>
        <w:rPr/>
        <w:instrText xml:space="preserve"> TC "11.6   Change Order Pricing" \l 2 </w:instrText>
      </w:r>
      <w:r>
        <w:rPr/>
        <w:fldChar w:fldCharType="separate"/>
      </w:r>
      <w:r>
        <w:rPr/>
      </w:r>
      <w:r>
        <w:rPr/>
        <w:fldChar w:fldCharType="end"/>
      </w:r>
      <w:bookmarkStart w:id="80" w:name="__RefHeading___Toc497800454"/>
      <w:bookmarkEnd w:id="80"/>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11.6.1   </w:t>
      </w:r>
      <w:r>
        <w:rPr>
          <w:rFonts w:cs="Times New Roman" w:ascii="Times New Roman" w:hAnsi="Times New Roman"/>
          <w:sz w:val="22"/>
          <w:u w:val="single"/>
        </w:rPr>
        <w:t>Method of Pricing</w:t>
      </w:r>
      <w:r>
        <w:fldChar w:fldCharType="begin"/>
      </w:r>
      <w:r>
        <w:rPr/>
        <w:instrText xml:space="preserve"> TC "11.6.1   Method of Pricing" \l 3 </w:instrText>
      </w:r>
      <w:r>
        <w:rPr/>
        <w:fldChar w:fldCharType="separate"/>
      </w:r>
      <w:r>
        <w:rPr/>
      </w:r>
      <w:r>
        <w:rPr/>
        <w:fldChar w:fldCharType="end"/>
      </w:r>
      <w:bookmarkStart w:id="81" w:name="__RefHeading___Toc497800455"/>
      <w:bookmarkEnd w:id="81"/>
      <w:r>
        <w:rPr>
          <w:rFonts w:cs="Times New Roman" w:ascii="Times New Roman" w:hAnsi="Times New Roman"/>
          <w:sz w:val="22"/>
        </w:rPr>
        <w:t>.  All changes to the Agreement shall be either lump sum, or unit price.  If either method cannot be agreed upon, the additional work shall be paid on a cost plus basis.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11.6.2   </w:t>
      </w:r>
      <w:r>
        <w:rPr>
          <w:rFonts w:cs="Times New Roman" w:ascii="Times New Roman" w:hAnsi="Times New Roman"/>
          <w:sz w:val="22"/>
          <w:u w:val="single"/>
        </w:rPr>
        <w:t>Cost Plus Basis</w:t>
      </w:r>
      <w:r>
        <w:fldChar w:fldCharType="begin"/>
      </w:r>
      <w:r>
        <w:rPr/>
        <w:instrText xml:space="preserve"> TC "11.6.2   Cost Plus Basis" \l 3 </w:instrText>
      </w:r>
      <w:r>
        <w:rPr/>
        <w:fldChar w:fldCharType="separate"/>
      </w:r>
      <w:r>
        <w:rPr/>
      </w:r>
      <w:r>
        <w:rPr/>
        <w:fldChar w:fldCharType="end"/>
      </w:r>
      <w:bookmarkStart w:id="82" w:name="__RefHeading___Toc497800456"/>
      <w:bookmarkEnd w:id="82"/>
      <w:r>
        <w:rPr>
          <w:rFonts w:cs="Times New Roman" w:ascii="Times New Roman" w:hAnsi="Times New Roman"/>
          <w:sz w:val="22"/>
        </w:rPr>
        <w:t xml:space="preserve">.  The following procedures will be used for the calculation of cost plus Change Orders: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6"/>
        </w:numPr>
        <w:spacing w:lineRule="auto" w:line="300"/>
        <w:jc w:val="both"/>
        <w:rPr>
          <w:rFonts w:ascii="Times New Roman" w:hAnsi="Times New Roman" w:cs="Times New Roman"/>
          <w:sz w:val="22"/>
        </w:rPr>
      </w:pPr>
      <w:r>
        <w:rPr>
          <w:rFonts w:cs="Times New Roman" w:ascii="Times New Roman" w:hAnsi="Times New Roman"/>
          <w:sz w:val="22"/>
        </w:rPr>
        <w:t xml:space="preserve">For all Seller labor directly charging to an approved Change Order, Seller will be reimbursed in accordance with (c) below.  Time sheets for direct labor expended in the performance of a scope change using cost plus basis pricing will be approved daily by both Seller’s Project Manager and Purchaser's Representative. No cost plus payment will be made for the services of a superintendent or other supervisory or administrative personnel unless specifically authorized and specifically approved by Purchaser's Representative on an individual case basis; and </w:t>
      </w:r>
    </w:p>
    <w:p>
      <w:pPr>
        <w:pStyle w:val="Normal"/>
        <w:widowControl/>
        <w:numPr>
          <w:ilvl w:val="0"/>
          <w:numId w:val="6"/>
        </w:numPr>
        <w:spacing w:lineRule="auto" w:line="300"/>
        <w:jc w:val="both"/>
        <w:rPr>
          <w:rFonts w:ascii="Times New Roman" w:hAnsi="Times New Roman" w:cs="Times New Roman"/>
          <w:sz w:val="22"/>
        </w:rPr>
      </w:pPr>
      <w:r>
        <w:rPr>
          <w:rFonts w:cs="Times New Roman" w:ascii="Times New Roman" w:hAnsi="Times New Roman"/>
          <w:sz w:val="22"/>
        </w:rPr>
        <w:t xml:space="preserve">Direct Costs for an approved Change Order may include, but are not limited to the following:  hourly labor charges for outside consultants and experts, technicians, engineers; new and clean materials, alternate materials; necessary travel, natural gas and other maintenance or operating materials; and other direct costs as agreed.  </w:t>
      </w:r>
    </w:p>
    <w:p>
      <w:pPr>
        <w:pStyle w:val="Normal"/>
        <w:widowControl/>
        <w:numPr>
          <w:ilvl w:val="0"/>
          <w:numId w:val="6"/>
        </w:numPr>
        <w:spacing w:lineRule="auto" w:line="300"/>
        <w:jc w:val="both"/>
        <w:rPr>
          <w:rFonts w:ascii="Times New Roman" w:hAnsi="Times New Roman" w:cs="Times New Roman"/>
          <w:sz w:val="22"/>
        </w:rPr>
      </w:pPr>
      <w:r>
        <w:rPr>
          <w:rFonts w:cs="Times New Roman" w:ascii="Times New Roman" w:hAnsi="Times New Roman"/>
          <w:sz w:val="22"/>
        </w:rPr>
        <w:t>Direct costs will be billed on actual cost basis inclusive of any applicable sales or use taxes assessed and paid in conjunction with such direct costs.  Indirect charges shall be based on Seller’s Federal Government Approved provisional billing rates effective at the time of the work.  [In addition, a twelve percent (12%) fee shall be applied to the total  of direct and indirect costs].</w:t>
      </w:r>
    </w:p>
    <w:p>
      <w:pPr>
        <w:pStyle w:val="Normal"/>
        <w:widowControl/>
        <w:numPr>
          <w:ilvl w:val="0"/>
          <w:numId w:val="6"/>
        </w:numPr>
        <w:spacing w:lineRule="auto" w:line="300"/>
        <w:jc w:val="both"/>
        <w:rPr>
          <w:rFonts w:ascii="Times New Roman" w:hAnsi="Times New Roman" w:cs="Times New Roman"/>
          <w:sz w:val="22"/>
        </w:rPr>
      </w:pPr>
      <w:r>
        <w:rPr>
          <w:rFonts w:cs="Times New Roman" w:ascii="Times New Roman" w:hAnsi="Times New Roman"/>
          <w:sz w:val="22"/>
        </w:rPr>
        <w:t xml:space="preserve">Should Seller perform any scope change without advance written authorization from Purchaser's Representative, as specified above, such work will be at Seller’s expense. </w:t>
      </w:r>
    </w:p>
    <w:p>
      <w:pPr>
        <w:pStyle w:val="Normal"/>
        <w:widowControl/>
        <w:numPr>
          <w:ilvl w:val="0"/>
          <w:numId w:val="6"/>
        </w:numPr>
        <w:spacing w:lineRule="auto" w:line="300"/>
        <w:jc w:val="both"/>
        <w:rPr>
          <w:rFonts w:ascii="Times New Roman" w:hAnsi="Times New Roman" w:cs="Times New Roman"/>
          <w:sz w:val="22"/>
        </w:rPr>
      </w:pPr>
      <w:r>
        <w:rPr>
          <w:rFonts w:cs="Times New Roman" w:ascii="Times New Roman" w:hAnsi="Times New Roman"/>
          <w:sz w:val="22"/>
        </w:rPr>
        <w:t>Charges for use of equipment shall be by agreement of Purchaser's Representative and Seller’s Project Manager, which agreement shall be noted on Purchaser's authorization for such work.</w:t>
      </w:r>
    </w:p>
    <w:p>
      <w:pPr>
        <w:pStyle w:val="Normal"/>
        <w:widowControl/>
        <w:numPr>
          <w:ilvl w:val="0"/>
          <w:numId w:val="6"/>
        </w:numPr>
        <w:spacing w:lineRule="auto" w:line="300"/>
        <w:jc w:val="both"/>
        <w:rPr>
          <w:rFonts w:ascii="Times New Roman" w:hAnsi="Times New Roman" w:cs="Times New Roman"/>
          <w:sz w:val="22"/>
        </w:rPr>
      </w:pPr>
      <w:r>
        <w:rPr>
          <w:rFonts w:cs="Times New Roman" w:ascii="Times New Roman" w:hAnsi="Times New Roman"/>
          <w:sz w:val="22"/>
        </w:rPr>
        <w:t>All such billings for work on the cost plus basis shall comprise the total of charges accumulated under subparagraphs (a) through (c) above and be supported by certified daily payroll records approved by both Seller’s Project Manager and Purchaser's Representative, a detailed list of equipment and material used and any third party invoices.</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11.6.3  </w:t>
      </w:r>
      <w:r>
        <w:rPr>
          <w:rFonts w:cs="Times New Roman" w:ascii="Times New Roman" w:hAnsi="Times New Roman"/>
          <w:sz w:val="22"/>
          <w:u w:val="single"/>
        </w:rPr>
        <w:t>Audit Rights.</w:t>
      </w:r>
      <w:r>
        <w:rPr>
          <w:rFonts w:cs="Times New Roman" w:ascii="Times New Roman" w:hAnsi="Times New Roman"/>
          <w:sz w:val="22"/>
        </w:rPr>
        <w:t xml:space="preserve"> For a period of three years following completion of any cost plus work performed under this Agreement, Purchaser shall have the right to audit all direct and indirect charges related thereto.  Seller shall cooperate with Purchaser in the audit, and will promptly supply all information reasonably necessary for Purchaser to conduct the audit.</w:t>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XII.  </w:t>
      </w:r>
      <w:r>
        <w:rPr>
          <w:rFonts w:cs="Times New Roman" w:ascii="Times New Roman" w:hAnsi="Times New Roman"/>
          <w:sz w:val="22"/>
          <w:u w:val="single"/>
        </w:rPr>
        <w:t xml:space="preserve"> INTELLECTUAL PROPERTY RIGHTS AND INDEMNITY</w:t>
      </w:r>
      <w:r>
        <w:fldChar w:fldCharType="begin"/>
      </w:r>
      <w:r>
        <w:rPr/>
        <w:instrText xml:space="preserve"> TC "ARTICLE XII.  INTENTIONALLY OMITTED" \l 1 </w:instrText>
      </w:r>
      <w:r>
        <w:rPr/>
        <w:fldChar w:fldCharType="separate"/>
      </w:r>
      <w:r>
        <w:rPr/>
      </w:r>
      <w:r>
        <w:rPr/>
        <w:fldChar w:fldCharType="end"/>
      </w:r>
      <w:bookmarkStart w:id="83" w:name="__RefHeading___Toc497800457"/>
      <w:bookmarkEnd w:id="83"/>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12.1   </w:t>
      </w:r>
      <w:r>
        <w:rPr>
          <w:rFonts w:cs="Times New Roman" w:ascii="Times New Roman" w:hAnsi="Times New Roman"/>
          <w:sz w:val="22"/>
          <w:u w:val="single"/>
        </w:rPr>
        <w:t>Seller’s Drawings for Use by Purchaser</w:t>
      </w:r>
      <w:r>
        <w:fldChar w:fldCharType="begin"/>
      </w:r>
      <w:r>
        <w:rPr/>
        <w:instrText xml:space="preserve"> TC "15.3   Seller’s Drawings, Etc. for Use by Purchaser" \l 2 </w:instrText>
      </w:r>
      <w:r>
        <w:rPr/>
        <w:fldChar w:fldCharType="separate"/>
      </w:r>
      <w:r>
        <w:rPr/>
      </w:r>
      <w:r>
        <w:rPr/>
        <w:fldChar w:fldCharType="end"/>
      </w:r>
      <w:bookmarkStart w:id="84" w:name="__RefHeading___Toc497800458"/>
      <w:bookmarkEnd w:id="84"/>
      <w:r>
        <w:rPr>
          <w:rFonts w:cs="Times New Roman" w:ascii="Times New Roman" w:hAnsi="Times New Roman"/>
          <w:sz w:val="22"/>
        </w:rPr>
        <w:t>.  All drawings, documents, engineering and other data furnished or to be furnished by Seller (other than proprietary data furnished by Seller and Vendors) in performing the Scope of Work may be used by Purchaser, Purchaser's operation or subsequent owner for the purpose of constructing the Facility, including but not limited to operation, maintenance, repair and alteration of the Equipment.  In the event any information covered by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operation or subsequent owner to use such information for the purposes stated in the preceding sentence.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12.2   </w:t>
      </w:r>
      <w:r>
        <w:rPr>
          <w:rFonts w:cs="Times New Roman" w:ascii="Times New Roman" w:hAnsi="Times New Roman"/>
          <w:sz w:val="22"/>
          <w:u w:val="single"/>
        </w:rPr>
        <w:t>Licensing Procedure</w:t>
      </w:r>
      <w:r>
        <w:fldChar w:fldCharType="begin"/>
      </w:r>
      <w:r>
        <w:rPr/>
        <w:instrText xml:space="preserve"> TC "15.4   Licensing Procedure" \l 2 </w:instrText>
      </w:r>
      <w:r>
        <w:rPr/>
        <w:fldChar w:fldCharType="separate"/>
      </w:r>
      <w:r>
        <w:rPr/>
      </w:r>
      <w:r>
        <w:rPr/>
        <w:fldChar w:fldCharType="end"/>
      </w:r>
      <w:bookmarkStart w:id="85" w:name="__RefHeading___Toc497800459"/>
      <w:bookmarkEnd w:id="85"/>
      <w:r>
        <w:rPr>
          <w:rFonts w:cs="Times New Roman" w:ascii="Times New Roman" w:hAnsi="Times New Roman"/>
          <w:sz w:val="22"/>
        </w:rPr>
        <w:t>.  Seller grants Purchaser a non-exclusive, irrevocable license to use the Equipment, software and hardware supplied under this Agreement for operating, maintaining and repairing the Facility.  Purchaser shall have no right to the source code; provided, however in the event Seller or Seller’s vendor discontinue maintenance of such software, Seller shall on a best efforts basis attempt to obtain such source code for Purchaser.  The non-exclusive license granted herein to Purchaser may transferred by Purchaser (and Purchaser's operator for the sole purpose of operating the Facility), Lender(s), or successor owners of the Facility. Purchaser agrees to abide by the terms of any license or release so long as Seller as provided Purchaser with a copy of said license.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12.3   </w:t>
      </w:r>
      <w:r>
        <w:rPr>
          <w:rFonts w:cs="Times New Roman" w:ascii="Times New Roman" w:hAnsi="Times New Roman"/>
          <w:sz w:val="22"/>
          <w:u w:val="single"/>
        </w:rPr>
        <w:t>Infringement Cures and Defense</w:t>
      </w:r>
      <w:r>
        <w:fldChar w:fldCharType="begin"/>
      </w:r>
      <w:r>
        <w:rPr/>
        <w:instrText xml:space="preserve"> TC "15.2.2   Infringement Cures and Defense" \l 3 </w:instrText>
      </w:r>
      <w:r>
        <w:rPr/>
        <w:fldChar w:fldCharType="separate"/>
      </w:r>
      <w:r>
        <w:rPr/>
      </w:r>
      <w:r>
        <w:rPr/>
        <w:fldChar w:fldCharType="end"/>
      </w:r>
      <w:bookmarkStart w:id="86" w:name="__RefHeading___Toc497800460"/>
      <w:bookmarkEnd w:id="86"/>
      <w:r>
        <w:rPr>
          <w:rFonts w:cs="Times New Roman" w:ascii="Times New Roman" w:hAnsi="Times New Roman"/>
          <w:sz w:val="22"/>
        </w:rPr>
        <w:t>.  Seller represents and warrants that the design, engineering, manufacture, delivery, installation, training and other services, and equipment, materials and information provided to Purchaser by Seller hereunder will not infringe on any third party's patent, copyright, trademark, trade secret or other intellectual property rights. In the event a suit or proceeding is brought against Purchaser, Purchaser, Lender, operator or their affiliates, (the "Patent Indemnitees") for infringement of any patent, copyright, trademark, trade secret or other intellectual property right, Seller shall Indemnify and hold harmless Patent Indemnities, their authorized agent, and anyone directly or indirectly employed by either of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agrees to cooperate fully in the defense of any such action or suit and to furnish all the evidence in its control..</w:t>
      </w:r>
    </w:p>
    <w:p>
      <w:pPr>
        <w:pStyle w:val="Normal"/>
        <w:widowControl/>
        <w:spacing w:lineRule="auto" w:line="300"/>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In the event a Patent Indemnitee is as a result of such suit or proceeding prevented from using such alleged infringing Equipment or other deliverables, Seller shall at its option and expense: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obtain the right to continued use of the Equipment or other deliverables under this agreement;</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correct or modify the infringing aspect of the Equipment or other deliverables under this Agreement so that it becomes non-infringing;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replace the infringing Equipment or other deliverables under this Agreement with equivalent non-infringing Equipment or other deliverables.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THIS SECTION IS AN EXCLUSIVE STATEMENT OF ALL THE DUTIES OF THE PARTIES RELATING TO INTELLECTUAL PROPERTY AND DIRECT OR CONTRIBUTORY INFRINGEMENT OR MISAPPROPRIATION AND OF ALL THE REMEDIES OF PURCHASER RELATING TO ANY CLAIMS, SUITS, OR PROCEEDINGS INVOLVING PATENTS. Compliance with this Section as provided herein shall constitute fulfillment of all liabilities of the parties under the Agreement with respect to patents, copyright, trademark, trade secret or other intellectual property rights.</w:t>
      </w:r>
      <w:r>
        <w:br w:type="page"/>
      </w:r>
    </w:p>
    <w:p>
      <w:pPr>
        <w:pStyle w:val="Normal"/>
        <w:widowControl/>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XIII.  </w:t>
      </w:r>
      <w:r>
        <w:rPr>
          <w:rFonts w:cs="Times New Roman" w:ascii="Times New Roman" w:hAnsi="Times New Roman"/>
          <w:sz w:val="22"/>
          <w:u w:val="single"/>
        </w:rPr>
        <w:t>ORDER OF PRECEDENCE</w:t>
      </w:r>
      <w:r>
        <w:fldChar w:fldCharType="begin"/>
      </w:r>
      <w:r>
        <w:rPr/>
        <w:instrText xml:space="preserve"> TC "ARTICLE XIII.  ORDER OF PRECEDENCE" \l 1 </w:instrText>
      </w:r>
      <w:r>
        <w:rPr/>
        <w:fldChar w:fldCharType="separate"/>
      </w:r>
      <w:r>
        <w:rPr/>
      </w:r>
      <w:r>
        <w:rPr/>
        <w:fldChar w:fldCharType="end"/>
      </w:r>
      <w:bookmarkStart w:id="87" w:name="__RefHeading___Toc497800461"/>
      <w:bookmarkEnd w:id="87"/>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13.1   </w:t>
      </w:r>
      <w:r>
        <w:rPr>
          <w:rFonts w:cs="Times New Roman" w:ascii="Times New Roman" w:hAnsi="Times New Roman"/>
          <w:sz w:val="22"/>
          <w:u w:val="single"/>
        </w:rPr>
        <w:t>Order of Precedence</w:t>
      </w:r>
      <w:r>
        <w:fldChar w:fldCharType="begin"/>
      </w:r>
      <w:r>
        <w:rPr/>
        <w:instrText xml:space="preserve"> TC "13.1   Order of Precedence" \l 2 </w:instrText>
      </w:r>
      <w:r>
        <w:rPr/>
        <w:fldChar w:fldCharType="separate"/>
      </w:r>
      <w:r>
        <w:rPr/>
      </w:r>
      <w:r>
        <w:rPr/>
        <w:fldChar w:fldCharType="end"/>
      </w:r>
      <w:bookmarkStart w:id="88" w:name="__RefHeading___Toc497800462"/>
      <w:bookmarkEnd w:id="88"/>
      <w:r>
        <w:rPr>
          <w:rFonts w:cs="Times New Roman" w:ascii="Times New Roman" w:hAnsi="Times New Roman"/>
          <w:sz w:val="22"/>
        </w:rPr>
        <w:t>.  This Agreement shall be read as a whole and in the event of a conflict between documents, the Articles of this Agreement shall take precedence over the Exhibits, and the specific terms of a Release shall take precedence over both.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center" w:pos="5040" w:leader="none"/>
        </w:tabs>
        <w:spacing w:lineRule="auto" w:line="300"/>
        <w:jc w:val="both"/>
        <w:rPr>
          <w:rFonts w:ascii="Times New Roman" w:hAnsi="Times New Roman" w:cs="Times New Roman"/>
          <w:sz w:val="22"/>
        </w:rPr>
      </w:pPr>
      <w:r>
        <w:rPr>
          <w:rFonts w:cs="Times New Roman" w:ascii="Times New Roman" w:hAnsi="Times New Roman"/>
          <w:sz w:val="22"/>
        </w:rPr>
        <w:tab/>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XIV.  </w:t>
      </w:r>
      <w:r>
        <w:rPr>
          <w:rFonts w:cs="Times New Roman" w:ascii="Times New Roman" w:hAnsi="Times New Roman"/>
          <w:sz w:val="22"/>
          <w:u w:val="single"/>
        </w:rPr>
        <w:t>WARRANTY</w:t>
      </w:r>
      <w:r>
        <w:fldChar w:fldCharType="begin"/>
      </w:r>
      <w:r>
        <w:rPr/>
        <w:instrText xml:space="preserve"> TC "ARTICLE XIV.  WARRANTY" \l 1 </w:instrText>
      </w:r>
      <w:r>
        <w:rPr/>
        <w:fldChar w:fldCharType="separate"/>
      </w:r>
      <w:r>
        <w:rPr/>
      </w:r>
      <w:r>
        <w:rPr/>
        <w:fldChar w:fldCharType="end"/>
      </w:r>
      <w:bookmarkStart w:id="89" w:name="__RefHeading___Toc497800463"/>
      <w:bookmarkEnd w:id="8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   </w:t>
      </w:r>
      <w:r>
        <w:rPr>
          <w:rFonts w:cs="Times New Roman" w:ascii="Times New Roman" w:hAnsi="Times New Roman"/>
          <w:sz w:val="22"/>
          <w:u w:val="single"/>
        </w:rPr>
        <w:t>Seller’s Warranty</w:t>
      </w:r>
      <w:r>
        <w:fldChar w:fldCharType="begin"/>
      </w:r>
      <w:r>
        <w:rPr/>
        <w:instrText xml:space="preserve"> TC "14.1   Seller’s Warranty" \l 2 </w:instrText>
      </w:r>
      <w:r>
        <w:rPr/>
        <w:fldChar w:fldCharType="separate"/>
      </w:r>
      <w:r>
        <w:rPr/>
      </w:r>
      <w:r>
        <w:rPr/>
        <w:fldChar w:fldCharType="end"/>
      </w:r>
      <w:bookmarkStart w:id="90" w:name="__RefHeading___Toc497800464"/>
      <w:bookmarkEnd w:id="90"/>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14.1.1   </w:t>
      </w:r>
      <w:r>
        <w:rPr>
          <w:rFonts w:cs="Times New Roman" w:ascii="Times New Roman" w:hAnsi="Times New Roman"/>
          <w:sz w:val="22"/>
          <w:u w:val="single"/>
        </w:rPr>
        <w:t>Warranty</w:t>
      </w:r>
      <w:r>
        <w:fldChar w:fldCharType="begin"/>
      </w:r>
      <w:r>
        <w:rPr/>
        <w:instrText xml:space="preserve"> TC "14.1.1   Primary Warranty Period" \l 3 </w:instrText>
      </w:r>
      <w:r>
        <w:rPr/>
        <w:fldChar w:fldCharType="separate"/>
      </w:r>
      <w:r>
        <w:rPr/>
      </w:r>
      <w:r>
        <w:rPr/>
        <w:fldChar w:fldCharType="end"/>
      </w:r>
      <w:bookmarkStart w:id="91" w:name="__RefHeading___Toc497800465"/>
      <w:bookmarkEnd w:id="91"/>
      <w:r>
        <w:rPr>
          <w:rFonts w:cs="Times New Roman" w:ascii="Times New Roman" w:hAnsi="Times New Roman"/>
          <w:sz w:val="22"/>
        </w:rPr>
        <w:t xml:space="preserve">.  Seller warrants that for a period of twelve months following the Acceptance Date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start="720" w:end="0"/>
        <w:jc w:val="both"/>
        <w:rPr>
          <w:rFonts w:ascii="Times New Roman" w:hAnsi="Times New Roman" w:cs="Times New Roman"/>
          <w:sz w:val="22"/>
        </w:rPr>
      </w:pPr>
      <w:r>
        <w:rPr>
          <w:rFonts w:cs="Times New Roman" w:ascii="Times New Roman" w:hAnsi="Times New Roman"/>
          <w:sz w:val="22"/>
        </w:rPr>
        <w:t xml:space="preserve">(a) the Equipment and all other materials and articles furnished hereunder are new, not repaired (except as permitted by Purchaser); </w:t>
      </w:r>
    </w:p>
    <w:p>
      <w:pPr>
        <w:pStyle w:val="Normal"/>
        <w:widowControl/>
        <w:tabs>
          <w:tab w:val="clear" w:pos="720"/>
          <w:tab w:val="left" w:pos="-1440" w:leader="none"/>
        </w:tabs>
        <w:spacing w:lineRule="auto" w:line="300"/>
        <w:jc w:val="both"/>
        <w:rPr>
          <w:rFonts w:ascii="Times New Roman" w:hAnsi="Times New Roman" w:cs="Times New Roman"/>
          <w:sz w:val="22"/>
        </w:rPr>
      </w:pPr>
      <w:r>
        <w:rPr>
          <w:rFonts w:cs="Times New Roman" w:ascii="Times New Roman" w:hAnsi="Times New Roman"/>
          <w:sz w:val="22"/>
        </w:rPr>
        <w:tab/>
        <w:t xml:space="preserve">(b) the Equipment is designed and fit for the purpose of generating electric power when operated in accordance             with Seller’s written instructions; </w:t>
      </w:r>
    </w:p>
    <w:p>
      <w:pPr>
        <w:pStyle w:val="Normal"/>
        <w:widowControl/>
        <w:tabs>
          <w:tab w:val="clear" w:pos="720"/>
          <w:tab w:val="left" w:pos="-1440" w:leader="none"/>
        </w:tabs>
        <w:spacing w:lineRule="auto" w:line="300"/>
        <w:ind w:start="720" w:end="0"/>
        <w:jc w:val="both"/>
        <w:rPr>
          <w:rFonts w:ascii="Times New Roman" w:hAnsi="Times New Roman" w:cs="Times New Roman"/>
          <w:sz w:val="22"/>
        </w:rPr>
      </w:pPr>
      <w:r>
        <w:rPr>
          <w:rFonts w:cs="Times New Roman" w:ascii="Times New Roman" w:hAnsi="Times New Roman"/>
          <w:sz w:val="22"/>
        </w:rPr>
        <w:t>(c) the Scope of Work was performed in a good and workmanlike manner and in accordance with the degree of care, skill and diligence consistent with electric industry standards, and the Equipment is free from defects in materials and/or workmanship;</w:t>
      </w:r>
    </w:p>
    <w:p>
      <w:pPr>
        <w:pStyle w:val="Normal"/>
        <w:widowControl/>
        <w:tabs>
          <w:tab w:val="clear" w:pos="720"/>
          <w:tab w:val="left" w:pos="-1440" w:leader="none"/>
        </w:tabs>
        <w:spacing w:lineRule="auto" w:line="300"/>
        <w:ind w:start="720" w:end="0"/>
        <w:jc w:val="both"/>
        <w:rPr>
          <w:rFonts w:ascii="Times New Roman" w:hAnsi="Times New Roman" w:cs="Times New Roman"/>
          <w:sz w:val="22"/>
        </w:rPr>
      </w:pPr>
      <w:r>
        <w:rPr>
          <w:rFonts w:cs="Times New Roman" w:ascii="Times New Roman" w:hAnsi="Times New Roman"/>
          <w:sz w:val="22"/>
        </w:rPr>
        <w:t>(d) the Equipment conforms to the Specification and other material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14.1.2   </w:t>
      </w:r>
      <w:r>
        <w:rPr>
          <w:rFonts w:cs="Times New Roman" w:ascii="Times New Roman" w:hAnsi="Times New Roman"/>
          <w:sz w:val="22"/>
          <w:u w:val="single"/>
        </w:rPr>
        <w:t>Warranty Clarification</w:t>
      </w:r>
      <w:r>
        <w:fldChar w:fldCharType="begin"/>
      </w:r>
      <w:r>
        <w:rPr/>
        <w:instrText xml:space="preserve"> TC "14.1.2   Warranty Clarification" \l 3 </w:instrText>
      </w:r>
      <w:r>
        <w:rPr/>
        <w:fldChar w:fldCharType="separate"/>
      </w:r>
      <w:r>
        <w:rPr/>
      </w:r>
      <w:r>
        <w:rPr/>
        <w:fldChar w:fldCharType="end"/>
      </w:r>
      <w:bookmarkStart w:id="92" w:name="__RefHeading___Toc497800466"/>
      <w:bookmarkEnd w:id="92"/>
      <w:r>
        <w:rPr>
          <w:rFonts w:cs="Times New Roman" w:ascii="Times New Roman" w:hAnsi="Times New Roman"/>
          <w:sz w:val="22"/>
        </w:rPr>
        <w:t>.  Seller shall have no obligation for correction, repair or replacement of the Equipment in accordance with this Article XIV to the extent that a defect is the result of:</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assembly, use or service of the Equipment or any relevant part thereof by Purchaser or its contractors other than in conformance with Seller’s or their Vendor's specifications, manuals or written instructions (except as specifically set forth in this Agreement); or </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Normal"/>
        <w:widowControl/>
        <w:spacing w:lineRule="auto" w:line="300"/>
        <w:ind w:hanging="1440" w:start="1440" w:end="0"/>
        <w:jc w:val="both"/>
        <w:rPr>
          <w:rFonts w:ascii="Times New Roman" w:hAnsi="Times New Roman" w:cs="Times New Roman"/>
          <w:sz w:val="22"/>
        </w:rPr>
      </w:pPr>
      <w:r>
        <w:rPr>
          <w:rFonts w:cs="Times New Roman" w:ascii="Times New Roman" w:hAnsi="Times New Roman"/>
          <w:sz w:val="22"/>
        </w:rPr>
        <w:tab/>
        <w:t>(iii)</w:t>
        <w:tab/>
        <w:t>degradation in accordance with Seller’s Electrical Output and Heat Rate degradation curves included in the Specifications.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Seller also shall have no obligation for defect in the Equipment under this Section 14.1.2 to the extent that such defect arises out of Purchaser failing to notify Seller within a reasonable time after an Equipment defect becomes apparent, not to exceed thirty (30) days from the date supervisory level personnel of Purchaser responsible for the Facility become aware of such defect.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14.1.3   </w:t>
      </w:r>
      <w:r>
        <w:rPr>
          <w:rFonts w:cs="Times New Roman" w:ascii="Times New Roman" w:hAnsi="Times New Roman"/>
          <w:sz w:val="22"/>
          <w:u w:val="single"/>
        </w:rPr>
        <w:t>Warranty Breach Notice</w:t>
      </w:r>
      <w:r>
        <w:fldChar w:fldCharType="begin"/>
      </w:r>
      <w:r>
        <w:rPr/>
        <w:instrText xml:space="preserve"> TC "14.1.3   Warranty Breach Notice" \l 3 </w:instrText>
      </w:r>
      <w:r>
        <w:rPr/>
        <w:fldChar w:fldCharType="separate"/>
      </w:r>
      <w:r>
        <w:rPr/>
      </w:r>
      <w:r>
        <w:rPr/>
        <w:fldChar w:fldCharType="end"/>
      </w:r>
      <w:bookmarkStart w:id="93" w:name="__RefHeading___Toc497800467"/>
      <w:bookmarkEnd w:id="93"/>
      <w:r>
        <w:rPr>
          <w:rFonts w:cs="Times New Roman" w:ascii="Times New Roman" w:hAnsi="Times New Roman"/>
          <w:sz w:val="22"/>
        </w:rPr>
        <w:t>.  In the event Purchaser determines that a defect or other breach of warranty exists, Purchaser shall provide Seller with Notice  such a defect or other breach describing the nature of the defect or breach.</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numPr>
          <w:ilvl w:val="1"/>
          <w:numId w:val="13"/>
        </w:numPr>
        <w:spacing w:lineRule="auto" w:line="300"/>
        <w:jc w:val="both"/>
        <w:rPr>
          <w:rFonts w:ascii="Times New Roman" w:hAnsi="Times New Roman" w:cs="Times New Roman"/>
          <w:sz w:val="22"/>
        </w:rPr>
      </w:pPr>
      <w:r>
        <w:rPr>
          <w:rFonts w:cs="Times New Roman" w:ascii="Times New Roman" w:hAnsi="Times New Roman"/>
          <w:sz w:val="22"/>
        </w:rPr>
        <w:t>Not Used.</w:t>
      </w:r>
    </w:p>
    <w:p>
      <w:pPr>
        <w:pStyle w:val="Normal"/>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   </w:t>
      </w:r>
      <w:r>
        <w:rPr>
          <w:rFonts w:cs="Times New Roman" w:ascii="Times New Roman" w:hAnsi="Times New Roman"/>
          <w:sz w:val="22"/>
          <w:u w:val="single"/>
        </w:rPr>
        <w:t>Remedy</w:t>
      </w:r>
      <w:r>
        <w:fldChar w:fldCharType="begin"/>
      </w:r>
      <w:r>
        <w:rPr/>
        <w:instrText xml:space="preserve"> TC "14.3   Remedy" \l 2 </w:instrText>
      </w:r>
      <w:r>
        <w:rPr/>
        <w:fldChar w:fldCharType="separate"/>
      </w:r>
      <w:r>
        <w:rPr/>
      </w:r>
      <w:r>
        <w:rPr/>
        <w:fldChar w:fldCharType="end"/>
      </w:r>
      <w:bookmarkStart w:id="94" w:name="__RefHeading___Toc497800468"/>
      <w:bookmarkEnd w:id="94"/>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14.3.1   </w:t>
      </w:r>
      <w:r>
        <w:rPr>
          <w:rFonts w:cs="Times New Roman" w:ascii="Times New Roman" w:hAnsi="Times New Roman"/>
          <w:sz w:val="22"/>
          <w:u w:val="single"/>
        </w:rPr>
        <w:t>Obligations, Responsibilities and Recourse</w:t>
      </w:r>
      <w:r>
        <w:fldChar w:fldCharType="begin"/>
      </w:r>
      <w:r>
        <w:rPr/>
        <w:instrText xml:space="preserve"> TC "14.3.1   Obligations, Responsibilities and Recourse" \l 3 </w:instrText>
      </w:r>
      <w:r>
        <w:rPr/>
        <w:fldChar w:fldCharType="separate"/>
      </w:r>
      <w:r>
        <w:rPr/>
      </w:r>
      <w:r>
        <w:rPr/>
        <w:fldChar w:fldCharType="end"/>
      </w:r>
      <w:bookmarkStart w:id="95" w:name="__RefHeading___Toc497800469"/>
      <w:bookmarkEnd w:id="95"/>
      <w:r>
        <w:rPr>
          <w:rFonts w:cs="Times New Roman" w:ascii="Times New Roman" w:hAnsi="Times New Roman"/>
          <w:sz w:val="22"/>
        </w:rPr>
        <w:t>.  During the Primary Warranty Period, if  Seller’s warranties are breached, Seller shall repair, replace, and/or correct the applicable portion of the Scope of Work such that it meets the requirements of this Agreement immediately on an expedited basis at no cost to Purchaser.  Seller shall provide a service engineer to begin corrective action on the Equipment as soon as reasonably possible after receipt by Seller of Purchaser's notice referred to in Section 14.1.4 but not later that five (5) days after receipt of such notice.  Seller shall as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14.1.4.  Such emergency actions shall be to the account of Seller.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14.3.2   </w:t>
      </w:r>
      <w:r>
        <w:rPr>
          <w:rFonts w:cs="Times New Roman" w:ascii="Times New Roman" w:hAnsi="Times New Roman"/>
          <w:sz w:val="22"/>
          <w:u w:val="single"/>
        </w:rPr>
        <w:t>Continued Warranty on Corrections or Repairs Performed During the Primary Warranty Period</w:t>
      </w:r>
      <w:r>
        <w:fldChar w:fldCharType="begin"/>
      </w:r>
      <w:r>
        <w:rPr/>
        <w:instrText xml:space="preserve"> TC "14.2.1   Continued Warranty on Corrections or Repairs Performed During the Primary Warranty Period" \l 3 </w:instrText>
      </w:r>
      <w:r>
        <w:rPr/>
        <w:fldChar w:fldCharType="separate"/>
      </w:r>
      <w:r>
        <w:rPr/>
      </w:r>
      <w:r>
        <w:rPr/>
        <w:fldChar w:fldCharType="end"/>
      </w:r>
      <w:bookmarkStart w:id="96" w:name="__RefHeading___Toc497800470"/>
      <w:bookmarkEnd w:id="96"/>
      <w:r>
        <w:rPr>
          <w:rFonts w:cs="Times New Roman" w:ascii="Times New Roman" w:hAnsi="Times New Roman"/>
          <w:sz w:val="22"/>
        </w:rPr>
        <w:t xml:space="preserve">.  With respect to any portion of the Equipment corrected, repaired, modified or replaced as a result of a defect manifesting during the Primary Warranty Period, Seller shall warrant such portion of the Equipment in a like manner for a period of twelve (12) months from the date of such modification or correction (the "Extended Warranty Period"), but in no event shall the Extended Warranty Period extend more than twelve (12) months beyond the expiration of the Primary Warranty Period.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spacing w:lineRule="auto" w:line="300"/>
        <w:jc w:val="both"/>
        <w:rPr/>
      </w:pPr>
      <w:r>
        <w:rPr>
          <w:rFonts w:cs="Times New Roman" w:ascii="Times New Roman" w:hAnsi="Times New Roman"/>
          <w:sz w:val="22"/>
        </w:rPr>
        <w:t xml:space="preserve">14.4  </w:t>
      </w:r>
      <w:r>
        <w:rPr>
          <w:rFonts w:cs="Times New Roman" w:ascii="Times New Roman" w:hAnsi="Times New Roman"/>
          <w:sz w:val="22"/>
          <w:u w:val="single"/>
        </w:rPr>
        <w:t>Stack Module Warranty</w:t>
      </w:r>
      <w:r>
        <w:fldChar w:fldCharType="begin"/>
      </w:r>
      <w:r>
        <w:rPr/>
        <w:instrText xml:space="preserve"> TC "14.2   Extended Warranty Period" \l 2 </w:instrText>
      </w:r>
      <w:r>
        <w:rPr/>
        <w:fldChar w:fldCharType="separate"/>
      </w:r>
      <w:r>
        <w:rPr/>
      </w:r>
      <w:r>
        <w:rPr/>
        <w:fldChar w:fldCharType="end"/>
      </w:r>
      <w:bookmarkStart w:id="97" w:name="__RefHeading___Toc497800471"/>
      <w:bookmarkEnd w:id="97"/>
      <w:r>
        <w:rPr>
          <w:rFonts w:cs="Times New Roman" w:ascii="Times New Roman" w:hAnsi="Times New Roman"/>
          <w:sz w:val="22"/>
        </w:rPr>
        <w:t>. In addition to the other warranties contained herein, Seller warrants that for a period of thirty-six (36) months following Acceptance or forty-eight (48) months following delivery, whichever comes first, the combined measured Electrical Output and Heat Rate of the Stack Modules shall equal __ of the Electrical Output and Heat Rate measured at the latest Performance Test of the Unit performed in accordance with Article X. Should the Stack Modules fail to perform in accordance with the foregoing, Seller shall replace the non-performing Stack Module (including ordinary removal of the old Stack Module and ordinary Installation of the new one).  The maximum cost of the stack replacement shall be $380/kW of the Electrical Output of each replacement unit as demonstrated in the most recent Performance Test (subject to the replacement unit successfully passing the Performance Tests outlined in Section 10 and subject to a pricing adjustment pursuant to Section 10.8) (“Base Stack Price”), and such Base Stack Price shall be prorated based on the percentage of the Stack Module Warranty period completed at the time of such unit failure (for example, if a failure occurs two years after Acceptance, Purchaser shall pay 2/3 of the replacement cost).  The Stack Purchase Amount shall be equal to the pro rata portion of the Base Stack Price that Purchaser has to pay pursuant to this Section 14.4.  Purchaser shall conduct a new Performance Test on the replacement Stack Module, and the replacement Stack Module shall be warranted for an additional thirty-six (36) months following successful completion of the Performance Tests in accordance with the terms of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14.5   </w:t>
      </w:r>
      <w:r>
        <w:rPr>
          <w:rFonts w:cs="Times New Roman" w:ascii="Times New Roman" w:hAnsi="Times New Roman"/>
          <w:sz w:val="22"/>
          <w:u w:val="single"/>
        </w:rPr>
        <w:t>Extension of Warranty Due to Unavailability</w:t>
      </w:r>
      <w:r>
        <w:fldChar w:fldCharType="begin"/>
      </w:r>
      <w:r>
        <w:rPr/>
        <w:instrText xml:space="preserve"> TC "14.2.2   Extension of Warranty Due to Unavailability" \l 3 </w:instrText>
      </w:r>
      <w:r>
        <w:rPr/>
        <w:fldChar w:fldCharType="separate"/>
      </w:r>
      <w:r>
        <w:rPr/>
      </w:r>
      <w:r>
        <w:rPr/>
        <w:fldChar w:fldCharType="end"/>
      </w:r>
      <w:bookmarkStart w:id="98" w:name="__RefHeading___Toc497800472"/>
      <w:bookmarkEnd w:id="98"/>
      <w:r>
        <w:rPr>
          <w:rFonts w:cs="Times New Roman" w:ascii="Times New Roman" w:hAnsi="Times New Roman"/>
          <w:sz w:val="22"/>
        </w:rPr>
        <w:t>.  Notwithstanding Section 14.3.2, the Primary Warranty Period or Extended Warranty Period shall be extended by a period equal to the period during which the Units were unable to operate due to Seller failing to perform one or any of its obligations.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14.6   </w:t>
      </w:r>
      <w:r>
        <w:rPr>
          <w:rFonts w:cs="Times New Roman" w:ascii="Times New Roman" w:hAnsi="Times New Roman"/>
          <w:sz w:val="22"/>
          <w:u w:val="single"/>
        </w:rPr>
        <w:t>Vendor Warranty</w:t>
      </w:r>
      <w:r>
        <w:fldChar w:fldCharType="begin"/>
      </w:r>
      <w:r>
        <w:rPr/>
        <w:instrText xml:space="preserve"> TC "14.4   Vendor Warranty" \l 2 </w:instrText>
      </w:r>
      <w:r>
        <w:rPr/>
        <w:fldChar w:fldCharType="separate"/>
      </w:r>
      <w:r>
        <w:rPr/>
      </w:r>
      <w:r>
        <w:rPr/>
        <w:fldChar w:fldCharType="end"/>
      </w:r>
      <w:bookmarkStart w:id="99" w:name="__RefHeading___Toc497800473"/>
      <w:bookmarkEnd w:id="99"/>
      <w:r>
        <w:rPr>
          <w:rFonts w:cs="Times New Roman" w:ascii="Times New Roman" w:hAnsi="Times New Roman"/>
          <w:sz w:val="22"/>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14.7   </w:t>
      </w:r>
      <w:r>
        <w:rPr>
          <w:rFonts w:cs="Times New Roman" w:ascii="Times New Roman" w:hAnsi="Times New Roman"/>
          <w:sz w:val="22"/>
          <w:u w:val="single"/>
        </w:rPr>
        <w:t>Limited Warranty</w:t>
      </w:r>
      <w:r>
        <w:fldChar w:fldCharType="begin"/>
      </w:r>
      <w:r>
        <w:rPr/>
        <w:instrText xml:space="preserve"> TC "14.5   Limited Warranty" \l 2 </w:instrText>
      </w:r>
      <w:r>
        <w:rPr/>
        <w:fldChar w:fldCharType="separate"/>
      </w:r>
      <w:r>
        <w:rPr/>
      </w:r>
      <w:r>
        <w:rPr/>
        <w:fldChar w:fldCharType="end"/>
      </w:r>
      <w:bookmarkStart w:id="100" w:name="__RefHeading___Toc497800474"/>
      <w:bookmarkEnd w:id="100"/>
      <w:r>
        <w:rPr>
          <w:rFonts w:cs="Times New Roman" w:ascii="Times New Roman" w:hAnsi="Times New Roman"/>
          <w:sz w:val="22"/>
        </w:rPr>
        <w:t xml:space="preserve">.  THE WARRANTIES CONTAINED AND REMEDIES FOR BREACH OF WARRANTY CONTAINED IN THIS AGREEMENT ARE THE EXCLUSIVE WARRANTIES AND REMEDIES BY SELLER APPLICABLE TO THE EQUIPMENT AND THE ASSOCIATED SERVICES AND ARE EXPRESSLY IN LIEU OF ANY OTHER WARRANTIES, EXPRESSED OR IMPLIED, INCLUDING ANY IMPLIED WARRANTY OF SATISFACTORY QUALITY (MERCHANTABILITY) OR FITNESS FOR A PARTICULAR PURPOSE, OR ANY OTHER WARRANTY EXPRESSED OR IMPLIED AGAINST VICES OR DEFECTS, LATENT OR OTHERWISE.  SELLER NEITHER ASSUMES NOR AUTHORIZES ANY OTHER PERSON TO ASSUME FOR IT ANY OTHER WARRANTY OBLIGATION IN CONNECTION WITH THE EQUIPMENT OR ANY PART THEREOF.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14.8   </w:t>
      </w:r>
      <w:r>
        <w:rPr>
          <w:rFonts w:cs="Times New Roman" w:ascii="Times New Roman" w:hAnsi="Times New Roman"/>
          <w:sz w:val="22"/>
          <w:u w:val="single"/>
        </w:rPr>
        <w:t>Defective Equipment</w:t>
      </w:r>
      <w:r>
        <w:fldChar w:fldCharType="begin"/>
      </w:r>
      <w:r>
        <w:rPr/>
        <w:instrText xml:space="preserve"> TC "14.6   Defective Equipment" \l 2 </w:instrText>
      </w:r>
      <w:r>
        <w:rPr/>
        <w:fldChar w:fldCharType="separate"/>
      </w:r>
      <w:r>
        <w:rPr/>
      </w:r>
      <w:r>
        <w:rPr/>
        <w:fldChar w:fldCharType="end"/>
      </w:r>
      <w:bookmarkStart w:id="101" w:name="__RefHeading___Toc497800475"/>
      <w:bookmarkEnd w:id="101"/>
      <w:r>
        <w:rPr>
          <w:rFonts w:cs="Times New Roman" w:ascii="Times New Roman" w:hAnsi="Times New Roman"/>
          <w:sz w:val="22"/>
        </w:rPr>
        <w:t>.  Notwithstanding the foregoing, Seller shall have no obligation hereunder if the Equipment becomes defective in whole or in part as a result of repairs not made by Seller (unless Seller have defaulted in making such repairs), or as a result of the Equipment not having been operated and maintained in accordance with Seller’s written operating limitations and maintenance instructions, or accepted industrial practice.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14.9   </w:t>
      </w:r>
      <w:r>
        <w:rPr>
          <w:rFonts w:cs="Times New Roman" w:ascii="Times New Roman" w:hAnsi="Times New Roman"/>
          <w:sz w:val="22"/>
          <w:u w:val="single"/>
        </w:rPr>
        <w:t>Termination of Warranty</w:t>
      </w:r>
      <w:r>
        <w:fldChar w:fldCharType="begin"/>
      </w:r>
      <w:r>
        <w:rPr/>
        <w:instrText xml:space="preserve"> TC "14.7   Termination of Warranty" \l 2 </w:instrText>
      </w:r>
      <w:r>
        <w:rPr/>
        <w:fldChar w:fldCharType="separate"/>
      </w:r>
      <w:r>
        <w:rPr/>
      </w:r>
      <w:r>
        <w:rPr/>
        <w:fldChar w:fldCharType="end"/>
      </w:r>
      <w:bookmarkStart w:id="102" w:name="__RefHeading___Toc497800476"/>
      <w:bookmarkEnd w:id="102"/>
      <w:r>
        <w:rPr>
          <w:rFonts w:cs="Times New Roman" w:ascii="Times New Roman" w:hAnsi="Times New Roman"/>
          <w:sz w:val="22"/>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immediately take reasonable action to mitigate the damage consequent to the occurrence of the defect; and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allow Seller to correct the defect,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Seller shall not be responsible for repair of that part of the damage attributed to Purchaser's failure to take such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[14.10   </w:t>
      </w:r>
      <w:r>
        <w:rPr>
          <w:rFonts w:cs="Times New Roman" w:ascii="Times New Roman" w:hAnsi="Times New Roman"/>
          <w:sz w:val="22"/>
          <w:u w:val="single"/>
        </w:rPr>
        <w:t>Damage to Other Facility Equipment</w:t>
      </w:r>
      <w:r>
        <w:fldChar w:fldCharType="begin"/>
      </w:r>
      <w:r>
        <w:rPr/>
        <w:instrText xml:space="preserve"> TC "14.8   Damage to Other Facility Equipment" \l 2 </w:instrText>
      </w:r>
      <w:r>
        <w:rPr/>
        <w:fldChar w:fldCharType="separate"/>
      </w:r>
      <w:r>
        <w:rPr/>
      </w:r>
      <w:r>
        <w:rPr/>
        <w:fldChar w:fldCharType="end"/>
      </w:r>
      <w:bookmarkStart w:id="103" w:name="__RefHeading___Toc497800477"/>
      <w:bookmarkEnd w:id="103"/>
      <w:r>
        <w:rPr>
          <w:rFonts w:cs="Times New Roman" w:ascii="Times New Roman" w:hAnsi="Times New Roman"/>
          <w:sz w:val="22"/>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their expense shall be responsible for all damage to the Equipment and Facility arising out of an Equipment failure during the Primary Warranty Period, or Extended Warranty Period if applicable. Note: To be considered in connection with insurance]</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  </w:t>
      </w:r>
      <w:r>
        <w:rPr>
          <w:rFonts w:cs="Times New Roman" w:ascii="Times New Roman" w:hAnsi="Times New Roman"/>
          <w:sz w:val="22"/>
          <w:u w:val="single"/>
        </w:rPr>
        <w:t>RISK OF LOSS AND TITLE</w:t>
      </w:r>
      <w:r>
        <w:fldChar w:fldCharType="begin"/>
      </w:r>
      <w:r>
        <w:rPr/>
        <w:instrText xml:space="preserve"> TC "ARTICLE XV.  RISK OF LOSS AND TITLE" \l 1 </w:instrText>
      </w:r>
      <w:r>
        <w:rPr/>
        <w:fldChar w:fldCharType="separate"/>
      </w:r>
      <w:r>
        <w:rPr/>
      </w:r>
      <w:r>
        <w:rPr/>
        <w:fldChar w:fldCharType="end"/>
      </w:r>
      <w:bookmarkStart w:id="104" w:name="__RefHeading___Toc497800478"/>
      <w:bookmarkEnd w:id="10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15.1   </w:t>
      </w:r>
      <w:r>
        <w:rPr>
          <w:rFonts w:cs="Times New Roman" w:ascii="Times New Roman" w:hAnsi="Times New Roman"/>
          <w:sz w:val="22"/>
          <w:u w:val="single"/>
        </w:rPr>
        <w:t>Risk of Loss</w:t>
      </w:r>
      <w:r>
        <w:fldChar w:fldCharType="begin"/>
      </w:r>
      <w:r>
        <w:rPr/>
        <w:instrText xml:space="preserve"> TC "15.1   Risk of Loss" \l 2 </w:instrText>
      </w:r>
      <w:r>
        <w:rPr/>
        <w:fldChar w:fldCharType="separate"/>
      </w:r>
      <w:r>
        <w:rPr/>
      </w:r>
      <w:r>
        <w:rPr/>
        <w:fldChar w:fldCharType="end"/>
      </w:r>
      <w:bookmarkStart w:id="105" w:name="__RefHeading___Toc497800479"/>
      <w:bookmarkEnd w:id="105"/>
      <w:r>
        <w:rPr>
          <w:rFonts w:cs="Times New Roman" w:ascii="Times New Roman" w:hAnsi="Times New Roman"/>
          <w:sz w:val="22"/>
        </w:rPr>
        <w:t>.  Seller shall bear the risk of loss and damage with respect to the Equipment until Acceptance. [what if working to improve performance?]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   </w:t>
      </w:r>
      <w:r>
        <w:rPr>
          <w:rFonts w:cs="Times New Roman" w:ascii="Times New Roman" w:hAnsi="Times New Roman"/>
          <w:sz w:val="22"/>
          <w:u w:val="single"/>
        </w:rPr>
        <w:t>Title</w:t>
      </w:r>
      <w:r>
        <w:fldChar w:fldCharType="begin"/>
      </w:r>
      <w:r>
        <w:rPr/>
        <w:instrText xml:space="preserve"> TC "15.2   Title" \l 2 </w:instrText>
      </w:r>
      <w:r>
        <w:rPr/>
        <w:fldChar w:fldCharType="separate"/>
      </w:r>
      <w:r>
        <w:rPr/>
      </w:r>
      <w:r>
        <w:rPr/>
        <w:fldChar w:fldCharType="end"/>
      </w:r>
      <w:bookmarkStart w:id="106" w:name="__RefHeading___Toc497800480"/>
      <w:bookmarkEnd w:id="10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15.2.1   </w:t>
      </w:r>
      <w:r>
        <w:rPr>
          <w:rFonts w:cs="Times New Roman" w:ascii="Times New Roman" w:hAnsi="Times New Roman"/>
          <w:sz w:val="22"/>
          <w:u w:val="single"/>
        </w:rPr>
        <w:t>Passage of Title</w:t>
      </w:r>
      <w:r>
        <w:fldChar w:fldCharType="begin"/>
      </w:r>
      <w:r>
        <w:rPr/>
        <w:instrText xml:space="preserve"> TC "15.2.1   Passage of Title" \l 3 </w:instrText>
      </w:r>
      <w:r>
        <w:rPr/>
        <w:fldChar w:fldCharType="separate"/>
      </w:r>
      <w:r>
        <w:rPr/>
      </w:r>
      <w:r>
        <w:rPr/>
        <w:fldChar w:fldCharType="end"/>
      </w:r>
      <w:bookmarkStart w:id="107" w:name="__RefHeading___Toc497800481"/>
      <w:bookmarkEnd w:id="107"/>
      <w:r>
        <w:rPr>
          <w:rFonts w:cs="Times New Roman" w:ascii="Times New Roman" w:hAnsi="Times New Roman"/>
          <w:sz w:val="22"/>
        </w:rPr>
        <w:t>.  Title to Equipment, drawings, specifications, O&amp;M manuals and like materials will pass from Seller to Purchaser at Acceptance, unless Purchaser has paid more than fifty percent of the Purchase Amount prior to delivery to the Delivery Point, in which case title passes to Purchaser upon delivery of the Equipment to the Delivery Point.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 </w:t>
      </w:r>
      <w:r>
        <w:rPr>
          <w:rFonts w:cs="Times New Roman" w:ascii="Times New Roman" w:hAnsi="Times New Roman"/>
          <w:sz w:val="22"/>
          <w:u w:val="single"/>
        </w:rPr>
        <w:t>PACKING, SHIPPING AND DELIVERY</w:t>
      </w:r>
      <w:r>
        <w:fldChar w:fldCharType="begin"/>
      </w:r>
      <w:r>
        <w:rPr/>
        <w:instrText xml:space="preserve"> TC "ARTICLE XVI.  INTENTIONALLY OMITTED" \l 1 </w:instrText>
      </w:r>
      <w:r>
        <w:rPr/>
        <w:fldChar w:fldCharType="separate"/>
      </w:r>
      <w:r>
        <w:rPr/>
      </w:r>
      <w:r>
        <w:rPr/>
        <w:fldChar w:fldCharType="end"/>
      </w:r>
      <w:bookmarkStart w:id="108" w:name="__RefHeading___Toc497800482"/>
      <w:bookmarkEnd w:id="108"/>
    </w:p>
    <w:p>
      <w:pPr>
        <w:pStyle w:val="Normal"/>
        <w:widowControl/>
        <w:spacing w:lineRule="auto" w:line="300"/>
        <w:jc w:val="both"/>
        <w:rPr/>
      </w:pPr>
      <w:r>
        <w:rPr>
          <w:rFonts w:cs="Times New Roman" w:ascii="Times New Roman" w:hAnsi="Times New Roman"/>
          <w:sz w:val="22"/>
        </w:rPr>
        <w:t xml:space="preserve">16.1  </w:t>
      </w:r>
      <w:r>
        <w:rPr>
          <w:rFonts w:cs="Times New Roman" w:ascii="Times New Roman" w:hAnsi="Times New Roman"/>
          <w:sz w:val="22"/>
          <w:u w:val="single"/>
        </w:rPr>
        <w:t>Packing</w:t>
      </w:r>
      <w:r>
        <w:fldChar w:fldCharType="begin"/>
      </w:r>
      <w:r>
        <w:rPr/>
        <w:instrText xml:space="preserve"> TC "3.10  Packing and Insurance Surveyor" \l 2 </w:instrText>
      </w:r>
      <w:r>
        <w:rPr/>
        <w:fldChar w:fldCharType="separate"/>
      </w:r>
      <w:r>
        <w:rPr/>
      </w:r>
      <w:r>
        <w:rPr/>
        <w:fldChar w:fldCharType="end"/>
      </w:r>
      <w:bookmarkStart w:id="109" w:name="__RefHeading___Toc497800483"/>
      <w:bookmarkEnd w:id="109"/>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3.10.1   </w:t>
      </w:r>
      <w:r>
        <w:rPr>
          <w:rFonts w:cs="Times New Roman" w:ascii="Times New Roman" w:hAnsi="Times New Roman"/>
          <w:sz w:val="22"/>
          <w:u w:val="single"/>
        </w:rPr>
        <w:t>Packing Recommendation</w:t>
      </w:r>
      <w:r>
        <w:fldChar w:fldCharType="begin"/>
      </w:r>
      <w:r>
        <w:rPr/>
        <w:instrText xml:space="preserve"> TC "3.10.1   Packing Recommendation" \l 3 </w:instrText>
      </w:r>
      <w:r>
        <w:rPr/>
        <w:fldChar w:fldCharType="separate"/>
      </w:r>
      <w:r>
        <w:rPr/>
      </w:r>
      <w:r>
        <w:rPr/>
        <w:fldChar w:fldCharType="end"/>
      </w:r>
      <w:bookmarkStart w:id="110" w:name="__RefHeading___Toc497800484"/>
      <w:bookmarkEnd w:id="110"/>
      <w:r>
        <w:rPr>
          <w:rFonts w:cs="Times New Roman" w:ascii="Times New Roman" w:hAnsi="Times New Roman"/>
          <w:sz w:val="22"/>
        </w:rPr>
        <w:t xml:space="preserve">.  Seller shall perform all packaging of the Equipment in accordance with commercially reasonably standards so as to prevent damage to the Equipment during handling and transportation.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3.10.4   </w:t>
      </w:r>
      <w:r>
        <w:rPr>
          <w:rFonts w:cs="Times New Roman" w:ascii="Times New Roman" w:hAnsi="Times New Roman"/>
          <w:sz w:val="22"/>
          <w:u w:val="single"/>
        </w:rPr>
        <w:t>Compliance with Recommendation</w:t>
      </w:r>
      <w:r>
        <w:fldChar w:fldCharType="begin"/>
      </w:r>
      <w:r>
        <w:rPr/>
        <w:instrText xml:space="preserve"> TC "3.10.4   Compliance with Recommendation" \l 3 </w:instrText>
      </w:r>
      <w:r>
        <w:rPr/>
        <w:fldChar w:fldCharType="separate"/>
      </w:r>
      <w:r>
        <w:rPr/>
      </w:r>
      <w:r>
        <w:rPr/>
        <w:fldChar w:fldCharType="end"/>
      </w:r>
      <w:bookmarkStart w:id="111" w:name="__RefHeading___Toc497800485"/>
      <w:bookmarkEnd w:id="111"/>
      <w:r>
        <w:rPr>
          <w:rFonts w:cs="Times New Roman" w:ascii="Times New Roman" w:hAnsi="Times New Roman"/>
          <w:sz w:val="22"/>
        </w:rPr>
        <w:t>.  Purchaser shall be entitled to make packing recommendations; however, Seller shall use its best judgment in packing. Seller’s compliance with the Purchaser’s recommendations shall not relieve Seller of its responsibility for risk of loss and damage of the Equipment in accordance with this Agreement through delivery to the Delivery Point.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16.2   </w:t>
      </w:r>
      <w:r>
        <w:rPr>
          <w:rFonts w:cs="Times New Roman" w:ascii="Times New Roman" w:hAnsi="Times New Roman"/>
          <w:sz w:val="22"/>
          <w:u w:val="single"/>
        </w:rPr>
        <w:t>Notice of Shipment</w:t>
      </w:r>
      <w:r>
        <w:fldChar w:fldCharType="begin"/>
      </w:r>
      <w:r>
        <w:rPr/>
        <w:instrText xml:space="preserve"> TC "3.10.3   Notice of Shipment" \l 3 </w:instrText>
      </w:r>
      <w:r>
        <w:rPr/>
        <w:fldChar w:fldCharType="separate"/>
      </w:r>
      <w:r>
        <w:rPr/>
      </w:r>
      <w:r>
        <w:rPr/>
        <w:fldChar w:fldCharType="end"/>
      </w:r>
      <w:bookmarkStart w:id="112" w:name="__RefHeading___Toc497800486"/>
      <w:bookmarkEnd w:id="112"/>
      <w:r>
        <w:rPr>
          <w:rFonts w:cs="Times New Roman" w:ascii="Times New Roman" w:hAnsi="Times New Roman"/>
          <w:sz w:val="22"/>
        </w:rPr>
        <w:t xml:space="preserve">.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Seller shall provide the Purchaser with a stowage and packing plan forty-five (45) days prior to loading.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16.3   </w:t>
      </w:r>
      <w:r>
        <w:rPr>
          <w:rFonts w:cs="Times New Roman" w:ascii="Times New Roman" w:hAnsi="Times New Roman"/>
          <w:sz w:val="22"/>
          <w:u w:val="single"/>
        </w:rPr>
        <w:t>Release for Shipment</w:t>
      </w:r>
      <w:r>
        <w:fldChar w:fldCharType="begin"/>
      </w:r>
      <w:r>
        <w:rPr/>
        <w:instrText xml:space="preserve"> TC "9.7   Release for Delivery" \l 2 </w:instrText>
      </w:r>
      <w:r>
        <w:rPr/>
        <w:fldChar w:fldCharType="separate"/>
      </w:r>
      <w:r>
        <w:rPr/>
      </w:r>
      <w:r>
        <w:rPr/>
        <w:fldChar w:fldCharType="end"/>
      </w:r>
      <w:bookmarkStart w:id="113" w:name="__RefHeading___Toc497800487"/>
      <w:bookmarkEnd w:id="113"/>
      <w:r>
        <w:rPr>
          <w:rFonts w:cs="Times New Roman" w:ascii="Times New Roman" w:hAnsi="Times New Roman"/>
          <w:sz w:val="22"/>
        </w:rPr>
        <w:t>.  In addition to other conditions set forth in this Agreement, prior to Seller performing any Equipment export packing and prior to actual shipment, Seller shall, at least seven (7) days in advance, request in writing to Purchaser's Representative for release to ship such Equipment (subject to the condition that such release will not result in a Unit being delivered to a Site before the Earliest Delivery Date).  Purchaser's approval shall not be unreasonably withheld provided Seller has met the requirements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16.1.1   </w:t>
      </w:r>
      <w:r>
        <w:rPr>
          <w:rFonts w:cs="Times New Roman" w:ascii="Times New Roman" w:hAnsi="Times New Roman"/>
          <w:sz w:val="22"/>
          <w:u w:val="single"/>
        </w:rPr>
        <w:t>Shipping Restrictions</w:t>
      </w:r>
      <w:r>
        <w:fldChar w:fldCharType="begin"/>
      </w:r>
      <w:r>
        <w:rPr/>
        <w:instrText xml:space="preserve"> TC "10.2.1.2   Delivery Restrictions" \l 3 </w:instrText>
      </w:r>
      <w:r>
        <w:rPr/>
        <w:fldChar w:fldCharType="separate"/>
      </w:r>
      <w:r>
        <w:rPr/>
      </w:r>
      <w:r>
        <w:rPr/>
        <w:fldChar w:fldCharType="end"/>
      </w:r>
      <w:bookmarkStart w:id="114" w:name="__RefHeading___Toc497800488"/>
      <w:bookmarkEnd w:id="114"/>
      <w:r>
        <w:rPr>
          <w:rFonts w:cs="Times New Roman" w:ascii="Times New Roman" w:hAnsi="Times New Roman"/>
          <w:sz w:val="22"/>
          <w:u w:val="single"/>
        </w:rPr>
        <w:t>.</w:t>
      </w:r>
      <w:r>
        <w:rPr>
          <w:rFonts w:cs="Times New Roman" w:ascii="Times New Roman" w:hAnsi="Times New Roman"/>
          <w:sz w:val="22"/>
        </w:rPr>
        <w:t xml:space="preserve">  Seller shall use appropriately licensed and insurable carriers in a commercially reasonable manner. Delivery of each Unit shall be considered complete when the Unit is delivered (and other such items of Equipment as necessary so as to not impede the continuous progress of completion of the [Facility])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w:t>
        <w:tab/>
        <w:t>such damage will not prevent erection of such Equipment and/or Unit; and</w:t>
      </w:r>
    </w:p>
    <w:p>
      <w:pPr>
        <w:pStyle w:val="BodyText3"/>
        <w:spacing w:lineRule="auto" w:line="240"/>
        <w:ind w:hanging="720" w:start="1440" w:end="0"/>
        <w:rPr>
          <w:rFonts w:ascii="Times New Roman" w:hAnsi="Times New Roman" w:cs="Times New Roman"/>
          <w:sz w:val="22"/>
        </w:rPr>
      </w:pPr>
      <w:r>
        <w:rPr>
          <w:rFonts w:cs="Times New Roman" w:ascii="Times New Roman" w:hAnsi="Times New Roman"/>
          <w:sz w:val="22"/>
        </w:rPr>
        <w:t>(ii)</w:t>
        <w:tab/>
        <w:t>Seller is able to repair or replace such damaged Equipment without delaying or interrupting assembly, erection and testing of the Equipment; and</w:t>
      </w:r>
    </w:p>
    <w:p>
      <w:pPr>
        <w:pStyle w:val="BodyText3"/>
        <w:numPr>
          <w:ilvl w:val="0"/>
          <w:numId w:val="12"/>
        </w:numPr>
        <w:spacing w:lineRule="auto" w:line="240"/>
        <w:rPr>
          <w:rFonts w:ascii="Times New Roman" w:hAnsi="Times New Roman" w:cs="Times New Roman"/>
          <w:sz w:val="22"/>
        </w:rPr>
      </w:pPr>
      <w:r>
        <w:rPr>
          <w:rFonts w:cs="Times New Roman" w:ascii="Times New Roman" w:hAnsi="Times New Roman"/>
          <w:sz w:val="22"/>
        </w:rPr>
        <w:t>Such damage once repaired by Seller will not adversely affect the performance, reliability, or longevity of the Unit.</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XVII.  </w:t>
      </w:r>
      <w:r>
        <w:rPr>
          <w:rFonts w:cs="Times New Roman" w:ascii="Times New Roman" w:hAnsi="Times New Roman"/>
          <w:sz w:val="22"/>
          <w:u w:val="single"/>
        </w:rPr>
        <w:t>DEFAULT; TERMINATION</w:t>
      </w:r>
      <w:r>
        <w:fldChar w:fldCharType="begin"/>
      </w:r>
      <w:r>
        <w:rPr/>
        <w:instrText xml:space="preserve"> TC "ARTICLE XVII.  DEFAULT" \l 1 </w:instrText>
      </w:r>
      <w:r>
        <w:rPr/>
        <w:fldChar w:fldCharType="separate"/>
      </w:r>
      <w:r>
        <w:rPr/>
      </w:r>
      <w:r>
        <w:rPr/>
        <w:fldChar w:fldCharType="end"/>
      </w:r>
      <w:bookmarkStart w:id="115" w:name="__RefHeading___Toc497800489"/>
      <w:bookmarkEnd w:id="11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17.1   </w:t>
      </w:r>
      <w:r>
        <w:rPr>
          <w:rFonts w:cs="Times New Roman" w:ascii="Times New Roman" w:hAnsi="Times New Roman"/>
          <w:sz w:val="22"/>
          <w:u w:val="single"/>
        </w:rPr>
        <w:t>Event of Default by Seller</w:t>
      </w:r>
      <w:r>
        <w:fldChar w:fldCharType="begin"/>
      </w:r>
      <w:r>
        <w:rPr/>
        <w:instrText xml:space="preserve"> TC "17.1   Event of Default by Seller" \l 2 </w:instrText>
      </w:r>
      <w:r>
        <w:rPr/>
        <w:fldChar w:fldCharType="separate"/>
      </w:r>
      <w:r>
        <w:rPr/>
      </w:r>
      <w:r>
        <w:rPr/>
        <w:fldChar w:fldCharType="end"/>
      </w:r>
      <w:bookmarkStart w:id="116" w:name="__RefHeading___Toc497800490"/>
      <w:bookmarkEnd w:id="116"/>
      <w:r>
        <w:rPr>
          <w:rFonts w:cs="Times New Roman" w:ascii="Times New Roman" w:hAnsi="Times New Roman"/>
          <w:sz w:val="22"/>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provided that the event described in paragraph (d) below shall be an Event of Seller Default upon its occurrence, with no cure period: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Seller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Seller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jc w:val="both"/>
        <w:rPr>
          <w:rFonts w:ascii="Times New Roman" w:hAnsi="Times New Roman" w:cs="Times New Roman"/>
          <w:sz w:val="22"/>
        </w:rPr>
      </w:pPr>
      <w:r>
        <w:rPr>
          <w:rFonts w:cs="Times New Roman" w:ascii="Times New Roman" w:hAnsi="Times New Roman"/>
          <w:sz w:val="22"/>
        </w:rPr>
        <w:t xml:space="preserve">Seller shall have defaulted in its performance under any material provision of this Agreement,  </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jc w:val="both"/>
        <w:rPr>
          <w:rFonts w:ascii="Times New Roman" w:hAnsi="Times New Roman" w:cs="Times New Roman"/>
          <w:sz w:val="22"/>
        </w:rPr>
      </w:pPr>
      <w:r>
        <w:rPr>
          <w:rFonts w:cs="Times New Roman" w:ascii="Times New Roman" w:hAnsi="Times New Roman"/>
          <w:sz w:val="22"/>
        </w:rPr>
        <w:t>Seller has failed to achieve Acceptance of the first Unit on or before the expiration of twenty-nine (29) months of Release, failed to achieve Acceptance of Units #2 through 8 on or before the expiration of thirty-five (35) months of Release, or failed to achieve Acceptance of all Units on or before the expiration of forty-two (42) months from Release (such dates subject to extension for actual Delays, which Seller must reasonably provide supporting documentation if greater than day-to-day extension for any Units affected by Purchaser Delay in accordance with Section 6.4),</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 xml:space="preserve">any proceeding is instituted against Seller seeking to adjudicate Seller as a  bankrupt or insolvent, or Seller make a general assignment for the benefit of its creditors, or a receiver is appointed on account of the insolvency of Seller, or Seller file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17.2   </w:t>
      </w:r>
      <w:r>
        <w:rPr>
          <w:rFonts w:cs="Times New Roman" w:ascii="Times New Roman" w:hAnsi="Times New Roman"/>
          <w:sz w:val="22"/>
          <w:u w:val="single"/>
        </w:rPr>
        <w:t>Purchaser's Remedies Against Seller</w:t>
      </w:r>
      <w:r>
        <w:fldChar w:fldCharType="begin"/>
      </w:r>
      <w:r>
        <w:rPr/>
        <w:instrText xml:space="preserve"> TC "17.2   Purchaser's Remedies Against Seller" \l 2 </w:instrText>
      </w:r>
      <w:r>
        <w:rPr/>
        <w:fldChar w:fldCharType="separate"/>
      </w:r>
      <w:r>
        <w:rPr/>
      </w:r>
      <w:r>
        <w:rPr/>
        <w:fldChar w:fldCharType="end"/>
      </w:r>
      <w:bookmarkStart w:id="117" w:name="__RefHeading___Toc497800491"/>
      <w:bookmarkEnd w:id="117"/>
      <w:r>
        <w:rPr>
          <w:rFonts w:cs="Times New Roman" w:ascii="Times New Roman" w:hAnsi="Times New Roman"/>
          <w:sz w:val="22"/>
        </w:rPr>
        <w:t xml:space="preserve">.  The provisions of Article XXVI hereof notwithstanding, and without limitation of Purchaser's rights, in the case of default under Section 17.1 Purchaser shall have the right to terminate this Agreement in whole or in part, without further obligation to Seller, as to any Equipment not yet achieving Acceptance by giving Notice of termination to Seller, specifying which Equipment is being terminated. Seller shall be allowed sixty (60) days following the date of the termination notice to achieve Acceptance of any Equipment delivered to the appropriate site as of the date of the termination notice.   These rights are in addition to any rights and remedies that may be available at law or in equity or as provided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17.3   </w:t>
      </w:r>
      <w:r>
        <w:rPr>
          <w:rFonts w:cs="Times New Roman" w:ascii="Times New Roman" w:hAnsi="Times New Roman"/>
          <w:sz w:val="22"/>
          <w:u w:val="single"/>
        </w:rPr>
        <w:t>General Obligations</w:t>
      </w:r>
      <w:r>
        <w:fldChar w:fldCharType="begin"/>
      </w:r>
      <w:r>
        <w:rPr/>
        <w:instrText xml:space="preserve"> TC "17.3   General Obligations" \l 2 </w:instrText>
      </w:r>
      <w:r>
        <w:rPr/>
        <w:fldChar w:fldCharType="separate"/>
      </w:r>
      <w:r>
        <w:rPr/>
      </w:r>
      <w:r>
        <w:rPr/>
        <w:fldChar w:fldCharType="end"/>
      </w:r>
      <w:bookmarkStart w:id="118" w:name="__RefHeading___Toc497800492"/>
      <w:bookmarkEnd w:id="118"/>
      <w:r>
        <w:rPr>
          <w:rFonts w:cs="Times New Roman" w:ascii="Times New Roman" w:hAnsi="Times New Roman"/>
          <w:sz w:val="22"/>
        </w:rPr>
        <w:t>.   In the case of a partial termination pursuant to Section 17.2, Seller shall continue performing its obligations under this Agreement for all Equipment and Services not terminated by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17.4   </w:t>
      </w:r>
      <w:r>
        <w:rPr>
          <w:rFonts w:cs="Times New Roman" w:ascii="Times New Roman" w:hAnsi="Times New Roman"/>
          <w:sz w:val="22"/>
          <w:u w:val="single"/>
        </w:rPr>
        <w:t>Payment Obligations</w:t>
      </w:r>
      <w:r>
        <w:fldChar w:fldCharType="begin"/>
      </w:r>
      <w:r>
        <w:rPr/>
        <w:instrText xml:space="preserve"> TC "17.4   Payment Obligations" \l 2 </w:instrText>
      </w:r>
      <w:r>
        <w:rPr/>
        <w:fldChar w:fldCharType="separate"/>
      </w:r>
      <w:r>
        <w:rPr/>
      </w:r>
      <w:r>
        <w:rPr/>
        <w:fldChar w:fldCharType="end"/>
      </w:r>
      <w:bookmarkStart w:id="119" w:name="__RefHeading___Toc497800493"/>
      <w:bookmarkEnd w:id="119"/>
      <w:r>
        <w:rPr>
          <w:rFonts w:cs="Times New Roman" w:ascii="Times New Roman" w:hAnsi="Times New Roman"/>
          <w:sz w:val="22"/>
        </w:rPr>
        <w:t>. Seller shall not be entitled to any payment for any terminated Equipment, and shall refund any money paid for such terminated Equipment within ten (10) days of receipt of notice of termination. Should some Equipment be terminated for default, Purchaser shall pay the Average Purchase Amount for any Equipment which is not terminated and which achieves Acceptance.  Shipping costs shall not be included in the calculation of Average Purchase Amount, and Purchaser shall pay the lesser of the actual shipping costs and $87,000 for any Units achieving Acceptance. The Average Purchase Amount shall be used in the case of a reduction in the Purchase Amount due to failure to achieve the Performance Criteria.</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17.5   </w:t>
      </w:r>
      <w:r>
        <w:rPr>
          <w:rFonts w:cs="Times New Roman" w:ascii="Times New Roman" w:hAnsi="Times New Roman"/>
          <w:sz w:val="22"/>
          <w:u w:val="single"/>
        </w:rPr>
        <w:t>Events of Default by Purchaser</w:t>
      </w:r>
      <w:r>
        <w:fldChar w:fldCharType="begin"/>
      </w:r>
      <w:r>
        <w:rPr/>
        <w:instrText xml:space="preserve"> TC "17.5   Events of Default by Purchaser" \l 2 </w:instrText>
      </w:r>
      <w:r>
        <w:rPr/>
        <w:fldChar w:fldCharType="separate"/>
      </w:r>
      <w:r>
        <w:rPr/>
      </w:r>
      <w:r>
        <w:rPr/>
        <w:fldChar w:fldCharType="end"/>
      </w:r>
      <w:bookmarkStart w:id="120" w:name="__RefHeading___Toc497800494"/>
      <w:bookmarkEnd w:id="120"/>
      <w:r>
        <w:rPr>
          <w:rFonts w:cs="Times New Roman" w:ascii="Times New Roman" w:hAnsi="Times New Roman"/>
          <w:sz w:val="22"/>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Purchaser shall have assigned or transferred this Agreement or any right or interest herein except as expressly permitted by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any representation made by Purchaser in this Agreement shall have been materially false or misleading when made;</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Purchaser shall have defaulted in its performance under any material provision of this Agreement; or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17.6   </w:t>
      </w:r>
      <w:r>
        <w:rPr>
          <w:rFonts w:cs="Times New Roman" w:ascii="Times New Roman" w:hAnsi="Times New Roman"/>
          <w:sz w:val="22"/>
          <w:u w:val="single"/>
        </w:rPr>
        <w:t>Seller Remedies</w:t>
      </w:r>
      <w:r>
        <w:fldChar w:fldCharType="begin"/>
      </w:r>
      <w:r>
        <w:rPr/>
        <w:instrText xml:space="preserve"> TC "17.6   Seller Remedies" \l 2 </w:instrText>
      </w:r>
      <w:r>
        <w:rPr/>
        <w:fldChar w:fldCharType="separate"/>
      </w:r>
      <w:r>
        <w:rPr/>
      </w:r>
      <w:r>
        <w:rPr/>
        <w:fldChar w:fldCharType="end"/>
      </w:r>
      <w:bookmarkStart w:id="121" w:name="__RefHeading___Toc497800495"/>
      <w:bookmarkEnd w:id="121"/>
      <w:r>
        <w:rPr>
          <w:rFonts w:cs="Times New Roman" w:ascii="Times New Roman" w:hAnsi="Times New Roman"/>
          <w:sz w:val="22"/>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 xml:space="preserve">17.7  </w:t>
      </w:r>
      <w:r>
        <w:rPr>
          <w:rFonts w:cs="Times New Roman" w:ascii="Times New Roman" w:hAnsi="Times New Roman"/>
          <w:sz w:val="22"/>
          <w:u w:val="single"/>
        </w:rPr>
        <w:t>Termination Due to Inability to Obtain a Permit.</w:t>
      </w:r>
      <w:r>
        <w:rPr>
          <w:rFonts w:cs="Times New Roman" w:ascii="Times New Roman" w:hAnsi="Times New Roman"/>
          <w:sz w:val="22"/>
        </w:rPr>
        <w:t xml:space="preserve"> If  (i) Purchaser issues a Permit Notice pursuant to Section 3.12 and (ii) Seller has failed to execute an Amendment to the Agreement in thirty (3) days of such Permit Notice which modifies the Performance Standards to the levels reasonably necessary to obtain applicable permits, then Purchaser may terminate this Agreement with respect to the Units which cannot be permitted. </w:t>
      </w:r>
      <w:r>
        <w:br w:type="page"/>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 xml:space="preserve">ARTICLE XVIII.  </w:t>
      </w:r>
      <w:r>
        <w:rPr>
          <w:rFonts w:cs="Times New Roman" w:ascii="Times New Roman" w:hAnsi="Times New Roman"/>
          <w:sz w:val="22"/>
          <w:u w:val="single"/>
        </w:rPr>
        <w:t>FORCE MAJEURE</w:t>
      </w:r>
      <w:r>
        <w:fldChar w:fldCharType="begin"/>
      </w:r>
      <w:r>
        <w:rPr/>
        <w:instrText xml:space="preserve"> TC "ARTICLE XVIII.  FORCE MAJEURE" \l 1 </w:instrText>
      </w:r>
      <w:r>
        <w:rPr/>
        <w:fldChar w:fldCharType="separate"/>
      </w:r>
      <w:r>
        <w:rPr/>
      </w:r>
      <w:r>
        <w:rPr/>
        <w:fldChar w:fldCharType="end"/>
      </w:r>
      <w:bookmarkStart w:id="122" w:name="__RefHeading___Toc497800496"/>
      <w:bookmarkEnd w:id="12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18.1   </w:t>
      </w:r>
      <w:r>
        <w:rPr>
          <w:rFonts w:cs="Times New Roman" w:ascii="Times New Roman" w:hAnsi="Times New Roman"/>
          <w:sz w:val="22"/>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bookmarkStart w:id="123" w:name="__RefHeading___Toc497800497"/>
      <w:bookmarkEnd w:id="123"/>
      <w:r>
        <w:rPr>
          <w:rFonts w:cs="Times New Roman" w:ascii="Times New Roman" w:hAnsi="Times New Roman"/>
          <w:sz w:val="22"/>
        </w:rPr>
        <w:t xml:space="preserve">.  Subject to the terms of this Article XVIII, either party shall be excused from performance and shall not be considered to be in default with respect to any obligation hereunder, to the extent its failure of performance is due to an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18.2   </w:t>
      </w:r>
      <w:r>
        <w:rPr>
          <w:rFonts w:cs="Times New Roman" w:ascii="Times New Roman" w:hAnsi="Times New Roman"/>
          <w:sz w:val="22"/>
          <w:u w:val="single"/>
        </w:rPr>
        <w:t>Events of Force Majeure</w:t>
      </w:r>
      <w:r>
        <w:fldChar w:fldCharType="begin"/>
      </w:r>
      <w:r>
        <w:rPr/>
        <w:instrText xml:space="preserve"> TC "18.2   Events of Force Majeure" \l 2 </w:instrText>
      </w:r>
      <w:r>
        <w:rPr/>
        <w:fldChar w:fldCharType="separate"/>
      </w:r>
      <w:r>
        <w:rPr/>
      </w:r>
      <w:r>
        <w:rPr/>
        <w:fldChar w:fldCharType="end"/>
      </w:r>
      <w:bookmarkStart w:id="124" w:name="__RefHeading___Toc497800498"/>
      <w:bookmarkEnd w:id="124"/>
      <w:r>
        <w:rPr>
          <w:rFonts w:cs="Times New Roman" w:ascii="Times New Roman" w:hAnsi="Times New Roman"/>
          <w:sz w:val="22"/>
        </w:rPr>
        <w:t>.  Events of Force Majeure shall be limited to the circumstances set forth in clause 18.4 but only if, and to the extent: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such circumstance is not within the reasonable control of the party affected;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such circumstance, despite the exercise of reasonable diligence, can not be prevented, avoided or removed by such party;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such event materially adversely affects (in cost and/or time) the ability of the affected party to fulfil its obligations under the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1440" w:start="144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(iv)</w:t>
        <w:tab/>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that such event is deemed as a Event of Force Majeure under any related project document(s);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 xml:space="preserve">such event is not the result of any failure of such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18.3   </w:t>
      </w:r>
      <w:r>
        <w:rPr>
          <w:rFonts w:cs="Times New Roman" w:ascii="Times New Roman" w:hAnsi="Times New Roman"/>
          <w:sz w:val="22"/>
          <w:u w:val="single"/>
        </w:rPr>
        <w:t>Notice of Force Majeure</w:t>
      </w:r>
      <w:r>
        <w:fldChar w:fldCharType="begin"/>
      </w:r>
      <w:r>
        <w:rPr/>
        <w:instrText xml:space="preserve"> TC "18.3   Notice of Force Majeure" \l 2 </w:instrText>
      </w:r>
      <w:r>
        <w:rPr/>
        <w:fldChar w:fldCharType="separate"/>
      </w:r>
      <w:r>
        <w:rPr/>
      </w:r>
      <w:r>
        <w:rPr/>
        <w:fldChar w:fldCharType="end"/>
      </w:r>
      <w:bookmarkStart w:id="125" w:name="__RefHeading___Toc497800499"/>
      <w:bookmarkEnd w:id="125"/>
      <w:r>
        <w:rPr>
          <w:rFonts w:cs="Times New Roman" w:ascii="Times New Roman" w:hAnsi="Times New Roman"/>
          <w:sz w:val="22"/>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seventy-two (72) hours upon learning of such Event of Force Majeure), advise the other party in writing of such date.    Within seven (7) days,  the affected party shall provide Notice to the other party a description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18.3).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delivery Date and/or the Guaranteed  Acceptance Date or the basis for an adjustment of the Purchase Amount.  The burden of proof to demonstrate that a Force Majeure event has occurred and affects the claiming parties ability to perform, rests with the claiming party. The parties will meet within ten (10) days after receipt of Notice by the unaffected party to discuss appropriate measures to mitigate the impact of the Event.  The parties shall thereupon consult with one another concerning the effect of such Event of Force Majeure and an extension of the GuaranteedAcceptance Date described in Sections 10.2 or 10.3 or, if applicable, an adjustment in the Purchase Amount described in Section 5.1.1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shall make all reasonable efforts to prevent and reduce to a minimum and mitigate the effect of any delay or potential adjustment of the Purchase Amount occasioned by any Event of Force Majeure including recourse to alternate acceptable sources of services, equipment and materials and construction equipment;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shall use their best efforts to ensure resumption of normal performance of the Agreement after the occurrence of any Event of Force Majeure and shall perform their obligations to the maximum extent practicable as agreed between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18.4   </w:t>
      </w:r>
      <w:r>
        <w:rPr>
          <w:rFonts w:cs="Times New Roman" w:ascii="Times New Roman" w:hAnsi="Times New Roman"/>
          <w:sz w:val="22"/>
          <w:u w:val="single"/>
        </w:rPr>
        <w:t>Events of Force Majeure</w:t>
      </w:r>
      <w:r>
        <w:fldChar w:fldCharType="begin"/>
      </w:r>
      <w:r>
        <w:rPr/>
        <w:instrText xml:space="preserve"> TC "18.4   Events of Force Majeure" \l 2 </w:instrText>
      </w:r>
      <w:r>
        <w:rPr/>
        <w:fldChar w:fldCharType="separate"/>
      </w:r>
      <w:r>
        <w:rPr/>
      </w:r>
      <w:r>
        <w:rPr/>
        <w:fldChar w:fldCharType="end"/>
      </w:r>
      <w:bookmarkStart w:id="126" w:name="__RefHeading___Toc497800500"/>
      <w:bookmarkEnd w:id="126"/>
      <w:r>
        <w:rPr>
          <w:rFonts w:cs="Times New Roman" w:ascii="Times New Roman" w:hAnsi="Times New Roman"/>
          <w:sz w:val="22"/>
        </w:rPr>
        <w:t>.  Subject to the provisions of Sections 18.2 and 18.5, an Event of Force Majeure shall mean the following:</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explosions, fires, nuclear radiation contamination, hurricanes, earthquakes, floods, natural disasters, epidemics, other acts of God, and any other similar circumstances;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war and other hostilities (whether declared or not), revolution, public disorders, insurrection, rebellion, sabotage, acts of public officials or terrorist action;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 xml:space="preserve">any reasonably unforeseeable action or inordinately lengthy material inaction by any national or local government or judicial authority after the Release Date of the affected Equipment, including without limitation any order, legislation, enactment, judgement, ruling or decision;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national or regional strikes which are not specific to Seller’s manufacturing facilities (such strikes not being Force Majeure Events);</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Strikes at the Site not arising out of Seller’s performance of work at or near the Site;</w:t>
      </w:r>
    </w:p>
    <w:p>
      <w:pPr>
        <w:pStyle w:val="Normal"/>
        <w:widowControl/>
        <w:tabs>
          <w:tab w:val="clear" w:pos="720"/>
          <w:tab w:val="left" w:pos="-1440" w:leader="none"/>
        </w:tabs>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Accidents in transportation resulting from any of the Events of Force Majeure listed in Subsection 18.4 (a).</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delays resulting from unforeseen extreme weather conditions.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18.5   </w:t>
      </w:r>
      <w:r>
        <w:rPr>
          <w:rFonts w:cs="Times New Roman" w:ascii="Times New Roman" w:hAnsi="Times New Roman"/>
          <w:sz w:val="22"/>
          <w:u w:val="single"/>
        </w:rPr>
        <w:t>Certain Events Not Excused</w:t>
      </w:r>
      <w:r>
        <w:fldChar w:fldCharType="begin"/>
      </w:r>
      <w:r>
        <w:rPr/>
        <w:instrText xml:space="preserve"> TC "18.5   Certain Events Not Excused" \l 2 </w:instrText>
      </w:r>
      <w:r>
        <w:rPr/>
        <w:fldChar w:fldCharType="separate"/>
      </w:r>
      <w:r>
        <w:rPr/>
      </w:r>
      <w:r>
        <w:rPr/>
        <w:fldChar w:fldCharType="end"/>
      </w:r>
      <w:bookmarkStart w:id="127" w:name="__RefHeading___Toc497800501"/>
      <w:bookmarkEnd w:id="127"/>
      <w:r>
        <w:rPr>
          <w:rFonts w:cs="Times New Roman" w:ascii="Times New Roman" w:hAnsi="Times New Roman"/>
          <w:sz w:val="22"/>
        </w:rPr>
        <w:t xml:space="preserve">.  Notwithstanding that an Event of Force Majeure may otherwise exist, the provisions of this Article XVIII shall not excuse: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late delivery of equipment or materials caused by Seller, or caused by any of the subcontractors, component manufacturers and suppliers of Seller if Seller could have avoided such late delivery by exercising all reasonable endeavors as a prudent equipment supplier;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late performance by Seller caused by Seller’s failure to engage qualified subcontractors and suppliers or to hire an adequate number of personnel or labor or by inefficiencies on the part of Seller.</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(c)</w:t>
        <w:tab/>
        <w:t>failures or delays due to problems relating to the development of the fuel cell technology or the manufacturing process to produce the technology.</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tab/>
        <w:t>(d)</w:t>
        <w:tab/>
        <w:t>failure of Seller to act in accordance with industry standards, including, but not limited to, failure to ship the Equipment in a commercially reasonable manner.</w:t>
      </w:r>
    </w:p>
    <w:p>
      <w:pPr>
        <w:pStyle w:val="Normal"/>
        <w:widowControl/>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0" w:leader="none"/>
        </w:tabs>
        <w:ind w:hanging="630" w:end="0"/>
        <w:jc w:val="both"/>
        <w:rPr/>
      </w:pPr>
      <w:r>
        <w:rPr>
          <w:rFonts w:cs="Times New Roman" w:ascii="Times New Roman" w:hAnsi="Times New Roman"/>
          <w:sz w:val="22"/>
        </w:rPr>
        <w:t xml:space="preserve">           </w:t>
      </w:r>
      <w:r>
        <w:rPr>
          <w:rFonts w:cs="Times New Roman" w:ascii="Times New Roman" w:hAnsi="Times New Roman"/>
          <w:sz w:val="22"/>
        </w:rPr>
        <w:t xml:space="preserve">18.6   </w:t>
      </w:r>
      <w:r>
        <w:rPr>
          <w:rFonts w:cs="Times New Roman" w:ascii="Times New Roman" w:hAnsi="Times New Roman"/>
          <w:sz w:val="22"/>
          <w:u w:val="single"/>
        </w:rPr>
        <w:t>Continued Performance</w:t>
      </w:r>
      <w:r>
        <w:fldChar w:fldCharType="begin"/>
      </w:r>
      <w:r>
        <w:rPr/>
        <w:instrText xml:space="preserve"> TC "18.6   Continued Performance" \l 2 </w:instrText>
      </w:r>
      <w:r>
        <w:rPr/>
        <w:fldChar w:fldCharType="separate"/>
      </w:r>
      <w:r>
        <w:rPr/>
      </w:r>
      <w:r>
        <w:rPr/>
        <w:fldChar w:fldCharType="end"/>
      </w:r>
      <w:bookmarkStart w:id="128" w:name="__RefHeading___Toc497800502"/>
      <w:bookmarkEnd w:id="128"/>
      <w:r>
        <w:rPr>
          <w:rFonts w:cs="Times New Roman" w:ascii="Times New Roman" w:hAnsi="Times New Roman"/>
          <w:sz w:val="22"/>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18.7   </w:t>
      </w:r>
      <w:r>
        <w:rPr>
          <w:rFonts w:cs="Times New Roman" w:ascii="Times New Roman" w:hAnsi="Times New Roman"/>
          <w:sz w:val="22"/>
          <w:u w:val="single"/>
        </w:rPr>
        <w:t>Not Used</w:t>
      </w:r>
      <w:r>
        <w:fldChar w:fldCharType="begin"/>
      </w:r>
      <w:r>
        <w:rPr/>
        <w:instrText xml:space="preserve"> TC "18.7   Not Used" \l 2 </w:instrText>
      </w:r>
      <w:r>
        <w:rPr/>
        <w:fldChar w:fldCharType="separate"/>
      </w:r>
      <w:r>
        <w:rPr/>
      </w:r>
      <w:r>
        <w:rPr/>
        <w:fldChar w:fldCharType="end"/>
      </w:r>
      <w:bookmarkStart w:id="129" w:name="__RefHeading___Toc497800503"/>
      <w:bookmarkEnd w:id="129"/>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18.8   </w:t>
      </w:r>
      <w:r>
        <w:rPr>
          <w:rFonts w:cs="Times New Roman" w:ascii="Times New Roman" w:hAnsi="Times New Roman"/>
          <w:sz w:val="22"/>
          <w:u w:val="single"/>
        </w:rPr>
        <w:t xml:space="preserve">Force Majeure </w:t>
        <w:noBreakHyphen/>
        <w:t xml:space="preserve"> Delays</w:t>
      </w:r>
      <w:r>
        <w:fldChar w:fldCharType="begin"/>
      </w:r>
      <w:r>
        <w:rPr/>
        <w:instrText xml:space="preserve"> TC "18.8   Force Majeure _x001e_ Delays" \l 2 </w:instrText>
      </w:r>
      <w:r>
        <w:rPr/>
        <w:fldChar w:fldCharType="separate"/>
      </w:r>
      <w:r>
        <w:rPr/>
      </w:r>
      <w:r>
        <w:rPr/>
        <w:fldChar w:fldCharType="end"/>
      </w:r>
      <w:bookmarkStart w:id="130" w:name="__RefHeading___Toc497800504"/>
      <w:bookmarkEnd w:id="130"/>
      <w:r>
        <w:rPr>
          <w:rFonts w:cs="Times New Roman" w:ascii="Times New Roman" w:hAnsi="Times New Roman"/>
          <w:sz w:val="22"/>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including an extension of the Guaranteed Acceptance Date, if applicable. Seller’s entitlement to an extension of time shall be conditional upon Seller having used reasonable endeavors to mitigate the delay and Seller not otherwise being in default under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18.9   </w:t>
      </w:r>
      <w:r>
        <w:rPr>
          <w:rFonts w:cs="Times New Roman" w:ascii="Times New Roman" w:hAnsi="Times New Roman"/>
          <w:sz w:val="22"/>
          <w:u w:val="single"/>
        </w:rPr>
        <w:t xml:space="preserve">Force Majeure </w:t>
        <w:noBreakHyphen/>
        <w:t xml:space="preserve"> Cost</w:t>
      </w:r>
      <w:r>
        <w:fldChar w:fldCharType="begin"/>
      </w:r>
      <w:r>
        <w:rPr/>
        <w:instrText xml:space="preserve"> TC "18.9   Force Majeure _x001e_ Cost" \l 2 </w:instrText>
      </w:r>
      <w:r>
        <w:rPr/>
        <w:fldChar w:fldCharType="separate"/>
      </w:r>
      <w:r>
        <w:rPr/>
      </w:r>
      <w:r>
        <w:rPr/>
        <w:fldChar w:fldCharType="end"/>
      </w:r>
      <w:bookmarkStart w:id="131" w:name="__RefHeading___Toc497800505"/>
      <w:bookmarkEnd w:id="131"/>
      <w:r>
        <w:rPr>
          <w:rFonts w:cs="Times New Roman" w:ascii="Times New Roman" w:hAnsi="Times New Roman"/>
          <w:sz w:val="22"/>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a Purchase Amount adjustment in accordance with Section 5.5 and Article XI hereof.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fldChar w:fldCharType="begin"/>
      </w:r>
      <w:r>
        <w:rPr/>
        <w:instrText xml:space="preserve"> TC "ARTICLE XIX.  INSURANCE" \l 1 </w:instrText>
      </w:r>
      <w:r>
        <w:rPr/>
        <w:fldChar w:fldCharType="separate"/>
      </w:r>
      <w:r>
        <w:rPr/>
      </w:r>
      <w:r>
        <w:rPr/>
        <w:fldChar w:fldCharType="end"/>
      </w:r>
      <w:bookmarkStart w:id="132" w:name="__RefHeading___Toc497800506"/>
      <w:bookmarkEnd w:id="13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[Both parties to have this reviewed by others]</w:t>
      </w:r>
    </w:p>
    <w:p>
      <w:pPr>
        <w:pStyle w:val="Normal"/>
        <w:widowControl/>
        <w:spacing w:lineRule="auto" w:line="300"/>
        <w:jc w:val="both"/>
        <w:rPr/>
      </w:pPr>
      <w:r>
        <w:rPr>
          <w:rFonts w:cs="Times New Roman" w:ascii="Times New Roman" w:hAnsi="Times New Roman"/>
          <w:sz w:val="22"/>
        </w:rPr>
        <w:t xml:space="preserve">19.1   </w:t>
      </w:r>
      <w:r>
        <w:rPr>
          <w:rFonts w:cs="Times New Roman" w:ascii="Times New Roman" w:hAnsi="Times New Roman"/>
          <w:sz w:val="22"/>
          <w:u w:val="single"/>
        </w:rPr>
        <w:t xml:space="preserve">Insurance </w:t>
        <w:noBreakHyphen/>
        <w:t xml:space="preserve"> General</w:t>
      </w:r>
      <w:r>
        <w:fldChar w:fldCharType="begin"/>
      </w:r>
      <w:r>
        <w:rPr/>
        <w:instrText xml:space="preserve"> TC "19.1   Insurance _x001e_ General" \l 2 </w:instrText>
      </w:r>
      <w:r>
        <w:rPr/>
        <w:fldChar w:fldCharType="separate"/>
      </w:r>
      <w:r>
        <w:rPr/>
      </w:r>
      <w:r>
        <w:rPr/>
        <w:fldChar w:fldCharType="end"/>
      </w:r>
      <w:bookmarkStart w:id="133" w:name="__RefHeading___Toc497800507"/>
      <w:bookmarkEnd w:id="133"/>
      <w:r>
        <w:rPr>
          <w:rFonts w:cs="Times New Roman" w:ascii="Times New Roman" w:hAnsi="Times New Roman"/>
          <w:sz w:val="22"/>
        </w:rPr>
        <w:t xml:space="preserve">.  Seller shall procure at its own expense and maintain in full force and effect at all times throughout Seller’s performance under this Agreement to include Seller’s performance of its warranty obligation with responsible insurance carriers insurance as set forth in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   </w:t>
      </w:r>
      <w:r>
        <w:rPr>
          <w:rFonts w:cs="Times New Roman" w:ascii="Times New Roman" w:hAnsi="Times New Roman"/>
          <w:sz w:val="22"/>
          <w:u w:val="single"/>
        </w:rPr>
        <w:t>All Risk</w:t>
      </w:r>
      <w:r>
        <w:fldChar w:fldCharType="begin"/>
      </w:r>
      <w:r>
        <w:rPr/>
        <w:instrText xml:space="preserve"> TC "19.1.1   All Risk" \l 3 </w:instrText>
      </w:r>
      <w:r>
        <w:rPr/>
        <w:fldChar w:fldCharType="separate"/>
      </w:r>
      <w:r>
        <w:rPr/>
      </w:r>
      <w:r>
        <w:rPr/>
        <w:fldChar w:fldCharType="end"/>
      </w:r>
      <w:bookmarkStart w:id="134" w:name="__RefHeading___Toc497800508"/>
      <w:bookmarkEnd w:id="134"/>
      <w:r>
        <w:rPr>
          <w:rFonts w:cs="Times New Roman" w:ascii="Times New Roman" w:hAnsi="Times New Roman"/>
          <w:sz w:val="22"/>
        </w:rPr>
        <w:t xml:space="preserve">.  Seller shall purchase and maintain insurance to the full replacement cost of the Equipment during the process of fabrication, in the factory, during transportation, installation and testing, until Acceptance.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19.1.2   </w:t>
      </w:r>
      <w:r>
        <w:rPr>
          <w:rFonts w:cs="Times New Roman" w:ascii="Times New Roman" w:hAnsi="Times New Roman"/>
          <w:sz w:val="22"/>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bookmarkStart w:id="135" w:name="__RefHeading___Toc497800509"/>
      <w:bookmarkEnd w:id="135"/>
      <w:r>
        <w:rPr>
          <w:rFonts w:cs="Times New Roman" w:ascii="Times New Roman" w:hAnsi="Times New Roman"/>
          <w:sz w:val="22"/>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Workers Compensation</w:t>
        <w:tab/>
        <w:t>Statutory</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Employers Liability</w:t>
        <w:tab/>
        <w:tab/>
        <w:t>$1,000,000 Each Accident</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 xml:space="preserve">$1,000,000 Disease </w:t>
      </w:r>
    </w:p>
    <w:p>
      <w:pPr>
        <w:pStyle w:val="Normal"/>
        <w:widowControl/>
        <w:ind w:firstLine="3600" w:end="0"/>
        <w:jc w:val="both"/>
        <w:rPr>
          <w:rFonts w:ascii="Times New Roman" w:hAnsi="Times New Roman" w:cs="Times New Roman"/>
          <w:sz w:val="22"/>
        </w:rPr>
      </w:pPr>
      <w:r>
        <w:rPr>
          <w:rFonts w:cs="Times New Roman" w:ascii="Times New Roman" w:hAnsi="Times New Roman"/>
          <w:sz w:val="22"/>
        </w:rPr>
        <w:t>Each Employee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19.1.3   </w:t>
      </w:r>
      <w:r>
        <w:rPr>
          <w:rFonts w:cs="Times New Roman" w:ascii="Times New Roman" w:hAnsi="Times New Roman"/>
          <w:sz w:val="22"/>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bookmarkStart w:id="136" w:name="__RefHeading___Toc497800510"/>
      <w:bookmarkEnd w:id="136"/>
      <w:r>
        <w:rPr>
          <w:rFonts w:cs="Times New Roman" w:ascii="Times New Roman" w:hAnsi="Times New Roman"/>
          <w:sz w:val="22"/>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ab/>
        <w:t xml:space="preserve">$1,000,000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ab/>
        <w:t>Each Occurrence, (Minimum)</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19.1.4   </w:t>
      </w:r>
      <w:r>
        <w:rPr>
          <w:rFonts w:cs="Times New Roman" w:ascii="Times New Roman" w:hAnsi="Times New Roman"/>
          <w:sz w:val="22"/>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bookmarkStart w:id="137" w:name="__RefHeading___Toc497800511"/>
      <w:bookmarkEnd w:id="137"/>
      <w:r>
        <w:rPr>
          <w:rFonts w:cs="Times New Roman" w:ascii="Times New Roman" w:hAnsi="Times New Roman"/>
          <w:sz w:val="22"/>
        </w:rPr>
        <w:t>.  Seller shall ensure that if any owned or non</w:t>
        <w:noBreakHyphen/>
        <w:t>owned watercraft of any kind is used for performance of the Scope of Work, Hull and Protection and Indemnity Insurance shall be provided for the vessels in the amounts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Hull</w:t>
        <w:tab/>
        <w:tab/>
        <w:tab/>
        <w:t>Full replacement value of the watercraft.</w:t>
      </w:r>
    </w:p>
    <w:p>
      <w:pPr>
        <w:pStyle w:val="Normal"/>
        <w:widowControl/>
        <w:ind w:hanging="2160" w:start="2880" w:end="0"/>
        <w:jc w:val="both"/>
        <w:rPr>
          <w:rFonts w:ascii="Times New Roman" w:hAnsi="Times New Roman" w:cs="Times New Roman"/>
          <w:sz w:val="22"/>
        </w:rPr>
      </w:pPr>
      <w:r>
        <w:rPr>
          <w:rFonts w:cs="Times New Roman" w:ascii="Times New Roman" w:hAnsi="Times New Roman"/>
          <w:sz w:val="22"/>
        </w:rPr>
        <w:t>P&amp;I</w:t>
        <w:tab/>
        <w:tab/>
        <w:tab/>
        <w:t>$1,000,000 Each Occurrence or the full value of the vessel, whichever is greater.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vessel operator, by the vessel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19.1.5   </w:t>
      </w:r>
      <w:r>
        <w:rPr>
          <w:rFonts w:cs="Times New Roman" w:ascii="Times New Roman" w:hAnsi="Times New Roman"/>
          <w:sz w:val="22"/>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bookmarkStart w:id="138" w:name="__RefHeading___Toc497800512"/>
      <w:bookmarkEnd w:id="138"/>
      <w:r>
        <w:rPr>
          <w:rFonts w:cs="Times New Roman" w:ascii="Times New Roman" w:hAnsi="Times New Roman"/>
          <w:sz w:val="22"/>
        </w:rPr>
        <w:t>.  Seller shall provide Business Automobile Liability Insurance which shall include the following coverage for all owned, non</w:t>
        <w:noBreakHyphen/>
        <w:t>owned and hired vehicles: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w:t>
        <w:tab/>
        <w:t xml:space="preserve">  </w:t>
        <w:tab/>
        <w:t>$1,000,000 Each Person  (Minimum)</w:t>
      </w:r>
    </w:p>
    <w:p>
      <w:pPr>
        <w:pStyle w:val="Normal"/>
        <w:widowControl/>
        <w:ind w:firstLine="2880" w:end="0"/>
        <w:jc w:val="both"/>
        <w:rPr>
          <w:rFonts w:ascii="Times New Roman" w:hAnsi="Times New Roman" w:cs="Times New Roman"/>
          <w:sz w:val="22"/>
        </w:rPr>
      </w:pPr>
      <w:r>
        <w:rPr>
          <w:rFonts w:cs="Times New Roman" w:ascii="Times New Roman" w:hAnsi="Times New Roman"/>
          <w:sz w:val="22"/>
        </w:rPr>
        <w:t>$1,000,000 Each Occurrence (Minimum)</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$1,000,000 Each Occurrence (Minimum)</w:t>
      </w:r>
    </w:p>
    <w:p>
      <w:pPr>
        <w:pStyle w:val="Normal"/>
        <w:widowControl/>
        <w:ind w:firstLine="720" w:start="720" w:end="0"/>
        <w:jc w:val="both"/>
        <w:rPr>
          <w:rFonts w:ascii="Times New Roman" w:hAnsi="Times New Roman" w:cs="Times New Roman"/>
          <w:sz w:val="22"/>
        </w:rPr>
      </w:pPr>
      <w:r>
        <w:rPr>
          <w:rFonts w:cs="Times New Roman" w:ascii="Times New Roman" w:hAnsi="Times New Roman"/>
          <w:sz w:val="22"/>
        </w:rPr>
        <w:t>or</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Bodily Injury and </w:t>
        <w:tab/>
        <w:t>$1,000,000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(Minimum)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19.1.6   </w:t>
      </w:r>
      <w:r>
        <w:rPr>
          <w:rFonts w:cs="Times New Roman" w:ascii="Times New Roman" w:hAnsi="Times New Roman"/>
          <w:sz w:val="22"/>
          <w:u w:val="single"/>
        </w:rPr>
        <w:t>Aircraft Liability Insurance</w:t>
      </w:r>
      <w:r>
        <w:fldChar w:fldCharType="begin"/>
      </w:r>
      <w:r>
        <w:rPr/>
        <w:instrText xml:space="preserve"> TC "19.1.6   Aircraft Liability Insurance" \l 3 </w:instrText>
      </w:r>
      <w:r>
        <w:rPr/>
        <w:fldChar w:fldCharType="separate"/>
      </w:r>
      <w:r>
        <w:rPr/>
      </w:r>
      <w:r>
        <w:rPr/>
        <w:fldChar w:fldCharType="end"/>
      </w:r>
      <w:bookmarkStart w:id="139" w:name="__RefHeading___Toc497800513"/>
      <w:bookmarkEnd w:id="139"/>
      <w:r>
        <w:rPr>
          <w:rFonts w:cs="Times New Roman" w:ascii="Times New Roman" w:hAnsi="Times New Roman"/>
          <w:sz w:val="22"/>
        </w:rPr>
        <w:t>.  If the Scope of Work necessitates the use of aircraft, Seller shall provide Aircraft Liability Insurance which shall be endorsed to provide coverage for non</w:t>
        <w:noBreakHyphen/>
        <w:t>owned as well as Guest Voluntary Settlement, with limits of:</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$10,000,000 Combined Single Limit</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Property Damage</w:t>
        <w:tab/>
        <w:t>Each Occurrence.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Such insurance may be provided by the aircraft operator, by the aircraft charter agreement, or by Seller as Seller deems appropriate.</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19.1.7   </w:t>
      </w:r>
      <w:r>
        <w:rPr>
          <w:rFonts w:cs="Times New Roman" w:ascii="Times New Roman" w:hAnsi="Times New Roman"/>
          <w:sz w:val="22"/>
          <w:u w:val="single"/>
        </w:rPr>
        <w:t>Excess Umbrella Liability Coverage</w:t>
      </w:r>
      <w:r>
        <w:fldChar w:fldCharType="begin"/>
      </w:r>
      <w:r>
        <w:rPr/>
        <w:instrText xml:space="preserve"> TC "19.1.7   Excess Umbrella Lability Coverage" \l 3 </w:instrText>
      </w:r>
      <w:r>
        <w:rPr/>
        <w:fldChar w:fldCharType="separate"/>
      </w:r>
      <w:r>
        <w:rPr/>
      </w:r>
      <w:r>
        <w:rPr/>
        <w:fldChar w:fldCharType="end"/>
      </w:r>
      <w:bookmarkStart w:id="140" w:name="__RefHeading___Toc497800514"/>
      <w:bookmarkEnd w:id="140"/>
      <w:r>
        <w:rPr>
          <w:rFonts w:cs="Times New Roman" w:ascii="Times New Roman" w:hAnsi="Times New Roman"/>
          <w:sz w:val="22"/>
        </w:rPr>
        <w:t>.  Seller shall provide Excess Umbrella Liability coverage with minimum limits of:</w:t>
      </w:r>
    </w:p>
    <w:p>
      <w:pPr>
        <w:pStyle w:val="Normal"/>
        <w:widowControl/>
        <w:spacing w:lineRule="auto" w:line="300"/>
        <w:ind w:firstLine="720" w:end="0"/>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Bodily Injury and</w:t>
        <w:tab/>
        <w:t xml:space="preserve">$5,000,000 Combined Single Limit </w:t>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 xml:space="preserve">Property Damage </w:t>
        <w:tab/>
        <w:t xml:space="preserve">Each Occurrence.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19.1.8   </w:t>
      </w:r>
      <w:r>
        <w:rPr>
          <w:rFonts w:cs="Times New Roman" w:ascii="Times New Roman" w:hAnsi="Times New Roman"/>
          <w:sz w:val="22"/>
          <w:u w:val="single"/>
        </w:rPr>
        <w:t>Vendors</w:t>
      </w:r>
      <w:r>
        <w:fldChar w:fldCharType="begin"/>
      </w:r>
      <w:r>
        <w:rPr/>
        <w:instrText xml:space="preserve"> TC "19.1.8   Vendors" \l 3 </w:instrText>
      </w:r>
      <w:r>
        <w:rPr/>
        <w:fldChar w:fldCharType="separate"/>
      </w:r>
      <w:r>
        <w:rPr/>
      </w:r>
      <w:r>
        <w:rPr/>
        <w:fldChar w:fldCharType="end"/>
      </w:r>
      <w:bookmarkStart w:id="141" w:name="__RefHeading___Toc497800515"/>
      <w:bookmarkEnd w:id="141"/>
      <w:r>
        <w:rPr>
          <w:rFonts w:cs="Times New Roman" w:ascii="Times New Roman" w:hAnsi="Times New Roman"/>
          <w:sz w:val="22"/>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19.1.9   </w:t>
      </w:r>
      <w:r>
        <w:rPr>
          <w:rFonts w:cs="Times New Roman" w:ascii="Times New Roman" w:hAnsi="Times New Roman"/>
          <w:sz w:val="22"/>
          <w:u w:val="single"/>
        </w:rPr>
        <w:t>Certificate of Insurance</w:t>
      </w:r>
      <w:r>
        <w:fldChar w:fldCharType="begin"/>
      </w:r>
      <w:r>
        <w:rPr/>
        <w:instrText xml:space="preserve"> TC "19.1.9   Certificate of Insurance" \l 3 </w:instrText>
      </w:r>
      <w:r>
        <w:rPr/>
        <w:fldChar w:fldCharType="separate"/>
      </w:r>
      <w:r>
        <w:rPr/>
      </w:r>
      <w:r>
        <w:rPr/>
        <w:fldChar w:fldCharType="end"/>
      </w:r>
      <w:bookmarkStart w:id="142" w:name="__RefHeading___Toc497800516"/>
      <w:bookmarkEnd w:id="142"/>
      <w:r>
        <w:rPr>
          <w:rFonts w:cs="Times New Roman" w:ascii="Times New Roman" w:hAnsi="Times New Roman"/>
          <w:sz w:val="22"/>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19.1.10  </w:t>
      </w:r>
      <w:r>
        <w:rPr>
          <w:rFonts w:cs="Times New Roman" w:ascii="Times New Roman" w:hAnsi="Times New Roman"/>
          <w:sz w:val="22"/>
          <w:u w:val="single"/>
        </w:rPr>
        <w:t>Other Requirements</w:t>
      </w:r>
      <w:r>
        <w:fldChar w:fldCharType="begin"/>
      </w:r>
      <w:r>
        <w:rPr/>
        <w:instrText xml:space="preserve"> TC "19.1.10  Other Requirements" \l 3 </w:instrText>
      </w:r>
      <w:r>
        <w:rPr/>
        <w:fldChar w:fldCharType="separate"/>
      </w:r>
      <w:r>
        <w:rPr/>
      </w:r>
      <w:r>
        <w:rPr/>
        <w:fldChar w:fldCharType="end"/>
      </w:r>
      <w:bookmarkStart w:id="143" w:name="__RefHeading___Toc497800517"/>
      <w:bookmarkEnd w:id="143"/>
      <w:r>
        <w:rPr>
          <w:rFonts w:cs="Times New Roman" w:ascii="Times New Roman" w:hAnsi="Times New Roman"/>
          <w:sz w:val="22"/>
        </w:rPr>
        <w:t>.  Seller shall be responsible for the payment of all deductible and self insurance retention amounts with respect to the insurance required to be maintained by it pursuant hereto.  All Seller insurance shall:</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Specify Purchaser’s Lender, and such other parties as Purchaser may require as additional insured for all insurance coverage other than Worker's Compensation Insurance, or its equivalent as required in jurisdictions other than the United States;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 xml:space="preserve">Provide that Purchaser shall have the right, but not any obligation, to pay any premiums if Seller shall fail to do so, and such payment of premiums by Purchaser shall be at Seller’s expense, either by direct charge or setoff;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9"/>
        </w:numPr>
        <w:tabs>
          <w:tab w:val="clear" w:pos="720"/>
          <w:tab w:val="left" w:pos="-1440" w:leader="none"/>
        </w:tabs>
        <w:jc w:val="both"/>
        <w:rPr>
          <w:rFonts w:ascii="Times New Roman" w:hAnsi="Times New Roman" w:cs="Times New Roman"/>
          <w:sz w:val="22"/>
        </w:rPr>
      </w:pPr>
      <w:r>
        <w:rPr>
          <w:rFonts w:cs="Times New Roman" w:ascii="Times New Roman" w:hAnsi="Times New Roman"/>
          <w:sz w:val="22"/>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Normal"/>
        <w:widowControl/>
        <w:tabs>
          <w:tab w:val="clear" w:pos="720"/>
          <w:tab w:val="left" w:pos="-144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 xml:space="preserve">(d) </w:t>
        <w:tab/>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or any other named or additional insured.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19.1.11  </w:t>
      </w:r>
      <w:r>
        <w:rPr>
          <w:rFonts w:cs="Times New Roman" w:ascii="Times New Roman" w:hAnsi="Times New Roman"/>
          <w:sz w:val="22"/>
          <w:u w:val="single"/>
        </w:rPr>
        <w:t>Vendor Waiver of Subrogation</w:t>
      </w:r>
      <w:r>
        <w:fldChar w:fldCharType="begin"/>
      </w:r>
      <w:r>
        <w:rPr/>
        <w:instrText xml:space="preserve"> TC "19.1.11  Vendor Waiver of Subrogation" \l 3 </w:instrText>
      </w:r>
      <w:r>
        <w:rPr/>
        <w:fldChar w:fldCharType="separate"/>
      </w:r>
      <w:r>
        <w:rPr/>
      </w:r>
      <w:r>
        <w:rPr/>
        <w:fldChar w:fldCharType="end"/>
      </w:r>
      <w:bookmarkStart w:id="144" w:name="__RefHeading___Toc497800518"/>
      <w:bookmarkEnd w:id="144"/>
      <w:r>
        <w:rPr>
          <w:rFonts w:cs="Times New Roman" w:ascii="Times New Roman" w:hAnsi="Times New Roman"/>
          <w:sz w:val="22"/>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19.1.12  </w:t>
      </w:r>
      <w:r>
        <w:rPr>
          <w:rFonts w:cs="Times New Roman" w:ascii="Times New Roman" w:hAnsi="Times New Roman"/>
          <w:sz w:val="22"/>
          <w:u w:val="single"/>
        </w:rPr>
        <w:t>Compliance with Insurance</w:t>
      </w:r>
      <w:r>
        <w:fldChar w:fldCharType="begin"/>
      </w:r>
      <w:r>
        <w:rPr/>
        <w:instrText xml:space="preserve"> TC "19.1.12  Compliance with Insurance" \l 3 </w:instrText>
      </w:r>
      <w:r>
        <w:rPr/>
        <w:fldChar w:fldCharType="separate"/>
      </w:r>
      <w:r>
        <w:rPr/>
      </w:r>
      <w:r>
        <w:rPr/>
        <w:fldChar w:fldCharType="end"/>
      </w:r>
      <w:bookmarkStart w:id="145" w:name="__RefHeading___Toc497800519"/>
      <w:bookmarkEnd w:id="145"/>
      <w:r>
        <w:rPr>
          <w:rFonts w:cs="Times New Roman" w:ascii="Times New Roman" w:hAnsi="Times New Roman"/>
          <w:sz w:val="22"/>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major subcontractors shall be subject to provisions identical to this Section 19.1.12.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19.1.13 </w:t>
      </w:r>
      <w:r>
        <w:rPr>
          <w:rFonts w:cs="Times New Roman" w:ascii="Times New Roman" w:hAnsi="Times New Roman"/>
          <w:sz w:val="22"/>
          <w:u w:val="single"/>
        </w:rPr>
        <w:t>Limitation</w:t>
      </w:r>
      <w:r>
        <w:fldChar w:fldCharType="begin"/>
      </w:r>
      <w:r>
        <w:rPr/>
        <w:instrText xml:space="preserve"> TC "19.1.13 Limitation" \l 3 </w:instrText>
      </w:r>
      <w:r>
        <w:rPr/>
        <w:fldChar w:fldCharType="separate"/>
      </w:r>
      <w:r>
        <w:rPr/>
      </w:r>
      <w:r>
        <w:rPr/>
        <w:fldChar w:fldCharType="end"/>
      </w:r>
      <w:bookmarkStart w:id="146" w:name="__RefHeading___Toc497800520"/>
      <w:bookmarkEnd w:id="146"/>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19.1.13.1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19.1.13.2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tab/>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   </w:t>
      </w:r>
      <w:r>
        <w:rPr>
          <w:rFonts w:cs="Times New Roman" w:ascii="Times New Roman" w:hAnsi="Times New Roman"/>
          <w:sz w:val="22"/>
          <w:u w:val="single"/>
        </w:rPr>
        <w:t>Not Used.</w:t>
      </w:r>
      <w:r>
        <w:fldChar w:fldCharType="begin"/>
      </w:r>
      <w:r>
        <w:rPr/>
        <w:instrText xml:space="preserve"> TC "19.3   Purchaser Policies" \l 2 </w:instrText>
      </w:r>
      <w:r>
        <w:rPr/>
        <w:fldChar w:fldCharType="separate"/>
      </w:r>
      <w:r>
        <w:rPr/>
      </w:r>
      <w:r>
        <w:rPr/>
        <w:fldChar w:fldCharType="end"/>
      </w:r>
      <w:bookmarkStart w:id="147" w:name="__RefHeading___Toc497800521"/>
      <w:bookmarkEnd w:id="147"/>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19.3.2   </w:t>
      </w:r>
      <w:r>
        <w:rPr>
          <w:rFonts w:cs="Times New Roman" w:ascii="Times New Roman" w:hAnsi="Times New Roman"/>
          <w:sz w:val="22"/>
          <w:u w:val="single"/>
        </w:rPr>
        <w:t>Not Used</w:t>
      </w:r>
      <w:r>
        <w:fldChar w:fldCharType="begin"/>
      </w:r>
      <w:r>
        <w:rPr/>
        <w:instrText xml:space="preserve"> TC "19.3.2   Not Used" \l 3 </w:instrText>
      </w:r>
      <w:r>
        <w:rPr/>
        <w:fldChar w:fldCharType="separate"/>
      </w:r>
      <w:r>
        <w:rPr/>
      </w:r>
      <w:r>
        <w:rPr/>
        <w:fldChar w:fldCharType="end"/>
      </w:r>
      <w:bookmarkStart w:id="148" w:name="__RefHeading___Toc497800522"/>
      <w:bookmarkEnd w:id="148"/>
      <w:r>
        <w:rPr>
          <w:rFonts w:cs="Times New Roman" w:ascii="Times New Roman" w:hAnsi="Times New Roman"/>
          <w:sz w:val="22"/>
        </w:rPr>
        <w:t xml:space="preserve">.  </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pPr>
      <w:r>
        <w:rPr>
          <w:rFonts w:cs="Times New Roman" w:ascii="Times New Roman" w:hAnsi="Times New Roman"/>
          <w:sz w:val="22"/>
        </w:rPr>
        <w:t xml:space="preserve">19.3.3   </w:t>
      </w:r>
      <w:r>
        <w:rPr>
          <w:rFonts w:cs="Times New Roman" w:ascii="Times New Roman" w:hAnsi="Times New Roman"/>
          <w:sz w:val="22"/>
          <w:u w:val="single"/>
        </w:rPr>
        <w:t>Primary Insurance</w:t>
      </w:r>
      <w:r>
        <w:fldChar w:fldCharType="begin"/>
      </w:r>
      <w:r>
        <w:rPr/>
        <w:instrText xml:space="preserve"> TC "19.3.3   Primary Insurance" \l 3 </w:instrText>
      </w:r>
      <w:r>
        <w:rPr/>
        <w:fldChar w:fldCharType="separate"/>
      </w:r>
      <w:r>
        <w:rPr/>
      </w:r>
      <w:r>
        <w:rPr/>
        <w:fldChar w:fldCharType="end"/>
      </w:r>
      <w:bookmarkStart w:id="149" w:name="__RefHeading___Toc497800523"/>
      <w:bookmarkEnd w:id="149"/>
      <w:r>
        <w:rPr>
          <w:rFonts w:cs="Times New Roman" w:ascii="Times New Roman" w:hAnsi="Times New Roman"/>
          <w:sz w:val="22"/>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Subcontractors in respect of losses arising out of or in connection with the Works at the Site. Contractor's insurance under Section 19.1 shall be primary for losses away from the Site.</w:t>
      </w:r>
    </w:p>
    <w:p>
      <w:pPr>
        <w:pStyle w:val="Normal"/>
        <w:tabs>
          <w:tab w:val="clear" w:pos="720"/>
          <w:tab w:val="left" w:pos="34" w:leader="none"/>
          <w:tab w:val="left" w:pos="394" w:leader="none"/>
          <w:tab w:val="left" w:pos="934" w:leader="none"/>
          <w:tab w:val="left" w:pos="1294" w:leader="none"/>
          <w:tab w:val="left" w:pos="1654" w:leader="none"/>
          <w:tab w:val="left" w:pos="2790" w:leader="none"/>
          <w:tab w:val="left" w:pos="3536" w:leader="none"/>
          <w:tab w:val="left" w:pos="4249" w:leader="none"/>
          <w:tab w:val="left" w:pos="4962" w:leader="none"/>
          <w:tab w:val="left" w:pos="5674" w:leader="none"/>
          <w:tab w:val="left" w:pos="6387" w:leader="none"/>
          <w:tab w:val="left" w:pos="7179" w:leader="none"/>
          <w:tab w:val="left" w:pos="7892" w:leader="none"/>
          <w:tab w:val="left" w:pos="8605" w:leader="none"/>
          <w:tab w:val="left" w:pos="9124" w:leader="none"/>
          <w:tab w:val="left" w:pos="9318" w:leader="none"/>
        </w:tabs>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  </w:t>
      </w:r>
      <w:r>
        <w:rPr>
          <w:rFonts w:cs="Times New Roman" w:ascii="Times New Roman" w:hAnsi="Times New Roman"/>
          <w:sz w:val="22"/>
          <w:u w:val="single"/>
        </w:rPr>
        <w:t>INDEMNIFICATION</w:t>
      </w:r>
      <w:r>
        <w:fldChar w:fldCharType="begin"/>
      </w:r>
      <w:r>
        <w:rPr/>
        <w:instrText xml:space="preserve"> TC "ARTICLE XX.  INDEMNIFICATION" \l 1 </w:instrText>
      </w:r>
      <w:r>
        <w:rPr/>
        <w:fldChar w:fldCharType="separate"/>
      </w:r>
      <w:r>
        <w:rPr/>
      </w:r>
      <w:r>
        <w:rPr/>
        <w:fldChar w:fldCharType="end"/>
      </w:r>
      <w:bookmarkStart w:id="150" w:name="__RefHeading___Toc497800524"/>
      <w:bookmarkEnd w:id="15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20.1   </w:t>
      </w:r>
      <w:r>
        <w:rPr>
          <w:rFonts w:cs="Times New Roman" w:ascii="Times New Roman" w:hAnsi="Times New Roman"/>
          <w:sz w:val="22"/>
          <w:u w:val="single"/>
        </w:rPr>
        <w:t>Third Party</w:t>
      </w:r>
      <w:r>
        <w:fldChar w:fldCharType="begin"/>
      </w:r>
      <w:r>
        <w:rPr/>
        <w:instrText xml:space="preserve"> TC "20.1   Third Party" \l 2 </w:instrText>
      </w:r>
      <w:r>
        <w:rPr/>
        <w:fldChar w:fldCharType="separate"/>
      </w:r>
      <w:r>
        <w:rPr/>
      </w:r>
      <w:r>
        <w:rPr/>
        <w:fldChar w:fldCharType="end"/>
      </w:r>
      <w:bookmarkStart w:id="151" w:name="__RefHeading___Toc497800525"/>
      <w:bookmarkEnd w:id="151"/>
      <w:r>
        <w:rPr>
          <w:rFonts w:cs="Times New Roman" w:ascii="Times New Roman" w:hAnsi="Times New Roman"/>
          <w:sz w:val="22"/>
        </w:rPr>
        <w:t xml:space="preserve">.  SELLER AGREES TO INDEMNIFY, PROTECT, DEFEND, AND HOLD HARMLESS PURCHASER ITS DIRECTORS, OFFICERS, EMPLOYEES, AGENTS, AFFILIATES AND CONTRACTORS, AND THE DIRECTORS, OFFICERS EMPLOYEES, AGENTS, AND CONTRACTORS OF PURCHASER'S AFFILIATES (“PURCHASER INDEMNIFIED PARTIES”), FROM AND AGAINST ANY AND ALL DEMANDS, LIENS OR OTHER ENCUMBRANCES ON PURCHASER OR ITS PROPERTY (INCLUDING THE FACILITY), CLAIMS, SUITS AND CAUSES OF ACTION OF THIRD PARTIES AGAINST PURCHASER INDEMNIFIED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20.2   </w:t>
      </w:r>
      <w:r>
        <w:rPr>
          <w:rFonts w:cs="Times New Roman" w:ascii="Times New Roman" w:hAnsi="Times New Roman"/>
          <w:sz w:val="22"/>
          <w:u w:val="single"/>
        </w:rPr>
        <w:t>Notice</w:t>
      </w:r>
      <w:r>
        <w:fldChar w:fldCharType="begin"/>
      </w:r>
      <w:r>
        <w:rPr/>
        <w:instrText xml:space="preserve"> TC "20.2   Notice" \l 2 </w:instrText>
      </w:r>
      <w:r>
        <w:rPr/>
        <w:fldChar w:fldCharType="separate"/>
      </w:r>
      <w:r>
        <w:rPr/>
      </w:r>
      <w:r>
        <w:rPr/>
        <w:fldChar w:fldCharType="end"/>
      </w:r>
      <w:bookmarkStart w:id="152" w:name="__RefHeading___Toc497800526"/>
      <w:bookmarkEnd w:id="152"/>
      <w:r>
        <w:rPr>
          <w:rFonts w:cs="Times New Roman" w:ascii="Times New Roman" w:hAnsi="Times New Roman"/>
          <w:sz w:val="22"/>
        </w:rPr>
        <w:t>.  If any party entitled to indemnification hereunder (the "Indemnified Party") intends to seek indemnification under this Article from Seller with respect to any action or claim, the Indemnified Party shall give Seller  prompt Notice of such claim or action upon the receipt of actual knowledge or information by the Indemnified Party of any possible claim or of the commencement of such claim or action, which period shall in no event be later than the lesser of:</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(a)</w:t>
        <w:tab/>
        <w:t>fifteen (15) business days prior to the last Day for responding to such claim or action; or</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(b)</w:t>
        <w:tab/>
        <w:t>one</w:t>
        <w:noBreakHyphen/>
        <w:t>half of the period allowed for responding to such claim or action.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20.3   </w:t>
      </w:r>
      <w:r>
        <w:rPr>
          <w:rFonts w:cs="Times New Roman" w:ascii="Times New Roman" w:hAnsi="Times New Roman"/>
          <w:sz w:val="22"/>
          <w:u w:val="single"/>
        </w:rPr>
        <w:t>Survival of Obligation</w:t>
      </w:r>
      <w:r>
        <w:fldChar w:fldCharType="begin"/>
      </w:r>
      <w:r>
        <w:rPr/>
        <w:instrText xml:space="preserve"> TC "20.4   Survival of Obligation" \l 2 </w:instrText>
      </w:r>
      <w:r>
        <w:rPr/>
        <w:fldChar w:fldCharType="separate"/>
      </w:r>
      <w:r>
        <w:rPr/>
      </w:r>
      <w:r>
        <w:rPr/>
        <w:fldChar w:fldCharType="end"/>
      </w:r>
      <w:bookmarkStart w:id="153" w:name="__RefHeading___Toc497800527"/>
      <w:bookmarkEnd w:id="153"/>
      <w:r>
        <w:rPr>
          <w:rFonts w:cs="Times New Roman" w:ascii="Times New Roman" w:hAnsi="Times New Roman"/>
          <w:sz w:val="22"/>
        </w:rPr>
        <w:t>.  The duty to indemnify under this Article XX will continue in full force and effect notwithstanding the expiration or termination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  </w:t>
      </w:r>
      <w:r>
        <w:rPr>
          <w:rFonts w:cs="Times New Roman" w:ascii="Times New Roman" w:hAnsi="Times New Roman"/>
          <w:sz w:val="22"/>
          <w:u w:val="single"/>
        </w:rPr>
        <w:t>NON</w:t>
        <w:noBreakHyphen/>
        <w:t>DISCLOSURE OF INFORMATION</w:t>
      </w:r>
      <w:r>
        <w:fldChar w:fldCharType="begin"/>
      </w:r>
      <w:r>
        <w:rPr/>
        <w:instrText xml:space="preserve"> TC "ARTICLE XXI.  NON_x001e_DISCLOSURE OF INFORMATION" \l 1 </w:instrText>
      </w:r>
      <w:r>
        <w:rPr/>
        <w:fldChar w:fldCharType="separate"/>
      </w:r>
      <w:r>
        <w:rPr/>
      </w:r>
      <w:r>
        <w:rPr/>
        <w:fldChar w:fldCharType="end"/>
      </w:r>
      <w:bookmarkStart w:id="154" w:name="__RefHeading___Toc497800528"/>
      <w:bookmarkEnd w:id="15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21.1   </w:t>
      </w:r>
      <w:r>
        <w:rPr>
          <w:rFonts w:cs="Times New Roman" w:ascii="Times New Roman" w:hAnsi="Times New Roman"/>
          <w:sz w:val="22"/>
          <w:u w:val="single"/>
        </w:rPr>
        <w:t>Proprietary Information</w:t>
      </w:r>
      <w:r>
        <w:fldChar w:fldCharType="begin"/>
      </w:r>
      <w:r>
        <w:rPr/>
        <w:instrText xml:space="preserve"> TC "21.1   Proprietary Information" \l 2 </w:instrText>
      </w:r>
      <w:r>
        <w:rPr/>
        <w:fldChar w:fldCharType="separate"/>
      </w:r>
      <w:r>
        <w:rPr/>
      </w:r>
      <w:r>
        <w:rPr/>
        <w:fldChar w:fldCharType="end"/>
      </w:r>
      <w:bookmarkStart w:id="155" w:name="__RefHeading___Toc497800529"/>
      <w:bookmarkEnd w:id="155"/>
      <w:r>
        <w:rPr>
          <w:rFonts w:cs="Times New Roman" w:ascii="Times New Roman" w:hAnsi="Times New Roman"/>
          <w:sz w:val="22"/>
        </w:rPr>
        <w:t xml:space="preserve">.  Any information concerning the parties which is designated in writing as proprietary and/or confidential and disclosed to the other party incident to the performance of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was developed on its own or furnished to it prior to this Agreement without restriction;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becomes generally available to the public through no fault of either party;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is received by either party from a third party without restriction and not in breach of this Agreement.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3"/>
        <w:rPr>
          <w:rFonts w:ascii="Times New Roman" w:hAnsi="Times New Roman" w:cs="Times New Roman"/>
          <w:sz w:val="22"/>
        </w:rPr>
      </w:pPr>
      <w:r>
        <w:rPr>
          <w:rFonts w:cs="Times New Roman" w:ascii="Times New Roman" w:hAnsi="Times New Roman"/>
          <w:sz w:val="22"/>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21.2   </w:t>
      </w:r>
      <w:r>
        <w:rPr>
          <w:rFonts w:cs="Times New Roman" w:ascii="Times New Roman" w:hAnsi="Times New Roman"/>
          <w:sz w:val="22"/>
          <w:u w:val="single"/>
        </w:rPr>
        <w:t>Press Releases</w:t>
      </w:r>
      <w:r>
        <w:fldChar w:fldCharType="begin"/>
      </w:r>
      <w:r>
        <w:rPr/>
        <w:instrText xml:space="preserve"> TC "21.2   Press Releases" \l 2 </w:instrText>
      </w:r>
      <w:r>
        <w:rPr/>
        <w:fldChar w:fldCharType="separate"/>
      </w:r>
      <w:r>
        <w:rPr/>
      </w:r>
      <w:r>
        <w:rPr/>
        <w:fldChar w:fldCharType="end"/>
      </w:r>
      <w:bookmarkStart w:id="156" w:name="__RefHeading___Toc497800530"/>
      <w:bookmarkEnd w:id="156"/>
      <w:r>
        <w:rPr>
          <w:rFonts w:cs="Times New Roman" w:ascii="Times New Roman" w:hAnsi="Times New Roman"/>
          <w:sz w:val="22"/>
        </w:rPr>
        <w:t>.  Both parties shall agree in writing to any  press release, advertisement in the trade press, or tombstone in the financial or trade press issued by either concerning this Agreement, or any work related thereto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21.3   </w:t>
      </w:r>
      <w:r>
        <w:rPr>
          <w:rFonts w:cs="Times New Roman" w:ascii="Times New Roman" w:hAnsi="Times New Roman"/>
          <w:sz w:val="22"/>
          <w:u w:val="single"/>
        </w:rPr>
        <w:t>Confidentiality</w:t>
      </w:r>
      <w:r>
        <w:fldChar w:fldCharType="begin"/>
      </w:r>
      <w:r>
        <w:rPr/>
        <w:instrText xml:space="preserve"> TC "21.3   Confidentiality" \l 2 </w:instrText>
      </w:r>
      <w:r>
        <w:rPr/>
        <w:fldChar w:fldCharType="separate"/>
      </w:r>
      <w:r>
        <w:rPr/>
      </w:r>
      <w:r>
        <w:rPr/>
        <w:fldChar w:fldCharType="end"/>
      </w:r>
      <w:bookmarkStart w:id="157" w:name="__RefHeading___Toc497800531"/>
      <w:bookmarkEnd w:id="157"/>
      <w:r>
        <w:rPr>
          <w:rFonts w:cs="Times New Roman" w:ascii="Times New Roman" w:hAnsi="Times New Roman"/>
          <w:sz w:val="22"/>
        </w:rPr>
        <w:t xml:space="preserve">.  [  To be consistent with existing CA.]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Either party shall be entitled to disclose the terms and conditions of this Agreement and any data or information acquired by it under or pursuant to this Agreement without the prior consent of the other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to any Affiliate of such party;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to potential engineering, procurement and construction contractors, and other such parties such parties in connection with the construction, operation, financing or operation of a Unit or Facility;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to potential Lenders and investors;</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to the extent required by the rules of a relevant and recognized stock exchange;</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(f)</w:t>
        <w:tab/>
        <w:t>to any insurer under a policy of insurance required to be taken out by either party under the Agreement;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(g)</w:t>
        <w:tab/>
        <w:t>to directors, employees, agents and officers of such party;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ab/>
        <w:t>(h)</w:t>
        <w:tab/>
        <w:t>to Connecticut Resource Recovery Authority, and other potential assignees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provided that the disclosing party determines in good faith that the recipient has a legitimate need to see such data or information, and the recipient has been made aware of and has agreed to be bound by the requirements of this Article XXI.</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  </w:t>
      </w:r>
      <w:r>
        <w:rPr>
          <w:rFonts w:cs="Times New Roman" w:ascii="Times New Roman" w:hAnsi="Times New Roman"/>
          <w:sz w:val="22"/>
          <w:u w:val="single"/>
        </w:rPr>
        <w:t>ASSIGNMENT</w:t>
      </w:r>
      <w:r>
        <w:fldChar w:fldCharType="begin"/>
      </w:r>
      <w:r>
        <w:rPr/>
        <w:instrText xml:space="preserve"> TC "ARTICLE XXII.  ASSIGNMENT" \l 1 </w:instrText>
      </w:r>
      <w:r>
        <w:rPr/>
        <w:fldChar w:fldCharType="separate"/>
      </w:r>
      <w:r>
        <w:rPr/>
      </w:r>
      <w:r>
        <w:rPr/>
        <w:fldChar w:fldCharType="end"/>
      </w:r>
      <w:bookmarkStart w:id="158" w:name="__RefHeading___Toc497800532"/>
      <w:bookmarkEnd w:id="15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22.1   </w:t>
      </w:r>
      <w:r>
        <w:rPr>
          <w:rFonts w:cs="Times New Roman" w:ascii="Times New Roman" w:hAnsi="Times New Roman"/>
          <w:sz w:val="22"/>
          <w:u w:val="single"/>
        </w:rPr>
        <w:t>Assignment by Seller</w:t>
      </w:r>
      <w:r>
        <w:fldChar w:fldCharType="begin"/>
      </w:r>
      <w:r>
        <w:rPr/>
        <w:instrText xml:space="preserve"> TC "22.1   Assignment by Seller" \l 2 </w:instrText>
      </w:r>
      <w:r>
        <w:rPr/>
        <w:fldChar w:fldCharType="separate"/>
      </w:r>
      <w:r>
        <w:rPr/>
      </w:r>
      <w:r>
        <w:rPr/>
        <w:fldChar w:fldCharType="end"/>
      </w:r>
      <w:bookmarkStart w:id="159" w:name="__RefHeading___Toc497800533"/>
      <w:bookmarkEnd w:id="159"/>
      <w:r>
        <w:rPr>
          <w:rFonts w:cs="Times New Roman" w:ascii="Times New Roman" w:hAnsi="Times New Roman"/>
          <w:sz w:val="22"/>
        </w:rPr>
        <w:t>.  This Agreement may not be assigned by Seller without the prior written consent of Purchaser, which shall not be unreasonably withheld. {FEC has request regarding FCE’s right to assign the Agreement in the case of a merger or acquisition]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22.2   </w:t>
      </w:r>
      <w:r>
        <w:rPr>
          <w:rFonts w:cs="Times New Roman" w:ascii="Times New Roman" w:hAnsi="Times New Roman"/>
          <w:sz w:val="22"/>
          <w:u w:val="single"/>
        </w:rPr>
        <w:t>Assignment by Purchaser</w:t>
      </w:r>
      <w:r>
        <w:fldChar w:fldCharType="begin"/>
      </w:r>
      <w:r>
        <w:rPr/>
        <w:instrText xml:space="preserve"> TC "22.2   Assignment by Purchaser" \l 2 </w:instrText>
      </w:r>
      <w:r>
        <w:rPr/>
        <w:fldChar w:fldCharType="separate"/>
      </w:r>
      <w:r>
        <w:rPr/>
      </w:r>
      <w:r>
        <w:rPr/>
        <w:fldChar w:fldCharType="end"/>
      </w:r>
      <w:bookmarkStart w:id="160" w:name="__RefHeading___Toc497800534"/>
      <w:bookmarkEnd w:id="160"/>
      <w:r>
        <w:rPr>
          <w:rFonts w:cs="Times New Roman" w:ascii="Times New Roman" w:hAnsi="Times New Roman"/>
          <w:sz w:val="22"/>
        </w:rPr>
        <w:t>.  This Agreement or any right or obligation contained herein (including the right to place an order), or any Order may be assigned by Purchaser without Seller’s consent to:</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 xml:space="preserve">an Affiliate;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a joint venture, partnership, or other similar entity in which Purchaser or Purchaser's Affiliate is a venturer, partner or participant;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Lender;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the Owner of a Facility, including, but not limited to, Connecticut Resource Recovery  Authority.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to any entity for the purposes of financing or sale of  a Facility, or for the construction of a Facility.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Except for (i) through (v) above, this Agreement may be assigned by Purchaser to other parties only upon the prior written consent of Seller  which shall not be unreasonably withheld or delayed.  When duly assigned in accordance with the foregoing, this Agreement shall be binding upon and shall inure to the benefit of the assignee, and Purchaser shall have no further liability under this agreement; any other assignment by Purchaser shall be void and without force or effect. For an assignment under (i) or (ii) above, Seller shall be entitled to receive a corporate guaranty or other commercially reasonable payment security, from an entity with a credit rating of [BBB] or better.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22.3   </w:t>
      </w:r>
      <w:r>
        <w:rPr>
          <w:rFonts w:cs="Times New Roman" w:ascii="Times New Roman" w:hAnsi="Times New Roman"/>
          <w:sz w:val="22"/>
          <w:u w:val="single"/>
        </w:rPr>
        <w:t>Agreement with Lender</w:t>
      </w:r>
      <w:r>
        <w:fldChar w:fldCharType="begin"/>
      </w:r>
      <w:r>
        <w:rPr/>
        <w:instrText xml:space="preserve"> TC "22.3   Agreement with Lender" \l 2 </w:instrText>
      </w:r>
      <w:r>
        <w:rPr/>
        <w:fldChar w:fldCharType="separate"/>
      </w:r>
      <w:r>
        <w:rPr/>
      </w:r>
      <w:r>
        <w:rPr/>
        <w:fldChar w:fldCharType="end"/>
      </w:r>
      <w:bookmarkStart w:id="161" w:name="__RefHeading___Toc497800535"/>
      <w:bookmarkEnd w:id="161"/>
      <w:r>
        <w:rPr>
          <w:rFonts w:cs="Times New Roman" w:ascii="Times New Roman" w:hAnsi="Times New Roman"/>
          <w:sz w:val="22"/>
        </w:rPr>
        <w:t>.  Seller agrees that if requested by Purchaser, Seller shall enter into a direct agreement with Lender under which Lender is permitted to "step into"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22.4 </w:t>
      </w:r>
      <w:r>
        <w:rPr>
          <w:rFonts w:cs="Times New Roman" w:ascii="Times New Roman" w:hAnsi="Times New Roman"/>
          <w:sz w:val="22"/>
          <w:u w:val="single"/>
        </w:rPr>
        <w:t>Assignment after Acceptance.</w:t>
      </w:r>
      <w:r>
        <w:rPr>
          <w:rFonts w:cs="Times New Roman" w:ascii="Times New Roman" w:hAnsi="Times New Roman"/>
          <w:sz w:val="22"/>
        </w:rPr>
        <w:t xml:space="preserve">  Notwithstanding the foregoing, this Agreement (or any right or obligation arising hereunder) or any Order may be assigned without Seller’s consent following payment of the Purchase Amount.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XXIII.  </w:t>
      </w:r>
      <w:r>
        <w:rPr>
          <w:rFonts w:cs="Times New Roman" w:ascii="Times New Roman" w:hAnsi="Times New Roman"/>
          <w:sz w:val="22"/>
          <w:u w:val="single"/>
        </w:rPr>
        <w:t>RELATIONSHIP OF THE PARTIES</w:t>
      </w:r>
      <w:r>
        <w:fldChar w:fldCharType="begin"/>
      </w:r>
      <w:r>
        <w:rPr/>
        <w:instrText xml:space="preserve"> TC "ARTICLE XXIII.  RELATIONSHIP OF THE PARTIES" \l 1 </w:instrText>
      </w:r>
      <w:r>
        <w:rPr/>
        <w:fldChar w:fldCharType="separate"/>
      </w:r>
      <w:r>
        <w:rPr/>
      </w:r>
      <w:r>
        <w:rPr/>
        <w:fldChar w:fldCharType="end"/>
      </w:r>
      <w:bookmarkStart w:id="162" w:name="__RefHeading___Toc497800536"/>
      <w:bookmarkEnd w:id="162"/>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23.1   </w:t>
      </w:r>
      <w:r>
        <w:rPr>
          <w:rFonts w:cs="Times New Roman" w:ascii="Times New Roman" w:hAnsi="Times New Roman"/>
          <w:sz w:val="22"/>
          <w:u w:val="single"/>
        </w:rPr>
        <w:t>Independent Contractor</w:t>
      </w:r>
      <w:r>
        <w:fldChar w:fldCharType="begin"/>
      </w:r>
      <w:r>
        <w:rPr/>
        <w:instrText xml:space="preserve"> TC "23.1   Independent Contractor" \l 2 </w:instrText>
      </w:r>
      <w:r>
        <w:rPr/>
        <w:fldChar w:fldCharType="separate"/>
      </w:r>
      <w:r>
        <w:rPr/>
      </w:r>
      <w:r>
        <w:rPr/>
        <w:fldChar w:fldCharType="end"/>
      </w:r>
      <w:bookmarkStart w:id="163" w:name="__RefHeading___Toc497800537"/>
      <w:bookmarkEnd w:id="163"/>
      <w:r>
        <w:rPr>
          <w:rFonts w:cs="Times New Roman" w:ascii="Times New Roman" w:hAnsi="Times New Roman"/>
          <w:sz w:val="22"/>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23.2   </w:t>
      </w:r>
      <w:r>
        <w:rPr>
          <w:rFonts w:cs="Times New Roman" w:ascii="Times New Roman" w:hAnsi="Times New Roman"/>
          <w:sz w:val="22"/>
          <w:u w:val="single"/>
        </w:rPr>
        <w:t>Responsibilities of Seller as Principal for its Agents</w:t>
      </w:r>
      <w:r>
        <w:fldChar w:fldCharType="begin"/>
      </w:r>
      <w:r>
        <w:rPr/>
        <w:instrText xml:space="preserve"> TC "23.2   Responsibilities of Seller as Principal for its Employees" \l 2 </w:instrText>
      </w:r>
      <w:r>
        <w:rPr/>
        <w:fldChar w:fldCharType="separate"/>
      </w:r>
      <w:r>
        <w:rPr/>
      </w:r>
      <w:r>
        <w:rPr/>
        <w:fldChar w:fldCharType="end"/>
      </w:r>
      <w:bookmarkStart w:id="164" w:name="__RefHeading___Toc497800538"/>
      <w:bookmarkEnd w:id="164"/>
      <w:r>
        <w:rPr>
          <w:rFonts w:cs="Times New Roman" w:ascii="Times New Roman" w:hAnsi="Times New Roman"/>
          <w:sz w:val="22"/>
        </w:rPr>
        <w:t>.  Seller has complete and sole responsibility as a principal for its agents, Vendors and all other hires to perform or assist in performing the Scope of Work.</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23.3  </w:t>
      </w:r>
      <w:r>
        <w:rPr>
          <w:rFonts w:cs="Times New Roman" w:ascii="Times New Roman" w:hAnsi="Times New Roman"/>
          <w:sz w:val="22"/>
          <w:u w:val="single"/>
        </w:rPr>
        <w:t xml:space="preserve">Employees. </w:t>
      </w:r>
      <w:r>
        <w:rPr>
          <w:rFonts w:cs="Times New Roman" w:ascii="Times New Roman" w:hAnsi="Times New Roman"/>
          <w:sz w:val="22"/>
        </w:rPr>
        <w:t xml:space="preserve">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XXIV.  </w:t>
      </w:r>
      <w:r>
        <w:rPr>
          <w:rFonts w:cs="Times New Roman" w:ascii="Times New Roman" w:hAnsi="Times New Roman"/>
          <w:sz w:val="22"/>
          <w:u w:val="single"/>
        </w:rPr>
        <w:t>LIENS AND CLAIMS</w:t>
      </w:r>
      <w:r>
        <w:fldChar w:fldCharType="begin"/>
      </w:r>
      <w:r>
        <w:rPr/>
        <w:instrText xml:space="preserve"> TC "ARTICLE XXIV.  LIENS AND CLAIMS" \l 1 </w:instrText>
      </w:r>
      <w:r>
        <w:rPr/>
        <w:fldChar w:fldCharType="separate"/>
      </w:r>
      <w:r>
        <w:rPr/>
      </w:r>
      <w:r>
        <w:rPr/>
        <w:fldChar w:fldCharType="end"/>
      </w:r>
      <w:bookmarkStart w:id="165" w:name="__RefHeading___Toc497800539"/>
      <w:bookmarkEnd w:id="165"/>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provide Purchaser with lien releases from any contractors and vendors performing work on any site in conformity with the form set forth in [Exhibit S?].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service provided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center" w:pos="5040" w:leader="none"/>
        </w:tabs>
        <w:spacing w:lineRule="auto" w:line="300"/>
        <w:jc w:val="center"/>
        <w:rPr>
          <w:rFonts w:ascii="Times New Roman" w:hAnsi="Times New Roman" w:cs="Times New Roman"/>
          <w:sz w:val="22"/>
          <w:u w:val="single"/>
        </w:rPr>
      </w:pPr>
      <w:r>
        <w:rPr>
          <w:rFonts w:cs="Times New Roman" w:ascii="Times New Roman" w:hAnsi="Times New Roman"/>
          <w:sz w:val="22"/>
        </w:rPr>
        <w:t xml:space="preserve">ARTICLE XXV.  </w:t>
      </w:r>
      <w:r>
        <w:rPr>
          <w:rFonts w:cs="Times New Roman" w:ascii="Times New Roman" w:hAnsi="Times New Roman"/>
          <w:sz w:val="22"/>
          <w:u w:val="single"/>
        </w:rPr>
        <w:t>NOTICES AND COMMUNICATIONS</w:t>
      </w:r>
      <w:r>
        <w:fldChar w:fldCharType="begin"/>
      </w:r>
      <w:r>
        <w:rPr/>
        <w:instrText xml:space="preserve"> TC "ARTICLE XXV.  NOTICES AND COMMUNICATIONS" \l 1 </w:instrText>
      </w:r>
      <w:r>
        <w:rPr/>
        <w:fldChar w:fldCharType="separate"/>
      </w:r>
      <w:r>
        <w:rPr/>
      </w:r>
      <w:r>
        <w:rPr/>
        <w:fldChar w:fldCharType="end"/>
      </w:r>
      <w:bookmarkStart w:id="166" w:name="__RefHeading___Toc497800540"/>
      <w:bookmarkEnd w:id="166"/>
    </w:p>
    <w:p>
      <w:pPr>
        <w:pStyle w:val="Normal"/>
        <w:widowControl/>
        <w:spacing w:lineRule="auto" w:line="300"/>
        <w:jc w:val="both"/>
        <w:rPr>
          <w:rFonts w:ascii="Times New Roman" w:hAnsi="Times New Roman" w:cs="Times New Roman"/>
          <w:sz w:val="22"/>
          <w:u w:val="single"/>
        </w:rPr>
      </w:pPr>
      <w:r>
        <w:rPr>
          <w:rFonts w:cs="Times New Roman" w:ascii="Times New Roman" w:hAnsi="Times New Roman"/>
          <w:sz w:val="22"/>
          <w:u w:val="single"/>
        </w:rPr>
      </w:r>
    </w:p>
    <w:p>
      <w:pPr>
        <w:pStyle w:val="Normal"/>
        <w:widowControl/>
        <w:spacing w:lineRule="auto" w:line="300"/>
        <w:jc w:val="both"/>
        <w:rPr/>
      </w:pPr>
      <w:r>
        <w:rPr>
          <w:rFonts w:cs="Times New Roman" w:ascii="Times New Roman" w:hAnsi="Times New Roman"/>
          <w:sz w:val="22"/>
        </w:rPr>
        <w:t xml:space="preserve">25.1   </w:t>
      </w:r>
      <w:r>
        <w:rPr>
          <w:rFonts w:cs="Times New Roman" w:ascii="Times New Roman" w:hAnsi="Times New Roman"/>
          <w:sz w:val="22"/>
          <w:u w:val="single"/>
        </w:rPr>
        <w:t>Notices</w:t>
      </w:r>
      <w:r>
        <w:fldChar w:fldCharType="begin"/>
      </w:r>
      <w:r>
        <w:rPr/>
        <w:instrText xml:space="preserve"> TC "25.1   Notices" \l 2 </w:instrText>
      </w:r>
      <w:r>
        <w:rPr/>
        <w:fldChar w:fldCharType="separate"/>
      </w:r>
      <w:r>
        <w:rPr/>
      </w:r>
      <w:r>
        <w:rPr/>
        <w:fldChar w:fldCharType="end"/>
      </w:r>
      <w:bookmarkStart w:id="167" w:name="__RefHeading___Toc497800541"/>
      <w:bookmarkEnd w:id="167"/>
      <w:r>
        <w:rPr>
          <w:rFonts w:cs="Times New Roman" w:ascii="Times New Roman" w:hAnsi="Times New Roman"/>
          <w:sz w:val="22"/>
        </w:rPr>
        <w:t>.  Any notice pursuant to the terms and conditions of this Agreement shall be in writing and either: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delivered personally;</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sent by certified mail, (return receipt requested);</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sent by a recognized overnight mail or courier service with delivery receipt required; or</w:t>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(d)</w:t>
        <w:tab/>
        <w:t>sent by confirmed facsimile transfer: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      </w:t>
      </w:r>
      <w:r>
        <w:rPr>
          <w:rFonts w:cs="Times New Roman" w:ascii="Times New Roman" w:hAnsi="Times New Roman"/>
          <w:sz w:val="22"/>
          <w:u w:val="single"/>
        </w:rPr>
        <w:t xml:space="preserve">Commercial </w:t>
        <w:noBreakHyphen/>
        <w:t xml:space="preserve"> Legal</w:t>
      </w:r>
      <w:r>
        <w:rPr>
          <w:rFonts w:cs="Times New Roman" w:ascii="Times New Roman" w:hAnsi="Times New Roman"/>
          <w:sz w:val="22"/>
        </w:rPr>
        <w: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If to Seller:</w:t>
        <w:tab/>
        <w:tab/>
        <w:tab/>
        <w:tab/>
        <w:tab/>
        <w:t>If to Purchaser: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end="0"/>
        <w:jc w:val="both"/>
        <w:rPr>
          <w:rFonts w:ascii="Times New Roman" w:hAnsi="Times New Roman" w:cs="Times New Roman"/>
          <w:sz w:val="22"/>
        </w:rPr>
      </w:pPr>
      <w:r>
        <w:rPr>
          <w:rFonts w:cs="Times New Roman" w:ascii="Times New Roman" w:hAnsi="Times New Roman"/>
          <w:sz w:val="22"/>
        </w:rPr>
        <w:tab/>
        <w:tab/>
        <w:tab/>
        <w:tab/>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BodyText"/>
        <w:rPr>
          <w:rFonts w:ascii="Times New Roman" w:hAnsi="Times New Roman" w:cs="Times New Roman"/>
        </w:rPr>
      </w:pPr>
      <w:r>
        <w:rPr>
          <w:rFonts w:cs="Times New Roman" w:ascii="Times New Roman" w:hAnsi="Times New Roman"/>
        </w:rPr>
        <w:t>Either party may change its address or the person to be notified by a notice delivered in accordance with this section.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25.2   </w:t>
      </w:r>
      <w:r>
        <w:rPr>
          <w:rFonts w:cs="Times New Roman" w:ascii="Times New Roman" w:hAnsi="Times New Roman"/>
          <w:sz w:val="22"/>
          <w:u w:val="single"/>
        </w:rPr>
        <w:t>Effectiveness of Notices</w:t>
      </w:r>
      <w:r>
        <w:fldChar w:fldCharType="begin"/>
      </w:r>
      <w:r>
        <w:rPr/>
        <w:instrText xml:space="preserve"> TC "25.2   Effectiveness of Notices" \l 2 </w:instrText>
      </w:r>
      <w:r>
        <w:rPr/>
        <w:fldChar w:fldCharType="separate"/>
      </w:r>
      <w:r>
        <w:rPr/>
      </w:r>
      <w:r>
        <w:rPr/>
        <w:fldChar w:fldCharType="end"/>
      </w:r>
      <w:bookmarkStart w:id="168" w:name="__RefHeading___Toc497800542"/>
      <w:bookmarkEnd w:id="168"/>
      <w:r>
        <w:rPr>
          <w:rFonts w:cs="Times New Roman" w:ascii="Times New Roman" w:hAnsi="Times New Roman"/>
          <w:sz w:val="22"/>
        </w:rPr>
        <w:t>.  Notices shall be effective when received  at the address specified.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25.3   </w:t>
      </w:r>
      <w:r>
        <w:rPr>
          <w:rFonts w:cs="Times New Roman" w:ascii="Times New Roman" w:hAnsi="Times New Roman"/>
          <w:sz w:val="22"/>
          <w:u w:val="single"/>
        </w:rPr>
        <w:t>Technical Communications</w:t>
      </w:r>
      <w:r>
        <w:fldChar w:fldCharType="begin"/>
      </w:r>
      <w:r>
        <w:rPr/>
        <w:instrText xml:space="preserve"> TC "25.3   Technical Communications" \l 2 </w:instrText>
      </w:r>
      <w:r>
        <w:rPr/>
        <w:fldChar w:fldCharType="separate"/>
      </w:r>
      <w:r>
        <w:rPr/>
      </w:r>
      <w:r>
        <w:rPr/>
        <w:fldChar w:fldCharType="end"/>
      </w:r>
      <w:bookmarkStart w:id="169" w:name="__RefHeading___Toc497800543"/>
      <w:bookmarkEnd w:id="169"/>
      <w:r>
        <w:rPr>
          <w:rFonts w:cs="Times New Roman" w:ascii="Times New Roman" w:hAnsi="Times New Roman"/>
          <w:sz w:val="22"/>
        </w:rPr>
        <w:t>.  Notwithstanding communications and notices addresses as set forth in Section 25.1, the parties will route routine and technical communications as follows: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If to Seller:</w:t>
        <w:tab/>
        <w:tab/>
        <w:tab/>
        <w:tab/>
        <w:tab/>
        <w:t>If to Purchaser:</w:t>
        <w:tab/>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firstLine="720" w:start="3600" w:end="0"/>
        <w:jc w:val="both"/>
        <w:rPr>
          <w:rFonts w:ascii="Times New Roman" w:hAnsi="Times New Roman" w:cs="Times New Roman"/>
          <w:sz w:val="22"/>
        </w:rPr>
      </w:pPr>
      <w:r>
        <w:rPr>
          <w:rFonts w:cs="Times New Roman" w:ascii="Times New Roman" w:hAnsi="Times New Roman"/>
          <w:sz w:val="22"/>
        </w:rPr>
        <w:tab/>
        <w:tab/>
        <w:tab/>
        <w:tab/>
        <w:tab/>
        <w:tab/>
        <w:t xml:space="preserve"> </w:t>
      </w:r>
    </w:p>
    <w:p>
      <w:pPr>
        <w:pStyle w:val="Normal"/>
        <w:widowControl/>
        <w:spacing w:lineRule="auto" w:line="300"/>
        <w:ind w:firstLine="216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XXVI.  </w:t>
      </w:r>
      <w:r>
        <w:rPr>
          <w:rFonts w:cs="Times New Roman" w:ascii="Times New Roman" w:hAnsi="Times New Roman"/>
          <w:sz w:val="22"/>
          <w:u w:val="single"/>
        </w:rPr>
        <w:t>ARBITRATION[FCE to provide mediation language]</w:t>
      </w:r>
      <w:r>
        <w:fldChar w:fldCharType="begin"/>
      </w:r>
      <w:r>
        <w:rPr/>
        <w:instrText xml:space="preserve"> TC "ARTICLE XXVI.  ARBITRATION" \l 1 </w:instrText>
      </w:r>
      <w:r>
        <w:rPr/>
        <w:fldChar w:fldCharType="separate"/>
      </w:r>
      <w:r>
        <w:rPr/>
      </w:r>
      <w:r>
        <w:rPr/>
        <w:fldChar w:fldCharType="end"/>
      </w:r>
      <w:bookmarkStart w:id="170" w:name="__RefHeading___Toc497800544"/>
      <w:bookmarkEnd w:id="170"/>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[26.1   </w:t>
      </w:r>
      <w:r>
        <w:rPr>
          <w:rFonts w:cs="Times New Roman" w:ascii="Times New Roman" w:hAnsi="Times New Roman"/>
          <w:sz w:val="22"/>
          <w:u w:val="single"/>
        </w:rPr>
        <w:t>Negotiation of Disputes and Disagreements</w:t>
      </w:r>
      <w:r>
        <w:fldChar w:fldCharType="begin"/>
      </w:r>
      <w:r>
        <w:rPr/>
        <w:instrText xml:space="preserve"> TC "26.1   Negotiation of Disputes and Disagreements" \l 2 </w:instrText>
      </w:r>
      <w:r>
        <w:rPr/>
        <w:fldChar w:fldCharType="separate"/>
      </w:r>
      <w:r>
        <w:rPr/>
      </w:r>
      <w:r>
        <w:rPr/>
        <w:fldChar w:fldCharType="end"/>
      </w:r>
      <w:bookmarkStart w:id="171" w:name="__RefHeading___Toc497800545"/>
      <w:bookmarkEnd w:id="171"/>
      <w:r>
        <w:rPr>
          <w:rFonts w:cs="Times New Roman" w:ascii="Times New Roman" w:hAnsi="Times New Roman"/>
          <w:sz w:val="22"/>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26.2   </w:t>
      </w:r>
      <w:r>
        <w:rPr>
          <w:rFonts w:cs="Times New Roman" w:ascii="Times New Roman" w:hAnsi="Times New Roman"/>
          <w:sz w:val="22"/>
          <w:u w:val="single"/>
        </w:rPr>
        <w:t>Arbitration Resolution</w:t>
      </w:r>
      <w:r>
        <w:fldChar w:fldCharType="begin"/>
      </w:r>
      <w:r>
        <w:rPr/>
        <w:instrText xml:space="preserve"> TC "26.2   Arbitration Resolution" \l 2 </w:instrText>
      </w:r>
      <w:r>
        <w:rPr/>
        <w:fldChar w:fldCharType="separate"/>
      </w:r>
      <w:r>
        <w:rPr/>
      </w:r>
      <w:r>
        <w:rPr/>
        <w:fldChar w:fldCharType="end"/>
      </w:r>
      <w:bookmarkStart w:id="172" w:name="__RefHeading___Toc497800546"/>
      <w:bookmarkEnd w:id="172"/>
      <w:r>
        <w:rPr>
          <w:rFonts w:cs="Times New Roman" w:ascii="Times New Roman" w:hAnsi="Times New Roman"/>
          <w:sz w:val="22"/>
        </w:rPr>
        <w:t>.  With respect to arbitration resolution, the parties agree that: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(a)</w:t>
        <w:tab/>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(b)</w:t>
        <w:tab/>
        <w:t>The decision of the arbitrators shall be final and binding upon the parties;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(c)</w:t>
        <w:tab/>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Purchaser; and</w:t>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 xml:space="preserve">Power Purchaser,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start="1440" w:end="0"/>
        <w:jc w:val="both"/>
        <w:rPr>
          <w:rFonts w:ascii="Times New Roman" w:hAnsi="Times New Roman" w:cs="Times New Roman"/>
          <w:sz w:val="22"/>
        </w:rPr>
      </w:pPr>
      <w:r>
        <w:rPr>
          <w:rFonts w:cs="Times New Roman" w:ascii="Times New Roman" w:hAnsi="Times New Roman"/>
          <w:sz w:val="22"/>
        </w:rPr>
        <w:t>then such latter dispute shall constitute a "Related Dispute";</w:t>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(d)</w:t>
        <w:tab/>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w:t>
        <w:tab/>
        <w:t>the dispute under this Agreement shall be referred to the arbitrators appointed to determine the Related Dispute; and</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2160" w:end="0"/>
        <w:jc w:val="both"/>
        <w:rPr>
          <w:rFonts w:ascii="Times New Roman" w:hAnsi="Times New Roman" w:cs="Times New Roman"/>
          <w:sz w:val="22"/>
        </w:rPr>
      </w:pPr>
      <w:r>
        <w:rPr>
          <w:rFonts w:cs="Times New Roman" w:ascii="Times New Roman" w:hAnsi="Times New Roman"/>
          <w:sz w:val="22"/>
        </w:rPr>
        <w:t>(ii)</w:t>
        <w:tab/>
        <w:t>the arbitrators shall have power to join one or more defendants or third parties or consolidate actions as provided by applicable law.</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26.3   </w:t>
      </w:r>
      <w:r>
        <w:rPr>
          <w:rFonts w:cs="Times New Roman" w:ascii="Times New Roman" w:hAnsi="Times New Roman"/>
          <w:sz w:val="22"/>
          <w:u w:val="single"/>
        </w:rPr>
        <w:t>Continuation of Work</w:t>
      </w:r>
      <w:r>
        <w:fldChar w:fldCharType="begin"/>
      </w:r>
      <w:r>
        <w:rPr/>
        <w:instrText xml:space="preserve"> TC "26.3   Continuation of Work" \l 2 </w:instrText>
      </w:r>
      <w:r>
        <w:rPr/>
        <w:fldChar w:fldCharType="separate"/>
      </w:r>
      <w:r>
        <w:rPr/>
      </w:r>
      <w:r>
        <w:rPr/>
        <w:fldChar w:fldCharType="end"/>
      </w:r>
      <w:bookmarkStart w:id="173" w:name="__RefHeading___Toc497800547"/>
      <w:bookmarkEnd w:id="173"/>
      <w:r>
        <w:rPr>
          <w:rFonts w:cs="Times New Roman" w:ascii="Times New Roman" w:hAnsi="Times New Roman"/>
          <w:sz w:val="22"/>
        </w:rPr>
        <w:t>.  Pending final resolution of any dispute other than a dispute over Purchaser's failure to pay the Purchase Amount in accordance with Section 6.1, Purchaser and Seller shall continue to fulfill their respective obligations hereunder.</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  </w:t>
      </w:r>
      <w:r>
        <w:rPr>
          <w:rFonts w:cs="Times New Roman" w:ascii="Times New Roman" w:hAnsi="Times New Roman"/>
          <w:sz w:val="22"/>
          <w:u w:val="single"/>
        </w:rPr>
        <w:t>LIMITATION OF LIABILITY</w:t>
      </w:r>
      <w:r>
        <w:fldChar w:fldCharType="begin"/>
      </w:r>
      <w:r>
        <w:rPr/>
        <w:instrText xml:space="preserve"> TC "ARTICLE XXVII.  LIMITATION OF LIABILITY" \l 1 </w:instrText>
      </w:r>
      <w:r>
        <w:rPr/>
        <w:fldChar w:fldCharType="separate"/>
      </w:r>
      <w:r>
        <w:rPr/>
      </w:r>
      <w:r>
        <w:rPr/>
        <w:fldChar w:fldCharType="end"/>
      </w:r>
      <w:bookmarkStart w:id="174" w:name="__RefHeading___Toc497800548"/>
      <w:bookmarkEnd w:id="174"/>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27.1   </w:t>
      </w:r>
      <w:r>
        <w:rPr>
          <w:rFonts w:cs="Times New Roman" w:ascii="Times New Roman" w:hAnsi="Times New Roman"/>
          <w:sz w:val="22"/>
          <w:u w:val="single"/>
        </w:rPr>
        <w:t>Maximum Liability</w:t>
      </w:r>
      <w:r>
        <w:fldChar w:fldCharType="begin"/>
      </w:r>
      <w:r>
        <w:rPr/>
        <w:instrText xml:space="preserve"> TC "27.1   Maximum Liability" \l 2 </w:instrText>
      </w:r>
      <w:r>
        <w:rPr/>
        <w:fldChar w:fldCharType="separate"/>
      </w:r>
      <w:r>
        <w:rPr/>
      </w:r>
      <w:r>
        <w:rPr/>
        <w:fldChar w:fldCharType="end"/>
      </w:r>
      <w:bookmarkStart w:id="175" w:name="__RefHeading___Toc497800549"/>
      <w:bookmarkEnd w:id="175"/>
      <w:r>
        <w:rPr>
          <w:rFonts w:cs="Times New Roman" w:ascii="Times New Roman" w:hAnsi="Times New Roman"/>
          <w:sz w:val="22"/>
        </w:rPr>
        <w:t xml:space="preserve">.  Seller’s maximum aggregate liability for claims by Purchaser arising out of Seller’s performance of this Agreement whether arising from tort (including negligence), breach of contract or any other cause of action is limited to one hundred percent (100%) of the Purchase Amount; provided, however, that the foregoing limitation of liability of Seller shall not apply to the following: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w:t>
        <w:tab/>
        <w:t>under Article XX (Indemnification);</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w:t>
        <w:tab/>
        <w:t>[under Article XXIV (Liens and Claims)];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(iii)</w:t>
        <w:tab/>
        <w:t>[Section 3.8(a) and 3.8(b), (Compliance with Governmental Rules)];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(iv)</w:t>
        <w:tab/>
        <w:t>Section 5.2 (Taxes);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w:t>
        <w:tab/>
        <w:t xml:space="preserve">Article XIX obligation to maintain insurance; </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w:t>
        <w:tab/>
        <w:t>arising from or related to environmental harm caused by an action or inaction of Seller, its agents, employees or Vendors during the performance of the Scope of Work;</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w:t>
        <w:tab/>
        <w:t>resulting from the gross negligence or willful misconduct of Seller, their agents, employees or Vendors;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(viii)</w:t>
        <w:tab/>
        <w:t>patent or copyright infringement in accordance with Section 15.2, or</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ind w:hanging="720" w:start="1440" w:end="0"/>
        <w:jc w:val="both"/>
        <w:rPr>
          <w:rFonts w:ascii="Times New Roman" w:hAnsi="Times New Roman" w:cs="Times New Roman"/>
          <w:sz w:val="22"/>
        </w:rPr>
      </w:pPr>
      <w:r>
        <w:rPr>
          <w:rFonts w:cs="Times New Roman" w:ascii="Times New Roman" w:hAnsi="Times New Roman"/>
          <w:sz w:val="22"/>
        </w:rPr>
        <w:t>(ix)</w:t>
        <w:tab/>
        <w:t>[Article XXI (Non-Disclosure of Information).]</w:t>
      </w:r>
    </w:p>
    <w:p>
      <w:pPr>
        <w:pStyle w:val="Normal"/>
        <w:widowControl/>
        <w:jc w:val="both"/>
        <w:rPr>
          <w:rFonts w:ascii="Times New Roman" w:hAnsi="Times New Roman" w:cs="Times New Roman"/>
          <w:sz w:val="22"/>
        </w:rPr>
      </w:pPr>
      <w:r>
        <w:rPr>
          <w:rFonts w:cs="Times New Roman" w:ascii="Times New Roman" w:hAnsi="Times New Roman"/>
          <w:sz w:val="22"/>
        </w:rPr>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27.2   </w:t>
      </w:r>
      <w:r>
        <w:rPr>
          <w:rFonts w:cs="Times New Roman" w:ascii="Times New Roman" w:hAnsi="Times New Roman"/>
          <w:sz w:val="22"/>
          <w:u w:val="single"/>
        </w:rPr>
        <w:t>Consequential Damages</w:t>
      </w:r>
      <w:r>
        <w:fldChar w:fldCharType="begin"/>
      </w:r>
      <w:r>
        <w:rPr/>
        <w:instrText xml:space="preserve"> TC "27.2   Consequential Damages" \l 2 </w:instrText>
      </w:r>
      <w:r>
        <w:rPr/>
        <w:fldChar w:fldCharType="separate"/>
      </w:r>
      <w:r>
        <w:rPr/>
      </w:r>
      <w:r>
        <w:rPr/>
        <w:fldChar w:fldCharType="end"/>
      </w:r>
      <w:bookmarkStart w:id="176" w:name="__RefHeading___Toc497800550"/>
      <w:bookmarkEnd w:id="176"/>
      <w:r>
        <w:rPr>
          <w:rFonts w:cs="Times New Roman" w:ascii="Times New Roman" w:hAnsi="Times New Roman"/>
          <w:sz w:val="22"/>
        </w:rPr>
        <w:t xml:space="preserve">.  [With respect to claims between the parties, in no event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whether as a result of breach of contract, breach of warranty, tort liability (including negligence or strict liability), or otherwise, and whether arising before or after completion of the Scope of Work. The preceding shall not limit Seller’s obligation to indemnify Purchaser under Article __ for third party claims. In no event shall Purchaser be liable hereunder for special, indirect, or consequential damages of any nature whatsoever, including, but not limited to, loss of use, loss of profits or revenue, or inventory or use charges, whether as a result of breach of contract, breach of warranty, tort liability (including negligence or strict liability) or otherwise.]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27.3   </w:t>
      </w:r>
      <w:r>
        <w:rPr>
          <w:rFonts w:cs="Times New Roman" w:ascii="Times New Roman" w:hAnsi="Times New Roman"/>
          <w:sz w:val="22"/>
          <w:u w:val="single"/>
        </w:rPr>
        <w:t>Releases Valid in All Events</w:t>
      </w:r>
      <w:r>
        <w:fldChar w:fldCharType="begin"/>
      </w:r>
      <w:r>
        <w:rPr/>
        <w:instrText xml:space="preserve"> TC "27.3   Releases Valid in All Events" \l 2 </w:instrText>
      </w:r>
      <w:r>
        <w:rPr/>
        <w:fldChar w:fldCharType="separate"/>
      </w:r>
      <w:r>
        <w:rPr/>
      </w:r>
      <w:r>
        <w:rPr/>
        <w:fldChar w:fldCharType="end"/>
      </w:r>
      <w:bookmarkStart w:id="177" w:name="__RefHeading___Toc497800551"/>
      <w:bookmarkEnd w:id="177"/>
      <w:r>
        <w:rPr>
          <w:rFonts w:cs="Times New Roman" w:ascii="Times New Roman" w:hAnsi="Times New Roman"/>
          <w:sz w:val="22"/>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t xml:space="preserve">ARTICLE XXVIII.  </w:t>
      </w:r>
      <w:r>
        <w:rPr>
          <w:rFonts w:cs="Times New Roman" w:ascii="Times New Roman" w:hAnsi="Times New Roman"/>
          <w:sz w:val="22"/>
          <w:u w:val="single"/>
        </w:rPr>
        <w:t>DRUG AND ALCOHOL</w:t>
        <w:noBreakHyphen/>
        <w:t>FREE WORKPLACE</w:t>
      </w:r>
      <w:r>
        <w:fldChar w:fldCharType="begin"/>
      </w:r>
      <w:r>
        <w:rPr/>
        <w:instrText xml:space="preserve"> TC "ARTICLE XXVIII.  DRUG AND ALCOHOL_x001e_FREE WORKPLACE" \l 1 </w:instrText>
      </w:r>
      <w:r>
        <w:rPr/>
        <w:fldChar w:fldCharType="separate"/>
      </w:r>
      <w:r>
        <w:rPr/>
      </w:r>
      <w:r>
        <w:rPr/>
        <w:fldChar w:fldCharType="end"/>
      </w:r>
      <w:bookmarkStart w:id="178" w:name="__RefHeading___Toc497800552"/>
      <w:bookmarkEnd w:id="178"/>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 compliance with Purchaser's drug and alcohol policy [Number 1200-2, dated September 11, 1995] including: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(2)</w:t>
        <w:tab/>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440" w:leader="none"/>
        </w:tabs>
        <w:spacing w:lineRule="auto" w:line="300"/>
        <w:ind w:hanging="720" w:start="1440" w:end="0"/>
        <w:jc w:val="both"/>
        <w:rPr>
          <w:rFonts w:ascii="Times New Roman" w:hAnsi="Times New Roman" w:cs="Times New Roman"/>
          <w:sz w:val="22"/>
        </w:rPr>
      </w:pPr>
      <w:r>
        <w:rPr>
          <w:rFonts w:cs="Times New Roman" w:ascii="Times New Roman" w:hAnsi="Times New Roman"/>
          <w:sz w:val="22"/>
        </w:rPr>
        <w:t>(3)</w:t>
        <w:tab/>
        <w:t>failure of a Seller’s or Vendor's employee to agree and abide by these requirements will be grounds for immediate removal from the job site or other premises owned, leased, or occupied by Purchaser from any work associated with the Scope of Work under this Agreement.</w:t>
      </w:r>
      <w:r>
        <w:br w:type="page"/>
      </w:r>
    </w:p>
    <w:p>
      <w:pPr>
        <w:pStyle w:val="Normal"/>
        <w:widowControl/>
        <w:tabs>
          <w:tab w:val="clear" w:pos="720"/>
          <w:tab w:val="center" w:pos="5040" w:leader="none"/>
        </w:tabs>
        <w:spacing w:lineRule="auto" w:line="300"/>
        <w:jc w:val="center"/>
        <w:rPr>
          <w:rFonts w:ascii="Times New Roman" w:hAnsi="Times New Roman" w:cs="Times New Roman"/>
          <w:sz w:val="22"/>
        </w:rPr>
      </w:pPr>
      <w:r>
        <w:rPr>
          <w:rFonts w:cs="Times New Roman" w:ascii="Times New Roman" w:hAnsi="Times New Roman"/>
          <w:sz w:val="22"/>
        </w:rPr>
        <w:t xml:space="preserve">ARTICLE XIX.  </w:t>
      </w:r>
      <w:r>
        <w:rPr>
          <w:rFonts w:cs="Times New Roman" w:ascii="Times New Roman" w:hAnsi="Times New Roman"/>
          <w:sz w:val="22"/>
          <w:u w:val="single"/>
        </w:rPr>
        <w:t>MISCELLANEOUS</w:t>
      </w:r>
      <w:r>
        <w:fldChar w:fldCharType="begin"/>
      </w:r>
      <w:r>
        <w:rPr/>
        <w:instrText xml:space="preserve"> TC "ARTICLE XIX.  MISCELLANEOUS" \l 1 </w:instrText>
      </w:r>
      <w:r>
        <w:rPr/>
        <w:fldChar w:fldCharType="separate"/>
      </w:r>
      <w:r>
        <w:rPr/>
      </w:r>
      <w:r>
        <w:rPr/>
        <w:fldChar w:fldCharType="end"/>
      </w:r>
      <w:bookmarkStart w:id="179" w:name="__RefHeading___Toc497800553"/>
      <w:bookmarkEnd w:id="179"/>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   </w:t>
      </w:r>
      <w:r>
        <w:rPr>
          <w:rFonts w:cs="Times New Roman" w:ascii="Times New Roman" w:hAnsi="Times New Roman"/>
          <w:sz w:val="22"/>
          <w:u w:val="single"/>
        </w:rPr>
        <w:t>Validity and Enforceability</w:t>
      </w:r>
      <w:r>
        <w:fldChar w:fldCharType="begin"/>
      </w:r>
      <w:r>
        <w:rPr/>
        <w:instrText xml:space="preserve"> TC "29.1   Validity and Enforceability" \l 2 </w:instrText>
      </w:r>
      <w:r>
        <w:rPr/>
        <w:fldChar w:fldCharType="separate"/>
      </w:r>
      <w:r>
        <w:rPr/>
      </w:r>
      <w:r>
        <w:rPr/>
        <w:fldChar w:fldCharType="end"/>
      </w:r>
      <w:bookmarkStart w:id="180" w:name="__RefHeading___Toc497800554"/>
      <w:bookmarkEnd w:id="180"/>
      <w:r>
        <w:rPr>
          <w:rFonts w:cs="Times New Roman" w:ascii="Times New Roman" w:hAnsi="Times New Roman"/>
          <w:sz w:val="22"/>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29.2   </w:t>
      </w:r>
      <w:r>
        <w:rPr>
          <w:rFonts w:cs="Times New Roman" w:ascii="Times New Roman" w:hAnsi="Times New Roman"/>
          <w:sz w:val="22"/>
          <w:u w:val="single"/>
        </w:rPr>
        <w:t>Governing Law</w:t>
      </w:r>
      <w:r>
        <w:fldChar w:fldCharType="begin"/>
      </w:r>
      <w:r>
        <w:rPr/>
        <w:instrText xml:space="preserve"> TC "29.2   Governing Law" \l 2 </w:instrText>
      </w:r>
      <w:r>
        <w:rPr/>
        <w:fldChar w:fldCharType="separate"/>
      </w:r>
      <w:r>
        <w:rPr/>
      </w:r>
      <w:r>
        <w:rPr/>
        <w:fldChar w:fldCharType="end"/>
      </w:r>
      <w:bookmarkStart w:id="181" w:name="__RefHeading___Toc497800555"/>
      <w:bookmarkEnd w:id="181"/>
      <w:r>
        <w:rPr>
          <w:rFonts w:cs="Times New Roman" w:ascii="Times New Roman" w:hAnsi="Times New Roman"/>
          <w:sz w:val="22"/>
        </w:rPr>
        <w:t xml:space="preserve">.  This Agreement, its interpretation and any disputes relating to, arising out of or connected with this Agreement, shall be governed by the laws of the state of [New York], without regard to its conflicts of law provisions.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[29.3   </w:t>
      </w:r>
      <w:r>
        <w:rPr>
          <w:rFonts w:cs="Times New Roman" w:ascii="Times New Roman" w:hAnsi="Times New Roman"/>
          <w:sz w:val="22"/>
          <w:u w:val="single"/>
        </w:rPr>
        <w:t>Entire Agreement</w:t>
      </w:r>
      <w:r>
        <w:fldChar w:fldCharType="begin"/>
      </w:r>
      <w:r>
        <w:rPr/>
        <w:instrText xml:space="preserve"> TC "29.3   Entire Agreement" \l 2 </w:instrText>
      </w:r>
      <w:r>
        <w:rPr/>
        <w:fldChar w:fldCharType="separate"/>
      </w:r>
      <w:r>
        <w:rPr/>
      </w:r>
      <w:r>
        <w:rPr/>
        <w:fldChar w:fldCharType="end"/>
      </w:r>
      <w:bookmarkStart w:id="182" w:name="__RefHeading___Toc497800556"/>
      <w:bookmarkEnd w:id="182"/>
      <w:r>
        <w:rPr>
          <w:rFonts w:cs="Times New Roman" w:ascii="Times New Roman" w:hAnsi="Times New Roman"/>
          <w:sz w:val="22"/>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except that this Agreement does not supercede the [Alliance Agreement, etc.]]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29.4   </w:t>
      </w:r>
      <w:r>
        <w:rPr>
          <w:rFonts w:cs="Times New Roman" w:ascii="Times New Roman" w:hAnsi="Times New Roman"/>
          <w:sz w:val="22"/>
          <w:u w:val="single"/>
        </w:rPr>
        <w:t>Agreement Modification</w:t>
      </w:r>
      <w:r>
        <w:fldChar w:fldCharType="begin"/>
      </w:r>
      <w:r>
        <w:rPr/>
        <w:instrText xml:space="preserve"> TC "29.4   Agreement Modification" \l 2 </w:instrText>
      </w:r>
      <w:r>
        <w:rPr/>
        <w:fldChar w:fldCharType="separate"/>
      </w:r>
      <w:r>
        <w:rPr/>
      </w:r>
      <w:r>
        <w:rPr/>
        <w:fldChar w:fldCharType="end"/>
      </w:r>
      <w:bookmarkStart w:id="183" w:name="__RefHeading___Toc497800557"/>
      <w:bookmarkEnd w:id="183"/>
      <w:r>
        <w:rPr>
          <w:rFonts w:cs="Times New Roman" w:ascii="Times New Roman" w:hAnsi="Times New Roman"/>
          <w:sz w:val="22"/>
        </w:rPr>
        <w:t xml:space="preserve">.  No oral or written modification of this Agreement either before or after its execution shall be of any force or effect unless such modification is in writing and signed by the party to be bound thereby.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29.5   </w:t>
      </w:r>
      <w:r>
        <w:rPr>
          <w:rFonts w:cs="Times New Roman" w:ascii="Times New Roman" w:hAnsi="Times New Roman"/>
          <w:sz w:val="22"/>
          <w:u w:val="single"/>
        </w:rPr>
        <w:t>Waiver</w:t>
      </w:r>
      <w:r>
        <w:fldChar w:fldCharType="begin"/>
      </w:r>
      <w:r>
        <w:rPr/>
        <w:instrText xml:space="preserve"> TC "29.5   Waiver" \l 2 </w:instrText>
      </w:r>
      <w:r>
        <w:rPr/>
        <w:fldChar w:fldCharType="separate"/>
      </w:r>
      <w:r>
        <w:rPr/>
      </w:r>
      <w:r>
        <w:rPr/>
        <w:fldChar w:fldCharType="end"/>
      </w:r>
      <w:bookmarkStart w:id="184" w:name="__RefHeading___Toc497800558"/>
      <w:bookmarkEnd w:id="184"/>
      <w:r>
        <w:rPr>
          <w:rFonts w:cs="Times New Roman" w:ascii="Times New Roman" w:hAnsi="Times New Roman"/>
          <w:sz w:val="22"/>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29.6   </w:t>
      </w:r>
      <w:r>
        <w:rPr>
          <w:rFonts w:cs="Times New Roman" w:ascii="Times New Roman" w:hAnsi="Times New Roman"/>
          <w:sz w:val="22"/>
          <w:u w:val="single"/>
        </w:rPr>
        <w:t>Headings</w:t>
      </w:r>
      <w:r>
        <w:fldChar w:fldCharType="begin"/>
      </w:r>
      <w:r>
        <w:rPr/>
        <w:instrText xml:space="preserve"> TC "29.6   Headings" \l 2 </w:instrText>
      </w:r>
      <w:r>
        <w:rPr/>
        <w:fldChar w:fldCharType="separate"/>
      </w:r>
      <w:r>
        <w:rPr/>
      </w:r>
      <w:r>
        <w:rPr/>
        <w:fldChar w:fldCharType="end"/>
      </w:r>
      <w:bookmarkStart w:id="185" w:name="__RefHeading___Toc497800559"/>
      <w:bookmarkEnd w:id="185"/>
      <w:r>
        <w:rPr>
          <w:rFonts w:cs="Times New Roman" w:ascii="Times New Roman" w:hAnsi="Times New Roman"/>
          <w:sz w:val="22"/>
        </w:rPr>
        <w:t>.  The headings contained herein are included solely for the convenience of the parties and are not to be used as a basis for interpreting the various sections of this Agreement.</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29.7   </w:t>
      </w:r>
      <w:r>
        <w:rPr>
          <w:rFonts w:cs="Times New Roman" w:ascii="Times New Roman" w:hAnsi="Times New Roman"/>
          <w:sz w:val="22"/>
          <w:u w:val="single"/>
        </w:rPr>
        <w:t>Third</w:t>
        <w:noBreakHyphen/>
        <w:t>Party Beneficiaries</w:t>
      </w:r>
      <w:r>
        <w:fldChar w:fldCharType="begin"/>
      </w:r>
      <w:r>
        <w:rPr/>
        <w:instrText xml:space="preserve"> TC "29.7   Third_x001e_Party Beneficiaries" \l 2 </w:instrText>
      </w:r>
      <w:r>
        <w:rPr/>
        <w:fldChar w:fldCharType="separate"/>
      </w:r>
      <w:r>
        <w:rPr/>
      </w:r>
      <w:r>
        <w:rPr/>
        <w:fldChar w:fldCharType="end"/>
      </w:r>
      <w:bookmarkStart w:id="186" w:name="__RefHeading___Toc497800560"/>
      <w:bookmarkEnd w:id="186"/>
      <w:r>
        <w:rPr>
          <w:rFonts w:cs="Times New Roman" w:ascii="Times New Roman" w:hAnsi="Times New Roman"/>
          <w:sz w:val="22"/>
        </w:rPr>
        <w:t>.  The provisions of this Agreement are intended for the sole benefit of Purchaser and Seller, and there are no third</w:t>
        <w:noBreakHyphen/>
        <w:t xml:space="preserve">party beneficiaries other than assignees contemplated by the terms herein.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29.8   </w:t>
      </w:r>
      <w:r>
        <w:rPr>
          <w:rFonts w:cs="Times New Roman" w:ascii="Times New Roman" w:hAnsi="Times New Roman"/>
          <w:sz w:val="22"/>
          <w:u w:val="single"/>
        </w:rPr>
        <w:t>Counterparts</w:t>
      </w:r>
      <w:r>
        <w:fldChar w:fldCharType="begin"/>
      </w:r>
      <w:r>
        <w:rPr/>
        <w:instrText xml:space="preserve"> TC "29.8   Counterparts" \l 2 </w:instrText>
      </w:r>
      <w:r>
        <w:rPr/>
        <w:fldChar w:fldCharType="separate"/>
      </w:r>
      <w:r>
        <w:rPr/>
      </w:r>
      <w:r>
        <w:rPr/>
        <w:fldChar w:fldCharType="end"/>
      </w:r>
      <w:bookmarkStart w:id="187" w:name="__RefHeading___Toc497800561"/>
      <w:bookmarkEnd w:id="187"/>
      <w:r>
        <w:rPr>
          <w:rFonts w:cs="Times New Roman" w:ascii="Times New Roman" w:hAnsi="Times New Roman"/>
          <w:sz w:val="22"/>
        </w:rPr>
        <w:t xml:space="preserve">.  This Agreement may be executed in counterparts, each of which when so executed and delivered shall be an original, and all of which, when taken together, shall constitute one and the same instrument.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29.9   </w:t>
      </w:r>
      <w:r>
        <w:rPr>
          <w:rFonts w:cs="Times New Roman" w:ascii="Times New Roman" w:hAnsi="Times New Roman"/>
          <w:sz w:val="22"/>
          <w:u w:val="single"/>
        </w:rPr>
        <w:t>Equal Employment Opportunity</w:t>
      </w:r>
      <w:r>
        <w:fldChar w:fldCharType="begin"/>
      </w:r>
      <w:r>
        <w:rPr/>
        <w:instrText xml:space="preserve"> TC "29.9   Equal Employment Opportunity" \l 2 </w:instrText>
      </w:r>
      <w:r>
        <w:rPr/>
        <w:fldChar w:fldCharType="separate"/>
      </w:r>
      <w:r>
        <w:rPr/>
      </w:r>
      <w:r>
        <w:rPr/>
        <w:fldChar w:fldCharType="end"/>
      </w:r>
      <w:bookmarkStart w:id="188" w:name="__RefHeading___Toc497800562"/>
      <w:bookmarkEnd w:id="188"/>
      <w:r>
        <w:rPr>
          <w:rFonts w:cs="Times New Roman" w:ascii="Times New Roman" w:hAnsi="Times New Roman"/>
          <w:sz w:val="22"/>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sz w:val="22"/>
        </w:rPr>
        <w:t xml:space="preserve">29.10  </w:t>
      </w:r>
      <w:r>
        <w:rPr>
          <w:rFonts w:cs="Times New Roman" w:ascii="Times New Roman" w:hAnsi="Times New Roman"/>
          <w:sz w:val="22"/>
          <w:u w:val="single"/>
        </w:rPr>
        <w:t>Cooperation on Site</w:t>
      </w:r>
      <w:r>
        <w:fldChar w:fldCharType="begin"/>
      </w:r>
      <w:r>
        <w:rPr/>
        <w:instrText xml:space="preserve"> TC "29.10  Cooperation on Site" \l 2 </w:instrText>
      </w:r>
      <w:r>
        <w:rPr/>
        <w:fldChar w:fldCharType="separate"/>
      </w:r>
      <w:r>
        <w:rPr/>
      </w:r>
      <w:r>
        <w:rPr/>
        <w:fldChar w:fldCharType="end"/>
      </w:r>
      <w:bookmarkStart w:id="189" w:name="__RefHeading___Toc497800563"/>
      <w:bookmarkEnd w:id="189"/>
      <w:r>
        <w:rPr>
          <w:rFonts w:cs="Times New Roman" w:ascii="Times New Roman" w:hAnsi="Times New Roman"/>
          <w:sz w:val="22"/>
        </w:rPr>
        <w:t xml:space="preserve"> To the extent Seller is required to perform services on Site it shall cooperate with other contractors on Site so as to coordinate work and schedules.</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pPr>
      <w:r>
        <w:rPr>
          <w:rFonts w:cs="Times New Roman" w:ascii="Times New Roman" w:hAnsi="Times New Roman"/>
          <w:b/>
          <w:sz w:val="22"/>
        </w:rPr>
        <w:t>IN WITNESS WHEREOF</w:t>
      </w:r>
      <w:r>
        <w:rPr>
          <w:rFonts w:cs="Times New Roman" w:ascii="Times New Roman" w:hAnsi="Times New Roman"/>
          <w:sz w:val="22"/>
        </w:rPr>
        <w:t>, the parties have caused this Agreement to be executed as of the date and the year first above written.</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[ENRON]</w:t>
        <w:tab/>
        <w:tab/>
        <w:tab/>
        <w:tab/>
        <w:tab/>
        <w:tab/>
        <w:tab/>
        <w:t>FUEL CELL ENERGY, INC.</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t>Purchaser</w:t>
        <w:tab/>
        <w:tab/>
        <w:tab/>
        <w:tab/>
        <w:tab/>
        <w:tab/>
        <w:tab/>
        <w:t>Seller</w:t>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By:  ____________________________</w:t>
        <w:tab/>
        <w:tab/>
        <w:tab/>
        <w:t>By:  ____________________________</w:t>
        <w:tab/>
        <w:t xml:space="preserve">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Title:  _________________________</w:t>
        <w:tab/>
        <w:tab/>
        <w:tab/>
        <w:t xml:space="preserve">Title:  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t xml:space="preserve">Date:  __________________________ </w:t>
        <w:tab/>
        <w:tab/>
        <w:tab/>
        <w:t xml:space="preserve">Date:  __________________________                        </w:t>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jc w:val="both"/>
        <w:rPr>
          <w:rFonts w:ascii="Times New Roman" w:hAnsi="Times New Roman" w:cs="Times New Roman"/>
          <w:b/>
          <w:sz w:val="22"/>
        </w:rPr>
      </w:pPr>
      <w:r>
        <w:rPr>
          <w:rFonts w:cs="Times New Roman" w:ascii="Times New Roman" w:hAnsi="Times New Roman"/>
          <w:b/>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jc w:val="both"/>
        <w:rPr>
          <w:rFonts w:ascii="Times New Roman" w:hAnsi="Times New Roman" w:cs="Times New Roman"/>
          <w:sz w:val="22"/>
        </w:rPr>
      </w:pPr>
      <w:r>
        <w:rPr>
          <w:rFonts w:cs="Times New Roman" w:ascii="Times New Roman" w:hAnsi="Times New Roman"/>
          <w:sz w:val="22"/>
        </w:rPr>
      </w:r>
    </w:p>
    <w:p>
      <w:pPr>
        <w:pStyle w:val="Normal"/>
        <w:widowControl/>
        <w:spacing w:lineRule="auto" w:line="300"/>
        <w:ind w:firstLine="1440" w:end="0"/>
        <w:jc w:val="both"/>
        <w:rPr>
          <w:rFonts w:ascii="Times New Roman" w:hAnsi="Times New Roman" w:cs="Times New Roman"/>
          <w:sz w:val="22"/>
        </w:rPr>
      </w:pPr>
      <w:r>
        <w:rPr>
          <w:rFonts w:cs="Times New Roman" w:ascii="Times New Roman" w:hAnsi="Times New Roman"/>
          <w:sz w:val="22"/>
        </w:rPr>
      </w:r>
      <w:r>
        <w:br w:type="page"/>
      </w:r>
    </w:p>
    <w:p>
      <w:pPr>
        <w:pStyle w:val="Normal"/>
        <w:widowControl/>
        <w:spacing w:lineRule="auto" w:line="300"/>
        <w:jc w:val="center"/>
        <w:rPr>
          <w:rFonts w:ascii="Times New Roman" w:hAnsi="Times New Roman" w:cs="Times New Roman"/>
          <w:sz w:val="22"/>
        </w:rPr>
      </w:pPr>
      <w:r>
        <w:rPr>
          <w:rFonts w:cs="Times New Roman" w:ascii="Times New Roman" w:hAnsi="Times New Roman"/>
          <w:sz w:val="22"/>
        </w:rPr>
      </w:r>
    </w:p>
    <w:sectPr>
      <w:footerReference w:type="default" r:id="rId2"/>
      <w:footerReference w:type="first" r:id="rId3"/>
      <w:type w:val="nextPage"/>
      <w:pgSz w:w="12240" w:h="15840"/>
      <w:pgMar w:left="1080" w:right="1080" w:gutter="0" w:header="0" w:top="1440"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ingdings">
    <w:charset w:val="02"/>
    <w:family w:val="auto"/>
    <w:pitch w:val="variable"/>
  </w:font>
  <w:font w:name="Lucida Console">
    <w:charset w:val="00" w:characterSet="windows-1252"/>
    <w:family w:val="modern"/>
    <w:pitch w:val="default"/>
  </w:font>
  <w:font w:name="CG Times (WN)">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450" w:leader="none"/>
      </w:tabs>
      <w:ind w:end="360"/>
      <w:jc w:val="both"/>
      <w:rPr/>
    </w:pPr>
    <w:r>
      <w:rPr>
        <w:sz w:val="16"/>
      </w:rPr>
      <w:fldChar w:fldCharType="begin"/>
    </w:r>
    <w:r>
      <w:rPr>
        <w:sz w:val="16"/>
      </w:rPr>
      <w:instrText xml:space="preserve"> FILENAME </w:instrText>
    </w:r>
    <w:r>
      <w:rPr>
        <w:sz w:val="16"/>
      </w:rPr>
      <w:fldChar w:fldCharType="separate"/>
    </w:r>
    <w:r>
      <w:rPr>
        <w:sz w:val="16"/>
      </w:rPr>
      <w:t>FuelCellequipmentNov2rev2.doc</w:t>
    </w:r>
    <w:r>
      <w:rPr>
        <w:sz w:val="16"/>
      </w:rPr>
      <w:fldChar w:fldCharType="end"/>
    </w:r>
    <w:r>
      <w:rPr>
        <w:sz w:val="16"/>
      </w:rPr>
      <w:tab/>
    </w:r>
    <w:r>
      <mc:AlternateContent>
        <mc:Choice Requires="wps">
          <w:drawing>
            <wp:anchor behindDoc="0" distT="0" distB="0" distL="0" distR="0" simplePos="0" locked="0" layoutInCell="0" allowOverlap="1" relativeHeight="69">
              <wp:simplePos x="0" y="0"/>
              <wp:positionH relativeFrom="margin">
                <wp:align>right</wp:align>
              </wp:positionH>
              <wp:positionV relativeFrom="paragraph">
                <wp:posOffset>635</wp:posOffset>
              </wp:positionV>
              <wp:extent cx="16954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95pt;mso-wrap-distance-left:0pt;mso-wrap-distance-right:0pt;mso-wrap-distance-top:0pt;mso-wrap-distance-bottom:0pt;margin-top:0.05pt;mso-position-vertical-relative:text;margin-left:490.6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v:textbox>
              <w10:wrap type="square"/>
            </v:rect>
          </w:pict>
        </mc:Fallback>
      </mc:AlternateContent>
    </w:r>
  </w:p>
  <w:p>
    <w:pPr>
      <w:pStyle w:val="Normal"/>
      <w:ind w:end="360"/>
      <w:jc w:val="both"/>
      <w:rPr>
        <w:sz w:val="16"/>
      </w:rPr>
    </w:pPr>
    <w:r>
      <w:rPr>
        <w:sz w:val="16"/>
      </w:rPr>
      <w:tab/>
      <w:tab/>
      <w:tab/>
      <w:t xml:space="preserve"> Purchaser  _________      Seller __________</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fldChar w:fldCharType="begin"/>
    </w:r>
    <w:r>
      <w:rPr>
        <w:sz w:val="16"/>
      </w:rPr>
      <w:instrText xml:space="preserve"> FILENAME </w:instrText>
    </w:r>
    <w:r>
      <w:rPr>
        <w:sz w:val="16"/>
      </w:rPr>
      <w:fldChar w:fldCharType="separate"/>
    </w:r>
    <w:r>
      <w:rPr>
        <w:sz w:val="16"/>
      </w:rPr>
      <w:t>FuelCellequipmentNov2rev2.doc</w:t>
    </w:r>
    <w:r>
      <w:rPr>
        <w:sz w:val="16"/>
      </w:rPr>
      <w:fldChar w:fldCharType="end"/>
    </w:r>
    <w:r>
      <w:rPr>
        <w:sz w:val="16"/>
      </w:rPr>
      <w:tab/>
      <w:t>Purchaser __________     Seller _________</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2"/>
      <w:numFmt w:val="decimal"/>
      <w:lvlText w:val="(%1)"/>
      <w:lvlJc w:val="start"/>
      <w:pPr>
        <w:tabs>
          <w:tab w:val="num" w:pos="2160"/>
        </w:tabs>
        <w:ind w:start="2160" w:hanging="720"/>
      </w:pPr>
      <w:rPr/>
    </w:lvl>
  </w:abstractNum>
  <w:abstractNum w:abstractNumId="3">
    <w:lvl w:ilvl="0">
      <w:start w:val="1"/>
      <w:numFmt w:val="lowerRoman"/>
      <w:lvlText w:val="(%1)"/>
      <w:lvlJc w:val="start"/>
      <w:pPr>
        <w:tabs>
          <w:tab w:val="num" w:pos="1440"/>
        </w:tabs>
        <w:ind w:start="1440" w:hanging="720"/>
      </w:pPr>
      <w:rPr/>
    </w:lvl>
  </w:abstractNum>
  <w:abstractNum w:abstractNumId="4">
    <w:lvl w:ilvl="0">
      <w:start w:val="3"/>
      <w:numFmt w:val="lowerLetter"/>
      <w:lvlText w:val="(%1)"/>
      <w:lvlJc w:val="start"/>
      <w:pPr>
        <w:tabs>
          <w:tab w:val="num" w:pos="1440"/>
        </w:tabs>
        <w:ind w:start="1440" w:hanging="720"/>
      </w:pPr>
      <w:rPr/>
    </w:lvl>
  </w:abstractNum>
  <w:abstractNum w:abstractNumId="5">
    <w:lvl w:ilvl="0">
      <w:start w:val="4"/>
      <w:numFmt w:val="lowerLetter"/>
      <w:lvlText w:val="(%1)"/>
      <w:lvlJc w:val="start"/>
      <w:pPr>
        <w:tabs>
          <w:tab w:val="num" w:pos="1440"/>
        </w:tabs>
        <w:ind w:start="1440" w:hanging="720"/>
      </w:pPr>
      <w:rPr/>
    </w:lvl>
  </w:abstractNum>
  <w:abstractNum w:abstractNumId="6">
    <w:lvl w:ilvl="0">
      <w:start w:val="1"/>
      <w:numFmt w:val="lowerLetter"/>
      <w:lvlText w:val="(%1)"/>
      <w:lvlJc w:val="start"/>
      <w:pPr>
        <w:tabs>
          <w:tab w:val="num" w:pos="1440"/>
        </w:tabs>
        <w:ind w:start="1440" w:hanging="720"/>
      </w:pPr>
      <w:rPr/>
    </w:lvl>
  </w:abstractNum>
  <w:abstractNum w:abstractNumId="7">
    <w:lvl w:ilvl="0">
      <w:start w:val="2"/>
      <w:numFmt w:val="lowerLetter"/>
      <w:lvlText w:val="(%1)"/>
      <w:lvlJc w:val="start"/>
      <w:pPr>
        <w:tabs>
          <w:tab w:val="num" w:pos="1440"/>
        </w:tabs>
        <w:ind w:start="1440" w:hanging="990"/>
      </w:pPr>
      <w:rPr/>
    </w:lvl>
  </w:abstractNum>
  <w:abstractNum w:abstractNumId="8">
    <w:lvl w:ilvl="0">
      <w:start w:val="2"/>
      <w:numFmt w:val="lowerLetter"/>
      <w:lvlText w:val="(%1)"/>
      <w:lvlJc w:val="start"/>
      <w:pPr>
        <w:tabs>
          <w:tab w:val="num" w:pos="1080"/>
        </w:tabs>
        <w:ind w:start="1080" w:hanging="360"/>
      </w:pPr>
      <w:rPr/>
    </w:lvl>
  </w:abstractNum>
  <w:abstractNum w:abstractNumId="9">
    <w:lvl w:ilvl="0">
      <w:start w:val="3"/>
      <w:numFmt w:val="lowerLetter"/>
      <w:lvlText w:val="(%1)"/>
      <w:lvlJc w:val="start"/>
      <w:pPr>
        <w:tabs>
          <w:tab w:val="num" w:pos="1440"/>
        </w:tabs>
        <w:ind w:start="1440" w:hanging="720"/>
      </w:pPr>
      <w:rPr/>
    </w:lvl>
  </w:abstractNum>
  <w:abstractNum w:abstractNumId="10">
    <w:lvl w:ilvl="0">
      <w:start w:val="1"/>
      <w:numFmt w:val="decimal"/>
      <w:lvlText w:val="(%1)"/>
      <w:lvlJc w:val="start"/>
      <w:pPr>
        <w:tabs>
          <w:tab w:val="num" w:pos="2160"/>
        </w:tabs>
        <w:ind w:start="2160" w:hanging="720"/>
      </w:pPr>
      <w:rPr/>
    </w:lvl>
  </w:abstractNum>
  <w:abstractNum w:abstractNumId="11">
    <w:lvl w:ilvl="0">
      <w:start w:val="8"/>
      <w:numFmt w:val="decimal"/>
      <w:lvlText w:val="%1"/>
      <w:lvlJc w:val="start"/>
      <w:pPr>
        <w:tabs>
          <w:tab w:val="num" w:pos="360"/>
        </w:tabs>
        <w:ind w:start="360" w:hanging="360"/>
      </w:pPr>
      <w:rPr/>
    </w:lvl>
    <w:lvl w:ilvl="1">
      <w:start w:val="1"/>
      <w:numFmt w:val="decimal"/>
      <w:lvlText w:val="%1.%2"/>
      <w:lvlJc w:val="start"/>
      <w:pPr>
        <w:tabs>
          <w:tab w:val="num" w:pos="360"/>
        </w:tabs>
        <w:ind w:start="360" w:hanging="3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lowerRoman"/>
      <w:lvlText w:val="(%1)"/>
      <w:lvlJc w:val="start"/>
      <w:pPr>
        <w:tabs>
          <w:tab w:val="num" w:pos="1440"/>
        </w:tabs>
        <w:ind w:start="1440" w:hanging="720"/>
      </w:pPr>
      <w:rPr/>
    </w:lvl>
  </w:abstractNum>
  <w:abstractNum w:abstractNumId="13">
    <w:lvl w:ilvl="0">
      <w:start w:val="14"/>
      <w:numFmt w:val="decimal"/>
      <w:lvlText w:val="%1"/>
      <w:lvlJc w:val="start"/>
      <w:pPr>
        <w:tabs>
          <w:tab w:val="num" w:pos="495"/>
        </w:tabs>
        <w:ind w:start="495" w:hanging="495"/>
      </w:pPr>
      <w:rPr/>
    </w:lvl>
    <w:lvl w:ilvl="1">
      <w:start w:val="2"/>
      <w:numFmt w:val="decimal"/>
      <w:lvlText w:val="%1.%2"/>
      <w:lvlJc w:val="start"/>
      <w:pPr>
        <w:tabs>
          <w:tab w:val="num" w:pos="495"/>
        </w:tabs>
        <w:ind w:start="495" w:hanging="49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5040" w:leader="none"/>
      </w:tabs>
      <w:spacing w:lineRule="auto" w:line="300"/>
      <w:outlineLvl w:val="0"/>
    </w:pPr>
    <w:rPr>
      <w:b/>
      <w:sz w:val="22"/>
    </w:rPr>
  </w:style>
  <w:style w:type="paragraph" w:styleId="Heading2">
    <w:name w:val="heading 2"/>
    <w:basedOn w:val="Normal"/>
    <w:next w:val="Normal"/>
    <w:qFormat/>
    <w:pPr>
      <w:keepNext w:val="true"/>
      <w:widowControl/>
      <w:spacing w:lineRule="auto" w:line="300"/>
      <w:outlineLvl w:val="1"/>
    </w:pPr>
    <w:rPr>
      <w:b/>
      <w:sz w:val="22"/>
    </w:rPr>
  </w:style>
  <w:style w:type="paragraph" w:styleId="Heading3">
    <w:name w:val="heading 3"/>
    <w:basedOn w:val="Normal"/>
    <w:next w:val="Normal"/>
    <w:qFormat/>
    <w:pPr>
      <w:keepNext w:val="true"/>
      <w:widowControl/>
      <w:tabs>
        <w:tab w:val="clear" w:pos="720"/>
        <w:tab w:val="center" w:pos="4680" w:leader="none"/>
      </w:tabs>
      <w:jc w:val="center"/>
      <w:outlineLvl w:val="2"/>
    </w:pPr>
    <w:rPr>
      <w:sz w:val="33"/>
    </w:rPr>
  </w:style>
  <w:style w:type="paragraph" w:styleId="Heading4">
    <w:name w:val="heading 4"/>
    <w:basedOn w:val="Normal"/>
    <w:next w:val="Normal"/>
    <w:qFormat/>
    <w:pPr>
      <w:keepNext w:val="true"/>
      <w:spacing w:before="240" w:after="60"/>
      <w:outlineLvl w:val="3"/>
    </w:pPr>
    <w:rPr>
      <w:rFonts w:ascii="Arial" w:hAnsi="Arial" w:cs="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cs="Times New Roman"/>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rFonts w:ascii="Wingdings" w:hAnsi="Wingdings" w:cs="Wingdings"/>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u w:val="none"/>
    </w:rPr>
  </w:style>
  <w:style w:type="character" w:styleId="WW8Num40z0">
    <w:name w:val="WW8Num40z0"/>
    <w:qFormat/>
    <w:rPr>
      <w:rFonts w:ascii="Lucida Console" w:hAnsi="Lucida Console" w:cs="ITC Zapf Dingbats (DV)"/>
    </w:rPr>
  </w:style>
  <w:style w:type="character" w:styleId="WW8Num41z0">
    <w:name w:val="WW8Num41z0"/>
    <w:qFormat/>
    <w:rPr/>
  </w:style>
  <w:style w:type="character" w:styleId="WW8Num42z0">
    <w:name w:val="WW8Num42z0"/>
    <w:qFormat/>
    <w:rPr/>
  </w:style>
  <w:style w:type="character" w:styleId="WW8Num43z0">
    <w:name w:val="WW8Num43z0"/>
    <w:qFormat/>
    <w:rPr>
      <w:u w:val="single"/>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8z0">
    <w:name w:val="WW8Num48z0"/>
    <w:qFormat/>
    <w:rPr/>
  </w:style>
  <w:style w:type="character" w:styleId="WW8Num49z0">
    <w:name w:val="WW8Num49z0"/>
    <w:qFormat/>
    <w:rPr>
      <w:color w:val="auto"/>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rFonts w:ascii="Arial" w:hAnsi="Arial" w:cs="Arial"/>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rFonts w:ascii="Wingdings" w:hAnsi="Wingdings" w:cs="Wingdings"/>
    </w:rPr>
  </w:style>
  <w:style w:type="character" w:styleId="WW8Num68z0">
    <w:name w:val="WW8Num68z0"/>
    <w:qFormat/>
    <w:rPr/>
  </w:style>
  <w:style w:type="character" w:styleId="WW8Num69z0">
    <w:name w:val="WW8Num69z0"/>
    <w:qFormat/>
    <w:rPr>
      <w:rFonts w:ascii="Symbol" w:hAnsi="Symbol" w:cs="Symbol"/>
      <w:color w:val="auto"/>
    </w:rPr>
  </w:style>
  <w:style w:type="character" w:styleId="WW8Num70z0">
    <w:name w:val="WW8Num70z0"/>
    <w:qFormat/>
    <w:rPr/>
  </w:style>
  <w:style w:type="character" w:styleId="WW8Num71z0">
    <w:name w:val="WW8Num71z0"/>
    <w:qFormat/>
    <w:rPr/>
  </w:style>
  <w:style w:type="character" w:styleId="WW8Num72z0">
    <w:name w:val="WW8Num72z0"/>
    <w:qFormat/>
    <w:rPr>
      <w:rFonts w:ascii="Arial" w:hAnsi="Arial" w:cs="Arial"/>
      <w:sz w:val="19"/>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7z0">
    <w:name w:val="WW8Num77z0"/>
    <w:qFormat/>
    <w:rPr/>
  </w:style>
  <w:style w:type="character" w:styleId="WW8Num78z0">
    <w:name w:val="WW8Num78z0"/>
    <w:qFormat/>
    <w:rPr>
      <w:rFonts w:ascii="Wingdings" w:hAnsi="Wingdings" w:cs="Wingdings"/>
    </w:rPr>
  </w:style>
  <w:style w:type="character" w:styleId="WW8Num79z0">
    <w:name w:val="WW8Num79z0"/>
    <w:qFormat/>
    <w:rPr/>
  </w:style>
  <w:style w:type="character" w:styleId="WW8Num80z0">
    <w:name w:val="WW8Num80z0"/>
    <w:qFormat/>
    <w:rPr>
      <w:rFonts w:ascii="Lucida Console" w:hAnsi="Lucida Console" w:cs="ITC Zapf Dingbats (DV)"/>
    </w:rPr>
  </w:style>
  <w:style w:type="character" w:styleId="WW8Num81z0">
    <w:name w:val="WW8Num81z0"/>
    <w:qFormat/>
    <w:rPr>
      <w:rFonts w:ascii="Symbol" w:hAnsi="Symbol" w:cs="Symbol"/>
      <w:color w:val="auto"/>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rFonts w:ascii="Arial" w:hAnsi="Arial" w:cs="Arial"/>
    </w:rPr>
  </w:style>
  <w:style w:type="character" w:styleId="WW8Num86z0">
    <w:name w:val="WW8Num86z0"/>
    <w:qFormat/>
    <w:rPr/>
  </w:style>
  <w:style w:type="character" w:styleId="WW8Num87z0">
    <w:name w:val="WW8Num87z0"/>
    <w:qFormat/>
    <w:rPr>
      <w:u w:val="single"/>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rFonts w:ascii="Wingdings" w:hAnsi="Wingdings" w:cs="Wingdings"/>
    </w:rPr>
  </w:style>
  <w:style w:type="character" w:styleId="WW8Num93z0">
    <w:name w:val="WW8Num93z0"/>
    <w:qFormat/>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99z0">
    <w:name w:val="WW8Num99z0"/>
    <w:qFormat/>
    <w:rPr/>
  </w:style>
  <w:style w:type="character" w:styleId="WW8Num101z0">
    <w:name w:val="WW8Num101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Arial" w:hAnsi="Arial" w:cs="Arial"/>
    </w:rPr>
  </w:style>
  <w:style w:type="character" w:styleId="WW8Num106z0">
    <w:name w:val="WW8Num106z0"/>
    <w:qFormat/>
    <w:rPr/>
  </w:style>
  <w:style w:type="character" w:styleId="WW8Num107z0">
    <w:name w:val="WW8Num107z0"/>
    <w:qFormat/>
    <w:rPr>
      <w:rFonts w:ascii="Times New Roman" w:hAnsi="Times New Roman" w:cs="Times New Roman"/>
    </w:rPr>
  </w:style>
  <w:style w:type="character" w:styleId="WW8Num108z0">
    <w:name w:val="WW8Num108z0"/>
    <w:qFormat/>
    <w:rPr/>
  </w:style>
  <w:style w:type="character" w:styleId="WW8Num109z0">
    <w:name w:val="WW8Num109z0"/>
    <w:qFormat/>
    <w:rPr>
      <w:u w:val="single"/>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u w:val="single"/>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color w:val="auto"/>
    </w:rPr>
  </w:style>
  <w:style w:type="character" w:styleId="WW8Num119z0">
    <w:name w:val="WW8Num119z0"/>
    <w:qFormat/>
    <w:rPr>
      <w:rFonts w:ascii="Symbol" w:hAnsi="Symbol" w:cs="Symbol"/>
      <w:color w:val="auto"/>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5z0">
    <w:name w:val="WW8Num125z0"/>
    <w:qFormat/>
    <w:rPr/>
  </w:style>
  <w:style w:type="character" w:styleId="WW8Num126z0">
    <w:name w:val="WW8Num126z0"/>
    <w:qFormat/>
    <w:rPr>
      <w:rFonts w:ascii="Wingdings" w:hAnsi="Wingdings" w:cs="Wingdings"/>
    </w:rPr>
  </w:style>
  <w:style w:type="character" w:styleId="WW8Num127z0">
    <w:name w:val="WW8Num127z0"/>
    <w:qFormat/>
    <w:rPr>
      <w:rFonts w:ascii="Symbol" w:hAnsi="Symbol" w:cs="Symbol"/>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5z0">
    <w:name w:val="WW8Num135z0"/>
    <w:qFormat/>
    <w:rPr/>
  </w:style>
  <w:style w:type="character" w:styleId="WW8Num136z0">
    <w:name w:val="WW8Num136z0"/>
    <w:qFormat/>
    <w:rPr>
      <w:rFonts w:ascii="Arial" w:hAnsi="Arial" w:cs="Arial"/>
    </w:rPr>
  </w:style>
  <w:style w:type="character" w:styleId="WW8Num137z0">
    <w:name w:val="WW8Num137z0"/>
    <w:qFormat/>
    <w:rPr/>
  </w:style>
  <w:style w:type="character" w:styleId="WW8Num138z0">
    <w:name w:val="WW8Num138z0"/>
    <w:qFormat/>
    <w:rPr>
      <w:b/>
    </w:rPr>
  </w:style>
  <w:style w:type="character" w:styleId="WW8Num139z0">
    <w:name w:val="WW8Num139z0"/>
    <w:qFormat/>
    <w:rPr/>
  </w:style>
  <w:style w:type="character" w:styleId="WW8Num140z0">
    <w:name w:val="WW8Num140z0"/>
    <w:qFormat/>
    <w:rPr/>
  </w:style>
  <w:style w:type="character" w:styleId="WW8Num141z0">
    <w:name w:val="WW8Num141z0"/>
    <w:qFormat/>
    <w:rPr/>
  </w:style>
  <w:style w:type="character" w:styleId="WW8Num142z0">
    <w:name w:val="WW8Num142z0"/>
    <w:qFormat/>
    <w:rPr/>
  </w:style>
  <w:style w:type="character" w:styleId="WW8Num143z0">
    <w:name w:val="WW8Num143z0"/>
    <w:qFormat/>
    <w:rPr>
      <w:rFonts w:ascii="Arial" w:hAnsi="Arial" w:cs="Arial"/>
      <w:sz w:val="19"/>
    </w:rPr>
  </w:style>
  <w:style w:type="character" w:styleId="WW8Num144z0">
    <w:name w:val="WW8Num144z0"/>
    <w:qFormat/>
    <w:rPr>
      <w:rFonts w:ascii="Arial" w:hAnsi="Arial" w:cs="Arial"/>
      <w:sz w:val="19"/>
    </w:rPr>
  </w:style>
  <w:style w:type="character" w:styleId="WW8Num145z0">
    <w:name w:val="WW8Num145z0"/>
    <w:qFormat/>
    <w:rPr/>
  </w:style>
  <w:style w:type="character" w:styleId="WW8Num146z0">
    <w:name w:val="WW8Num146z0"/>
    <w:qFormat/>
    <w:rPr/>
  </w:style>
  <w:style w:type="character" w:styleId="WW8Num147z0">
    <w:name w:val="WW8Num147z0"/>
    <w:qFormat/>
    <w:rPr>
      <w:u w:val="single"/>
    </w:rPr>
  </w:style>
  <w:style w:type="character" w:styleId="WW8Num148z0">
    <w:name w:val="WW8Num148z0"/>
    <w:qFormat/>
    <w:rPr/>
  </w:style>
  <w:style w:type="character" w:styleId="WW8Num149z0">
    <w:name w:val="WW8Num149z0"/>
    <w:qFormat/>
    <w:rPr>
      <w:rFonts w:ascii="Arial" w:hAnsi="Arial" w:cs="Arial"/>
    </w:rPr>
  </w:style>
  <w:style w:type="character" w:styleId="WW8Num150z0">
    <w:name w:val="WW8Num150z0"/>
    <w:qFormat/>
    <w:rPr/>
  </w:style>
  <w:style w:type="character" w:styleId="WW8Num151z0">
    <w:name w:val="WW8Num151z0"/>
    <w:qFormat/>
    <w:rPr>
      <w:rFonts w:ascii="Times New Roman" w:hAnsi="Times New Roman" w:cs="Times New Roman"/>
    </w:rPr>
  </w:style>
  <w:style w:type="character" w:styleId="WW8Num152z0">
    <w:name w:val="WW8Num152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widowControl/>
      <w:jc w:val="center"/>
    </w:pPr>
    <w:rPr>
      <w:rFonts w:ascii="Arial" w:hAnsi="Arial" w:cs="Arial"/>
      <w:b/>
      <w:sz w:val="22"/>
    </w:rPr>
  </w:style>
  <w:style w:type="paragraph" w:styleId="BodyText">
    <w:name w:val="Body Text"/>
    <w:basedOn w:val="Normal"/>
    <w:pPr>
      <w:widowControl/>
      <w:spacing w:lineRule="auto" w:line="30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10070" w:leader="dot"/>
      </w:tabs>
    </w:pPr>
    <w:rPr>
      <w:sz w:val="20"/>
      <w:lang w:val="en-CA" w:eastAsia="en-CA"/>
    </w:rPr>
  </w:style>
  <w:style w:type="paragraph" w:styleId="TOC2">
    <w:name w:val="toc 2"/>
    <w:basedOn w:val="Normal"/>
    <w:next w:val="Normal"/>
    <w:pPr>
      <w:ind w:hanging="0" w:start="245" w:end="0"/>
    </w:pPr>
    <w:rPr>
      <w:sz w:val="20"/>
    </w:rPr>
  </w:style>
  <w:style w:type="paragraph" w:styleId="TOC3">
    <w:name w:val="toc 3"/>
    <w:basedOn w:val="Normal"/>
    <w:next w:val="Normal"/>
    <w:pPr>
      <w:ind w:hanging="0" w:start="475" w:end="0"/>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rFonts w:ascii="CG Times (WN)" w:hAnsi="CG Times (WN)" w:cs="CG Times (WN)"/>
    </w:rPr>
  </w:style>
  <w:style w:type="paragraph" w:styleId="BodyText2">
    <w:name w:val="Body Text 2"/>
    <w:basedOn w:val="Normal"/>
    <w:qFormat/>
    <w:pPr>
      <w:widowControl/>
      <w:spacing w:lineRule="auto" w:line="300"/>
      <w:jc w:val="center"/>
    </w:pPr>
    <w:rPr>
      <w:b/>
      <w:caps/>
      <w:sz w:val="22"/>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rFonts w:ascii="Times New Roman" w:hAnsi="Times New Roman" w:cs="Times New Roman"/>
      <w:sz w:val="20"/>
    </w:rPr>
  </w:style>
  <w:style w:type="paragraph" w:styleId="TOC5">
    <w:name w:val="toc 5"/>
    <w:basedOn w:val="Normal"/>
    <w:next w:val="Normal"/>
    <w:pPr>
      <w:ind w:hanging="0" w:start="960" w:end="0"/>
    </w:pPr>
    <w:rPr>
      <w:rFonts w:ascii="Times New Roman" w:hAnsi="Times New Roman" w:cs="Times New Roman"/>
      <w:sz w:val="20"/>
    </w:rPr>
  </w:style>
  <w:style w:type="paragraph" w:styleId="TOC6">
    <w:name w:val="toc 6"/>
    <w:basedOn w:val="Normal"/>
    <w:next w:val="Normal"/>
    <w:pPr>
      <w:ind w:hanging="0" w:start="1200" w:end="0"/>
    </w:pPr>
    <w:rPr>
      <w:rFonts w:ascii="Times New Roman" w:hAnsi="Times New Roman" w:cs="Times New Roman"/>
      <w:sz w:val="20"/>
    </w:rPr>
  </w:style>
  <w:style w:type="paragraph" w:styleId="TOC7">
    <w:name w:val="toc 7"/>
    <w:basedOn w:val="Normal"/>
    <w:next w:val="Normal"/>
    <w:pPr>
      <w:ind w:hanging="0" w:start="1440" w:end="0"/>
    </w:pPr>
    <w:rPr>
      <w:rFonts w:ascii="Times New Roman" w:hAnsi="Times New Roman" w:cs="Times New Roman"/>
      <w:sz w:val="20"/>
    </w:rPr>
  </w:style>
  <w:style w:type="paragraph" w:styleId="TOC8">
    <w:name w:val="toc 8"/>
    <w:basedOn w:val="Normal"/>
    <w:next w:val="Normal"/>
    <w:pPr>
      <w:ind w:hanging="0" w:start="1680" w:end="0"/>
    </w:pPr>
    <w:rPr>
      <w:rFonts w:ascii="Times New Roman" w:hAnsi="Times New Roman" w:cs="Times New Roman"/>
      <w:sz w:val="20"/>
    </w:rPr>
  </w:style>
  <w:style w:type="paragraph" w:styleId="TOC9">
    <w:name w:val="toc 9"/>
    <w:basedOn w:val="Normal"/>
    <w:next w:val="Normal"/>
    <w:pPr>
      <w:ind w:hanging="0" w:start="1920" w:end="0"/>
    </w:pPr>
    <w:rPr>
      <w:rFonts w:ascii="Times New Roman" w:hAnsi="Times New Roman" w:cs="Times New Roman"/>
      <w:sz w:val="20"/>
    </w:rPr>
  </w:style>
  <w:style w:type="paragraph" w:styleId="BodyText3">
    <w:name w:val="Body Text 3"/>
    <w:basedOn w:val="Normal"/>
    <w:qFormat/>
    <w:pPr>
      <w:widowControl/>
      <w:spacing w:lineRule="auto" w:line="300"/>
      <w:jc w:val="both"/>
    </w:pPr>
    <w:rPr>
      <w:sz w:val="20"/>
    </w:rPr>
  </w:style>
  <w:style w:type="paragraph" w:styleId="Subtitle">
    <w:name w:val="Subtitle"/>
    <w:basedOn w:val="Normal"/>
    <w:next w:val="BodyText"/>
    <w:qFormat/>
    <w:pPr>
      <w:widowControl/>
      <w:jc w:val="center"/>
    </w:pPr>
    <w:rPr>
      <w:rFonts w:ascii="Arial" w:hAnsi="Arial" w:cs="Arial"/>
      <w:b/>
      <w:sz w:val="22"/>
    </w:rPr>
  </w:style>
  <w:style w:type="paragraph" w:styleId="PlainText">
    <w:name w:val="Plain Text"/>
    <w:basedOn w:val="Normal"/>
    <w:qFormat/>
    <w:pPr>
      <w:widowControl/>
    </w:pPr>
    <w:rPr>
      <w:rFonts w:ascii="Courier New" w:hAnsi="Courier New" w:cs="Courier New"/>
      <w:b/>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2000-11-02T23:34:00Z</dcterms:created>
  <dc:creator>EECC</dc:creator>
  <dc:description/>
  <dc:language>en-CA</dc:language>
  <cp:lastModifiedBy>kmann</cp:lastModifiedBy>
  <cp:lastPrinted>2000-11-02T20:14:00Z</cp:lastPrinted>
  <dcterms:modified xsi:type="dcterms:W3CDTF">2000-11-02T23:45:00Z</dcterms:modified>
  <cp:revision>5</cp:revision>
  <dc:subject/>
  <dc:title>AGREEMENT</dc:title>
</cp:coreProperties>
</file>