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jc w:val="center"/>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jc w:val="center"/>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tabs>
          <w:tab w:val="clear" w:pos="720"/>
          <w:tab w:val="center" w:pos="4680" w:leader="none"/>
        </w:tabs>
        <w:jc w:val="center"/>
        <w:rPr>
          <w:rFonts w:ascii="Times New Roman" w:hAnsi="Times New Roman" w:cs="Times New Roman"/>
          <w:b/>
          <w:color w:val="000080"/>
          <w:sz w:val="36"/>
        </w:rPr>
      </w:pPr>
      <w:r>
        <w:rPr>
          <w:rFonts w:cs="Times New Roman" w:ascii="Times New Roman" w:hAnsi="Times New Roman"/>
          <w:b/>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t>AGREEMENT</w:t>
      </w:r>
    </w:p>
    <w:p>
      <w:pPr>
        <w:pStyle w:val="Normal"/>
        <w:widowControl/>
        <w:jc w:val="center"/>
        <w:rPr>
          <w:rFonts w:ascii="Times New Roman" w:hAnsi="Times New Roman" w:cs="Times New Roman"/>
          <w:b/>
          <w:color w:val="000080"/>
          <w:sz w:val="36"/>
        </w:rPr>
      </w:pPr>
      <w:r>
        <w:rPr>
          <w:rFonts w:cs="Times New Roman" w:ascii="Times New Roman" w:hAnsi="Times New Roman"/>
          <w:b/>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t>By and Between</w:t>
      </w:r>
    </w:p>
    <w:p>
      <w:pPr>
        <w:pStyle w:val="Normal"/>
        <w:widowControl/>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t>[ENRON NORTH AMERICA CORP.]</w:t>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r>
    </w:p>
    <w:p>
      <w:pPr>
        <w:pStyle w:val="Normal"/>
        <w:jc w:val="center"/>
        <w:rPr>
          <w:rFonts w:ascii="Times New Roman" w:hAnsi="Times New Roman" w:cs="Times New Roman"/>
          <w:b/>
          <w:color w:val="000080"/>
          <w:sz w:val="36"/>
        </w:rPr>
      </w:pPr>
      <w:r>
        <w:rPr>
          <w:rFonts w:cs="Times New Roman" w:ascii="Times New Roman" w:hAnsi="Times New Roman"/>
          <w:b/>
          <w:color w:val="000080"/>
          <w:sz w:val="36"/>
        </w:rPr>
        <w:t>AND</w:t>
      </w:r>
    </w:p>
    <w:p>
      <w:pPr>
        <w:pStyle w:val="Normal"/>
        <w:jc w:val="center"/>
        <w:rPr>
          <w:rFonts w:ascii="Times New Roman" w:hAnsi="Times New Roman" w:cs="Times New Roman"/>
          <w:b/>
          <w:color w:val="000080"/>
          <w:sz w:val="36"/>
        </w:rPr>
      </w:pPr>
      <w:r>
        <w:rPr>
          <w:rFonts w:cs="Times New Roman" w:ascii="Times New Roman" w:hAnsi="Times New Roman"/>
          <w:b/>
          <w:color w:val="000080"/>
          <w:sz w:val="36"/>
        </w:rPr>
      </w:r>
    </w:p>
    <w:p>
      <w:pPr>
        <w:pStyle w:val="Normal"/>
        <w:widowControl/>
        <w:jc w:val="center"/>
        <w:rPr>
          <w:rFonts w:ascii="Times New Roman" w:hAnsi="Times New Roman" w:cs="Times New Roman"/>
          <w:color w:val="000080"/>
          <w:sz w:val="36"/>
        </w:rPr>
      </w:pPr>
      <w:r>
        <w:rPr>
          <w:rFonts w:cs="Times New Roman" w:ascii="Times New Roman" w:hAnsi="Times New Roman"/>
          <w:color w:val="000080"/>
          <w:sz w:val="36"/>
        </w:rPr>
        <w:t>FUELCELL ENERGY, INC.</w:t>
      </w:r>
    </w:p>
    <w:p>
      <w:pPr>
        <w:pStyle w:val="Normal"/>
        <w:widowControl/>
        <w:tabs>
          <w:tab w:val="clear" w:pos="720"/>
          <w:tab w:val="center" w:pos="4680" w:leader="none"/>
        </w:tabs>
        <w:jc w:val="center"/>
        <w:rPr>
          <w:rFonts w:ascii="Times New Roman" w:hAnsi="Times New Roman" w:cs="Times New Roman"/>
          <w:color w:val="000080"/>
          <w:sz w:val="36"/>
        </w:rPr>
      </w:pPr>
      <w:r>
        <w:rPr>
          <w:rFonts w:cs="Times New Roman" w:ascii="Times New Roman" w:hAnsi="Times New Roman"/>
          <w:color w:val="000080"/>
          <w:sz w:val="36"/>
        </w:rPr>
        <w:t>For</w:t>
      </w:r>
    </w:p>
    <w:p>
      <w:pPr>
        <w:pStyle w:val="Normal"/>
        <w:widowControl/>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pPr>
      <w:r>
        <w:rPr>
          <w:rFonts w:cs="Times New Roman" w:ascii="Times New Roman" w:hAnsi="Times New Roman"/>
          <w:color w:val="000080"/>
          <w:sz w:val="36"/>
        </w:rPr>
        <w:t>Direct FuelCell</w:t>
      </w:r>
      <w:r>
        <w:rPr>
          <w:rFonts w:cs="Times New Roman" w:ascii="Times New Roman" w:hAnsi="Times New Roman"/>
          <w:color w:val="000080"/>
          <w:sz w:val="36"/>
          <w:vertAlign w:val="superscript"/>
        </w:rPr>
        <w:t>®</w:t>
      </w:r>
      <w:r>
        <w:rPr>
          <w:rFonts w:cs="Times New Roman" w:ascii="Times New Roman" w:hAnsi="Times New Roman"/>
          <w:color w:val="000080"/>
          <w:sz w:val="36"/>
        </w:rPr>
        <w:t xml:space="preserve"> Power 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color w:val="000080"/>
          <w:sz w:val="36"/>
        </w:rPr>
      </w:pPr>
      <w:r>
        <w:rPr>
          <w:rFonts w:cs="Times New Roman" w:ascii="Times New Roman" w:hAnsi="Times New Roman"/>
          <w:color w:val="000080"/>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color w:val="000080"/>
          <w:sz w:val="22"/>
        </w:rPr>
      </w:pPr>
      <w:r>
        <w:rPr>
          <w:rFonts w:cs="Times New Roman" w:ascii="Times New Roman" w:hAnsi="Times New Roman"/>
          <w:color w:val="000080"/>
          <w:sz w:val="22"/>
        </w:rPr>
      </w:r>
    </w:p>
    <w:p>
      <w:pPr>
        <w:pStyle w:val="Normal"/>
        <w:widowControl/>
        <w:ind w:start="-360" w:end="-360"/>
        <w:jc w:val="center"/>
        <w:rPr>
          <w:rFonts w:ascii="Times New Roman" w:hAnsi="Times New Roman" w:cs="Times New Roman"/>
          <w:b/>
          <w:color w:val="000080"/>
          <w:sz w:val="22"/>
        </w:rPr>
      </w:pPr>
      <w:r>
        <w:rPr>
          <w:rFonts w:cs="Times New Roman" w:ascii="Times New Roman" w:hAnsi="Times New Roman"/>
          <w:b/>
          <w:color w:val="000080"/>
          <w:sz w:val="22"/>
        </w:rPr>
        <w:t>TABLE OF CONTENTS</w:t>
      </w:r>
    </w:p>
    <w:p>
      <w:pPr>
        <w:pStyle w:val="Normal"/>
        <w:widowControl/>
        <w:ind w:start="-360" w:end="-360"/>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ind w:start="-360" w:end="-360"/>
        <w:jc w:val="both"/>
        <w:rPr>
          <w:rFonts w:ascii="Times New Roman" w:hAnsi="Times New Roman" w:cs="Times New Roman"/>
          <w:b/>
          <w:color w:val="000080"/>
          <w:sz w:val="22"/>
        </w:rPr>
      </w:pPr>
      <w:r>
        <w:rPr>
          <w:rFonts w:cs="Times New Roman" w:ascii="Times New Roman" w:hAnsi="Times New Roman"/>
          <w:b/>
          <w:color w:val="000080"/>
          <w:sz w:val="22"/>
        </w:rPr>
      </w:r>
    </w:p>
    <w:sdt>
      <w:sdtPr>
        <w:docPartObj>
          <w:docPartGallery w:val="Table of Contents"/>
          <w:docPartUnique w:val="true"/>
        </w:docPartObj>
      </w:sdtPr>
      <w:sdtContent>
        <w:p>
          <w:pPr>
            <w:pStyle w:val="TOC1"/>
            <w:rPr>
              <w:rFonts w:ascii="Times New Roman" w:hAnsi="Times New Roman" w:cs="Times New Roman"/>
              <w:sz w:val="24"/>
              <w:szCs w:val="24"/>
            </w:rPr>
          </w:pPr>
          <w:r>
            <w:fldChar w:fldCharType="begin"/>
          </w:r>
          <w:r>
            <w:rPr>
              <w:sz w:val="22"/>
              <w:szCs w:val="24"/>
              <w:rFonts w:cs="Times New Roman" w:ascii="Times New Roman" w:hAnsi="Times New Roman"/>
              <w:color w:val="000080"/>
            </w:rPr>
            <w:instrText xml:space="preserve"> TOC \o "1-3" \f </w:instrText>
          </w:r>
          <w:r>
            <w:rPr>
              <w:sz w:val="22"/>
              <w:szCs w:val="24"/>
              <w:rFonts w:cs="Times New Roman" w:ascii="Times New Roman" w:hAnsi="Times New Roman"/>
              <w:color w:val="000080"/>
            </w:rPr>
            <w:fldChar w:fldCharType="separate"/>
          </w:r>
          <w:r>
            <w:rPr>
              <w:rFonts w:cs="Times New Roman" w:ascii="Times New Roman" w:hAnsi="Times New Roman"/>
              <w:color w:val="000080"/>
              <w:sz w:val="22"/>
              <w:szCs w:val="24"/>
            </w:rPr>
            <w:t xml:space="preserve">ARTICLE I.  </w:t>
          </w:r>
          <w:r>
            <w:rPr>
              <w:rFonts w:cs="Times New Roman" w:ascii="Times New Roman" w:hAnsi="Times New Roman"/>
              <w:color w:val="000080"/>
              <w:sz w:val="22"/>
              <w:szCs w:val="24"/>
              <w:u w:val="single"/>
            </w:rPr>
            <w:t>DEFINITIONS</w:t>
          </w:r>
          <w:r>
            <w:rPr/>
            <w:tab/>
          </w:r>
          <w:hyperlink w:anchor="__RefHeading___Toc498441711">
            <w:r>
              <w:rPr>
                <w:rStyle w:val="IndexLink"/>
              </w:rPr>
              <w:t>8</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II.  </w:t>
          </w:r>
          <w:r>
            <w:rPr>
              <w:rFonts w:cs="Times New Roman" w:ascii="Times New Roman" w:hAnsi="Times New Roman"/>
              <w:color w:val="000080"/>
              <w:sz w:val="22"/>
              <w:szCs w:val="24"/>
              <w:u w:val="single"/>
            </w:rPr>
            <w:t>RESPONSIBILITIES OF PURCHASER</w:t>
          </w:r>
          <w:r>
            <w:rPr/>
            <w:tab/>
          </w:r>
          <w:hyperlink w:anchor="__RefHeading___Toc498441712">
            <w:r>
              <w:rPr>
                <w:rStyle w:val="IndexLink"/>
              </w:rPr>
              <w:t>13</w:t>
            </w:r>
          </w:hyperlink>
        </w:p>
        <w:p>
          <w:pPr>
            <w:pStyle w:val="TOC2"/>
            <w:rPr/>
          </w:pPr>
          <w:r>
            <w:rPr>
              <w:color w:val="000080"/>
              <w:sz w:val="22"/>
            </w:rPr>
            <w:t>2.1</w:t>
          </w:r>
          <w:r>
            <w:rPr/>
            <w:tab/>
          </w:r>
          <w:r>
            <w:rPr>
              <w:color w:val="000080"/>
              <w:sz w:val="22"/>
              <w:u w:val="single"/>
            </w:rPr>
            <w:t>Purchaser Responsibilities</w:t>
          </w:r>
          <w:r>
            <w:rPr/>
            <w:tab/>
          </w:r>
          <w:hyperlink w:anchor="__RefHeading___Toc498441713">
            <w:r>
              <w:rPr>
                <w:rStyle w:val="IndexLink"/>
              </w:rPr>
              <w:t>13</w:t>
            </w:r>
          </w:hyperlink>
        </w:p>
        <w:p>
          <w:pPr>
            <w:pStyle w:val="TOC2"/>
            <w:rPr/>
          </w:pPr>
          <w:r>
            <w:rPr>
              <w:color w:val="000080"/>
              <w:sz w:val="22"/>
            </w:rPr>
            <w:t>2.2</w:t>
          </w:r>
          <w:r>
            <w:rPr/>
            <w:tab/>
          </w:r>
          <w:r>
            <w:rPr>
              <w:color w:val="000080"/>
              <w:sz w:val="22"/>
              <w:u w:val="single"/>
            </w:rPr>
            <w:t>Compliance with Governmental Rules</w:t>
          </w:r>
          <w:r>
            <w:rPr/>
            <w:tab/>
          </w:r>
          <w:hyperlink w:anchor="__RefHeading___Toc498441714">
            <w:r>
              <w:rPr>
                <w:rStyle w:val="IndexLink"/>
              </w:rPr>
              <w:t>13</w:t>
            </w:r>
          </w:hyperlink>
        </w:p>
        <w:p>
          <w:pPr>
            <w:pStyle w:val="TOC2"/>
            <w:rPr/>
          </w:pPr>
          <w:r>
            <w:rPr>
              <w:color w:val="000080"/>
              <w:sz w:val="22"/>
            </w:rPr>
            <w:t>2.3</w:t>
          </w:r>
          <w:r>
            <w:rPr/>
            <w:tab/>
          </w:r>
          <w:r>
            <w:rPr>
              <w:color w:val="000080"/>
              <w:sz w:val="22"/>
              <w:u w:val="single"/>
            </w:rPr>
            <w:t>Unit Interiors</w:t>
          </w:r>
          <w:r>
            <w:rPr/>
            <w:tab/>
          </w:r>
          <w:hyperlink w:anchor="__RefHeading___Toc498441715">
            <w:r>
              <w:rPr>
                <w:rStyle w:val="IndexLink"/>
              </w:rPr>
              <w:t>14</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III.  </w:t>
          </w:r>
          <w:r>
            <w:rPr>
              <w:rFonts w:cs="Times New Roman" w:ascii="Times New Roman" w:hAnsi="Times New Roman"/>
              <w:color w:val="000080"/>
              <w:sz w:val="22"/>
              <w:szCs w:val="24"/>
              <w:u w:val="single"/>
            </w:rPr>
            <w:t>RESPONSIBILITIES OF SELLER</w:t>
          </w:r>
          <w:r>
            <w:rPr/>
            <w:tab/>
          </w:r>
          <w:hyperlink w:anchor="__RefHeading___Toc498441716">
            <w:r>
              <w:rPr>
                <w:rStyle w:val="IndexLink"/>
              </w:rPr>
              <w:t>15</w:t>
            </w:r>
          </w:hyperlink>
        </w:p>
        <w:p>
          <w:pPr>
            <w:pStyle w:val="TOC2"/>
            <w:rPr/>
          </w:pPr>
          <w:r>
            <w:rPr>
              <w:color w:val="000080"/>
              <w:sz w:val="22"/>
            </w:rPr>
            <w:t>3.1</w:t>
          </w:r>
          <w:r>
            <w:rPr/>
            <w:tab/>
          </w:r>
          <w:r>
            <w:rPr>
              <w:color w:val="000080"/>
              <w:sz w:val="22"/>
              <w:u w:val="single"/>
            </w:rPr>
            <w:t>General Obligations</w:t>
          </w:r>
          <w:r>
            <w:rPr/>
            <w:tab/>
          </w:r>
          <w:hyperlink w:anchor="__RefHeading___Toc498441717">
            <w:r>
              <w:rPr>
                <w:rStyle w:val="IndexLink"/>
              </w:rPr>
              <w:t>15</w:t>
            </w:r>
          </w:hyperlink>
        </w:p>
        <w:p>
          <w:pPr>
            <w:pStyle w:val="TOC2"/>
            <w:rPr/>
          </w:pPr>
          <w:r>
            <w:rPr>
              <w:color w:val="000080"/>
              <w:sz w:val="22"/>
            </w:rPr>
            <w:t>3.2</w:t>
          </w:r>
          <w:r>
            <w:rPr/>
            <w:tab/>
          </w:r>
          <w:r>
            <w:rPr>
              <w:color w:val="000080"/>
              <w:sz w:val="22"/>
              <w:u w:val="single"/>
            </w:rPr>
            <w:t>Delivery of Equipment and Documentation</w:t>
          </w:r>
          <w:r>
            <w:rPr/>
            <w:tab/>
          </w:r>
          <w:hyperlink w:anchor="__RefHeading___Toc498441718">
            <w:r>
              <w:rPr>
                <w:rStyle w:val="IndexLink"/>
              </w:rPr>
              <w:t>15</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3.2.1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Delivery to Delivery Point</w:t>
          </w:r>
          <w:r>
            <w:rPr>
              <w:lang w:val="en-CA" w:eastAsia="en-CA"/>
            </w:rPr>
            <w:tab/>
          </w:r>
          <w:hyperlink w:anchor="__RefHeading___Toc498441719">
            <w:r>
              <w:rPr>
                <w:rStyle w:val="IndexLink"/>
                <w:lang w:val="en-CA" w:eastAsia="en-CA"/>
              </w:rPr>
              <w:t>15</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3.2.2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Installation Services</w:t>
          </w:r>
          <w:r>
            <w:rPr>
              <w:lang w:val="en-CA" w:eastAsia="en-CA"/>
            </w:rPr>
            <w:tab/>
          </w:r>
          <w:hyperlink w:anchor="__RefHeading___Toc498441720">
            <w:r>
              <w:rPr>
                <w:rStyle w:val="IndexLink"/>
                <w:lang w:val="en-CA" w:eastAsia="en-CA"/>
              </w:rPr>
              <w:t>15</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3.2.3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Maximize Assembly</w:t>
          </w:r>
          <w:r>
            <w:rPr>
              <w:lang w:val="en-CA" w:eastAsia="en-CA"/>
            </w:rPr>
            <w:tab/>
          </w:r>
          <w:hyperlink w:anchor="__RefHeading___Toc498441721">
            <w:r>
              <w:rPr>
                <w:rStyle w:val="IndexLink"/>
                <w:lang w:val="en-CA" w:eastAsia="en-CA"/>
              </w:rPr>
              <w:t>15</w:t>
            </w:r>
          </w:hyperlink>
        </w:p>
        <w:p>
          <w:pPr>
            <w:pStyle w:val="TOC2"/>
            <w:rPr/>
          </w:pPr>
          <w:r>
            <w:rPr>
              <w:color w:val="000080"/>
              <w:sz w:val="22"/>
            </w:rPr>
            <w:t>3.3</w:t>
          </w:r>
          <w:r>
            <w:rPr/>
            <w:tab/>
          </w:r>
          <w:r>
            <w:rPr>
              <w:color w:val="000080"/>
              <w:sz w:val="22"/>
              <w:u w:val="single"/>
            </w:rPr>
            <w:t>Relevant Information</w:t>
          </w:r>
          <w:r>
            <w:rPr/>
            <w:tab/>
          </w:r>
          <w:hyperlink w:anchor="__RefHeading___Toc498441722">
            <w:r>
              <w:rPr>
                <w:rStyle w:val="IndexLink"/>
              </w:rPr>
              <w:t>15</w:t>
            </w:r>
          </w:hyperlink>
        </w:p>
        <w:p>
          <w:pPr>
            <w:pStyle w:val="TOC2"/>
            <w:rPr/>
          </w:pPr>
          <w:r>
            <w:rPr>
              <w:color w:val="000080"/>
              <w:sz w:val="22"/>
            </w:rPr>
            <w:t>3.4</w:t>
          </w:r>
          <w:r>
            <w:rPr/>
            <w:tab/>
          </w:r>
          <w:r>
            <w:rPr>
              <w:color w:val="000080"/>
              <w:sz w:val="22"/>
              <w:u w:val="single"/>
            </w:rPr>
            <w:t>Hazardous Materials</w:t>
          </w:r>
          <w:r>
            <w:rPr/>
            <w:tab/>
          </w:r>
          <w:hyperlink w:anchor="__RefHeading___Toc498441723">
            <w:r>
              <w:rPr>
                <w:rStyle w:val="IndexLink"/>
              </w:rPr>
              <w:t>16</w:t>
            </w:r>
          </w:hyperlink>
        </w:p>
        <w:p>
          <w:pPr>
            <w:pStyle w:val="TOC2"/>
            <w:rPr/>
          </w:pPr>
          <w:r>
            <w:rPr>
              <w:color w:val="000080"/>
              <w:sz w:val="22"/>
            </w:rPr>
            <w:t>3.5</w:t>
          </w:r>
          <w:r>
            <w:rPr/>
            <w:tab/>
          </w:r>
          <w:r>
            <w:rPr>
              <w:color w:val="000080"/>
              <w:sz w:val="22"/>
              <w:u w:val="single"/>
            </w:rPr>
            <w:t>Employment of Licensed Personnel</w:t>
          </w:r>
          <w:r>
            <w:rPr/>
            <w:tab/>
          </w:r>
          <w:hyperlink w:anchor="__RefHeading___Toc498441724">
            <w:r>
              <w:rPr>
                <w:rStyle w:val="IndexLink"/>
              </w:rPr>
              <w:t>16</w:t>
            </w:r>
          </w:hyperlink>
        </w:p>
        <w:p>
          <w:pPr>
            <w:pStyle w:val="TOC2"/>
            <w:rPr/>
          </w:pPr>
          <w:r>
            <w:rPr>
              <w:color w:val="000080"/>
              <w:sz w:val="22"/>
            </w:rPr>
            <w:t>3.6</w:t>
          </w:r>
          <w:r>
            <w:rPr/>
            <w:tab/>
          </w:r>
          <w:r>
            <w:rPr>
              <w:color w:val="000080"/>
              <w:sz w:val="22"/>
              <w:u w:val="single"/>
            </w:rPr>
            <w:t>Customs Clearance</w:t>
          </w:r>
          <w:r>
            <w:rPr/>
            <w:tab/>
          </w:r>
          <w:hyperlink w:anchor="__RefHeading___Toc498441725">
            <w:r>
              <w:rPr>
                <w:rStyle w:val="IndexLink"/>
              </w:rPr>
              <w:t>16</w:t>
            </w:r>
          </w:hyperlink>
        </w:p>
        <w:p>
          <w:pPr>
            <w:pStyle w:val="TOC2"/>
            <w:rPr/>
          </w:pPr>
          <w:r>
            <w:rPr>
              <w:color w:val="000080"/>
              <w:sz w:val="22"/>
            </w:rPr>
            <w:t>3.7</w:t>
          </w:r>
          <w:r>
            <w:rPr/>
            <w:tab/>
          </w:r>
          <w:r>
            <w:rPr>
              <w:color w:val="000080"/>
              <w:sz w:val="22"/>
              <w:u w:val="single"/>
            </w:rPr>
            <w:t>Compliance with Governmental Rules</w:t>
          </w:r>
          <w:r>
            <w:rPr/>
            <w:tab/>
          </w:r>
          <w:hyperlink w:anchor="__RefHeading___Toc498441726">
            <w:r>
              <w:rPr>
                <w:rStyle w:val="IndexLink"/>
              </w:rPr>
              <w:t>16</w:t>
            </w:r>
          </w:hyperlink>
        </w:p>
        <w:p>
          <w:pPr>
            <w:pStyle w:val="TOC2"/>
            <w:rPr/>
          </w:pPr>
          <w:r>
            <w:rPr>
              <w:color w:val="000080"/>
              <w:sz w:val="22"/>
            </w:rPr>
            <w:t>3.8</w:t>
          </w:r>
          <w:r>
            <w:rPr/>
            <w:tab/>
          </w:r>
          <w:r>
            <w:rPr>
              <w:color w:val="000080"/>
              <w:sz w:val="22"/>
              <w:u w:val="single"/>
            </w:rPr>
            <w:t>Purchaser Review of Vendors</w:t>
          </w:r>
          <w:r>
            <w:rPr/>
            <w:tab/>
          </w:r>
          <w:hyperlink w:anchor="__RefHeading___Toc498441727">
            <w:r>
              <w:rPr>
                <w:rStyle w:val="IndexLink"/>
              </w:rPr>
              <w:t>18</w:t>
            </w:r>
          </w:hyperlink>
        </w:p>
        <w:p>
          <w:pPr>
            <w:pStyle w:val="TOC2"/>
            <w:rPr/>
          </w:pPr>
          <w:r>
            <w:rPr>
              <w:color w:val="000080"/>
              <w:sz w:val="22"/>
            </w:rPr>
            <w:t>3.9</w:t>
          </w:r>
          <w:r>
            <w:rPr/>
            <w:tab/>
          </w:r>
          <w:r>
            <w:rPr>
              <w:color w:val="000080"/>
              <w:sz w:val="22"/>
              <w:u w:val="single"/>
            </w:rPr>
            <w:t>Financing Assistance</w:t>
          </w:r>
          <w:r>
            <w:rPr/>
            <w:tab/>
          </w:r>
          <w:hyperlink w:anchor="__RefHeading___Toc498441728">
            <w:r>
              <w:rPr>
                <w:rStyle w:val="IndexLink"/>
              </w:rPr>
              <w:t>18</w:t>
            </w:r>
          </w:hyperlink>
        </w:p>
        <w:p>
          <w:pPr>
            <w:pStyle w:val="TOC2"/>
            <w:rPr/>
          </w:pPr>
          <w:r>
            <w:rPr>
              <w:color w:val="000080"/>
              <w:sz w:val="22"/>
            </w:rPr>
            <w:t>3.10</w:t>
          </w:r>
          <w:r>
            <w:rPr/>
            <w:tab/>
          </w:r>
          <w:r>
            <w:rPr>
              <w:color w:val="000080"/>
              <w:sz w:val="22"/>
              <w:u w:val="single"/>
            </w:rPr>
            <w:t>Purchaser Permit Support</w:t>
          </w:r>
          <w:r>
            <w:rPr/>
            <w:tab/>
          </w:r>
          <w:hyperlink w:anchor="__RefHeading___Toc498441729">
            <w:r>
              <w:rPr>
                <w:rStyle w:val="IndexLink"/>
              </w:rPr>
              <w:t>18</w:t>
            </w:r>
          </w:hyperlink>
        </w:p>
        <w:p>
          <w:pPr>
            <w:pStyle w:val="TOC2"/>
            <w:rPr/>
          </w:pPr>
          <w:r>
            <w:rPr>
              <w:color w:val="000080"/>
              <w:sz w:val="22"/>
            </w:rPr>
            <w:t>3.11</w:t>
          </w:r>
          <w:r>
            <w:rPr/>
            <w:tab/>
          </w:r>
          <w:r>
            <w:rPr>
              <w:color w:val="000080"/>
              <w:sz w:val="22"/>
              <w:u w:val="single"/>
            </w:rPr>
            <w:t>Spare Parts</w:t>
          </w:r>
          <w:r>
            <w:rPr/>
            <w:tab/>
          </w:r>
          <w:hyperlink w:anchor="__RefHeading___Toc498441730">
            <w:r>
              <w:rPr>
                <w:rStyle w:val="IndexLink"/>
              </w:rPr>
              <w:t>19</w:t>
            </w:r>
          </w:hyperlink>
        </w:p>
        <w:p>
          <w:pPr>
            <w:pStyle w:val="TOC2"/>
            <w:rPr/>
          </w:pPr>
          <w:r>
            <w:rPr>
              <w:color w:val="000080"/>
              <w:sz w:val="22"/>
            </w:rPr>
            <w:t>3.12</w:t>
          </w:r>
          <w:r>
            <w:rPr/>
            <w:tab/>
          </w:r>
          <w:r>
            <w:rPr>
              <w:color w:val="000080"/>
              <w:sz w:val="22"/>
              <w:u w:val="single"/>
            </w:rPr>
            <w:t>Key Personnel</w:t>
          </w:r>
          <w:r>
            <w:rPr/>
            <w:tab/>
          </w:r>
          <w:hyperlink w:anchor="__RefHeading___Toc498441731">
            <w:r>
              <w:rPr>
                <w:rStyle w:val="IndexLink"/>
              </w:rPr>
              <w:t>19</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IV.  </w:t>
          </w:r>
          <w:r>
            <w:rPr>
              <w:rFonts w:cs="Times New Roman" w:ascii="Times New Roman" w:hAnsi="Times New Roman"/>
              <w:color w:val="000080"/>
              <w:sz w:val="22"/>
              <w:szCs w:val="24"/>
              <w:u w:val="single"/>
            </w:rPr>
            <w:t>REPRESENTATIONS AND WARRANTIES</w:t>
          </w:r>
          <w:r>
            <w:rPr/>
            <w:tab/>
          </w:r>
          <w:hyperlink w:anchor="__RefHeading___Toc498441732">
            <w:r>
              <w:rPr>
                <w:rStyle w:val="IndexLink"/>
              </w:rPr>
              <w:t>20</w:t>
            </w:r>
          </w:hyperlink>
        </w:p>
        <w:p>
          <w:pPr>
            <w:pStyle w:val="TOC2"/>
            <w:rPr/>
          </w:pPr>
          <w:r>
            <w:rPr>
              <w:color w:val="000080"/>
              <w:sz w:val="22"/>
            </w:rPr>
            <w:t>4.1</w:t>
          </w:r>
          <w:r>
            <w:rPr/>
            <w:tab/>
          </w:r>
          <w:r>
            <w:rPr>
              <w:color w:val="000080"/>
              <w:sz w:val="22"/>
              <w:u w:val="single"/>
            </w:rPr>
            <w:t>Representations and Warranties of Purchaser</w:t>
          </w:r>
          <w:r>
            <w:rPr/>
            <w:tab/>
          </w:r>
          <w:hyperlink w:anchor="__RefHeading___Toc498441733">
            <w:r>
              <w:rPr>
                <w:rStyle w:val="IndexLink"/>
              </w:rPr>
              <w:t>20</w:t>
            </w:r>
          </w:hyperlink>
        </w:p>
        <w:p>
          <w:pPr>
            <w:pStyle w:val="TOC2"/>
            <w:rPr/>
          </w:pPr>
          <w:r>
            <w:rPr>
              <w:color w:val="000080"/>
              <w:sz w:val="22"/>
            </w:rPr>
            <w:t>4.2</w:t>
          </w:r>
          <w:r>
            <w:rPr/>
            <w:tab/>
          </w:r>
          <w:r>
            <w:rPr>
              <w:color w:val="000080"/>
              <w:sz w:val="22"/>
              <w:u w:val="single"/>
            </w:rPr>
            <w:t>Purchaser Supplied Information</w:t>
          </w:r>
          <w:r>
            <w:rPr/>
            <w:tab/>
          </w:r>
          <w:hyperlink w:anchor="__RefHeading___Toc498441734">
            <w:r>
              <w:rPr>
                <w:rStyle w:val="IndexLink"/>
              </w:rPr>
              <w:t>20</w:t>
            </w:r>
          </w:hyperlink>
        </w:p>
        <w:p>
          <w:pPr>
            <w:pStyle w:val="TOC2"/>
            <w:rPr/>
          </w:pPr>
          <w:r>
            <w:rPr>
              <w:color w:val="000080"/>
              <w:sz w:val="22"/>
            </w:rPr>
            <w:t>4.3</w:t>
          </w:r>
          <w:r>
            <w:rPr/>
            <w:tab/>
          </w:r>
          <w:r>
            <w:rPr>
              <w:color w:val="000080"/>
              <w:sz w:val="22"/>
              <w:u w:val="single"/>
            </w:rPr>
            <w:t>Representations and Warranties of Seller</w:t>
          </w:r>
          <w:r>
            <w:rPr/>
            <w:tab/>
          </w:r>
          <w:hyperlink w:anchor="__RefHeading___Toc498441735">
            <w:r>
              <w:rPr>
                <w:rStyle w:val="IndexLink"/>
              </w:rPr>
              <w:t>20</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V.  </w:t>
          </w:r>
          <w:r>
            <w:rPr>
              <w:rFonts w:cs="Times New Roman" w:ascii="Times New Roman" w:hAnsi="Times New Roman"/>
              <w:color w:val="000080"/>
              <w:sz w:val="22"/>
              <w:szCs w:val="24"/>
              <w:u w:val="single"/>
            </w:rPr>
            <w:t>PURCHASE AMOUNT AND OTHER CHARGES</w:t>
          </w:r>
          <w:r>
            <w:rPr/>
            <w:tab/>
          </w:r>
          <w:hyperlink w:anchor="__RefHeading___Toc498441736">
            <w:r>
              <w:rPr>
                <w:rStyle w:val="IndexLink"/>
              </w:rPr>
              <w:t>23</w:t>
            </w:r>
          </w:hyperlink>
        </w:p>
        <w:p>
          <w:pPr>
            <w:pStyle w:val="TOC2"/>
            <w:rPr/>
          </w:pPr>
          <w:r>
            <w:rPr>
              <w:color w:val="000080"/>
              <w:sz w:val="22"/>
            </w:rPr>
            <w:t>5.1</w:t>
          </w:r>
          <w:r>
            <w:rPr/>
            <w:tab/>
          </w:r>
          <w:r>
            <w:rPr>
              <w:color w:val="000080"/>
              <w:sz w:val="22"/>
              <w:u w:val="single"/>
            </w:rPr>
            <w:t>Purchase Amount</w:t>
          </w:r>
          <w:r>
            <w:rPr/>
            <w:tab/>
          </w:r>
          <w:hyperlink w:anchor="__RefHeading___Toc498441737">
            <w:r>
              <w:rPr>
                <w:rStyle w:val="IndexLink"/>
              </w:rPr>
              <w:t>23</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5.1.1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Purchase Amount</w:t>
          </w:r>
          <w:r>
            <w:rPr>
              <w:lang w:val="en-CA" w:eastAsia="en-CA"/>
            </w:rPr>
            <w:tab/>
          </w:r>
          <w:hyperlink w:anchor="__RefHeading___Toc498441738">
            <w:r>
              <w:rPr>
                <w:rStyle w:val="IndexLink"/>
                <w:lang w:val="en-CA" w:eastAsia="en-CA"/>
              </w:rPr>
              <w:t>23</w:t>
            </w:r>
          </w:hyperlink>
        </w:p>
        <w:p>
          <w:pPr>
            <w:pStyle w:val="TOC2"/>
            <w:rPr/>
          </w:pPr>
          <w:r>
            <w:rPr>
              <w:color w:val="000080"/>
              <w:sz w:val="22"/>
            </w:rPr>
            <w:t>5.2</w:t>
          </w:r>
          <w:r>
            <w:rPr/>
            <w:tab/>
          </w:r>
          <w:r>
            <w:rPr>
              <w:color w:val="000080"/>
              <w:sz w:val="22"/>
              <w:u w:val="single"/>
            </w:rPr>
            <w:t>Taxes and Contributions</w:t>
          </w:r>
          <w:r>
            <w:rPr/>
            <w:tab/>
          </w:r>
          <w:hyperlink w:anchor="__RefHeading___Toc498441739">
            <w:r>
              <w:rPr>
                <w:rStyle w:val="IndexLink"/>
              </w:rPr>
              <w:t>23</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5.2.1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Seller’s Responsibility for Personnel Taxes</w:t>
          </w:r>
          <w:r>
            <w:rPr>
              <w:lang w:val="en-CA" w:eastAsia="en-CA"/>
            </w:rPr>
            <w:tab/>
          </w:r>
          <w:hyperlink w:anchor="__RefHeading___Toc498441740">
            <w:r>
              <w:rPr>
                <w:rStyle w:val="IndexLink"/>
                <w:lang w:val="en-CA" w:eastAsia="en-CA"/>
              </w:rPr>
              <w:t>23</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5.2.2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Seller’s Responsibility for Taxes</w:t>
          </w:r>
          <w:r>
            <w:rPr>
              <w:lang w:val="en-CA" w:eastAsia="en-CA"/>
            </w:rPr>
            <w:tab/>
          </w:r>
          <w:hyperlink w:anchor="__RefHeading___Toc498441741">
            <w:r>
              <w:rPr>
                <w:rStyle w:val="IndexLink"/>
                <w:lang w:val="en-CA" w:eastAsia="en-CA"/>
              </w:rPr>
              <w:t>23</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5.2.3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Tax Penalties</w:t>
          </w:r>
          <w:r>
            <w:rPr>
              <w:lang w:val="en-CA" w:eastAsia="en-CA"/>
            </w:rPr>
            <w:tab/>
          </w:r>
          <w:hyperlink w:anchor="__RefHeading___Toc498441742">
            <w:r>
              <w:rPr>
                <w:rStyle w:val="IndexLink"/>
                <w:lang w:val="en-CA" w:eastAsia="en-CA"/>
              </w:rPr>
              <w:t>23</w:t>
            </w:r>
          </w:hyperlink>
        </w:p>
        <w:p>
          <w:pPr>
            <w:pStyle w:val="TOC2"/>
            <w:rPr/>
          </w:pPr>
          <w:r>
            <w:rPr>
              <w:color w:val="000080"/>
              <w:sz w:val="22"/>
            </w:rPr>
            <w:t>5.3</w:t>
          </w:r>
          <w:r>
            <w:rPr/>
            <w:tab/>
          </w:r>
          <w:r>
            <w:rPr>
              <w:color w:val="000080"/>
              <w:sz w:val="22"/>
              <w:u w:val="single"/>
            </w:rPr>
            <w:t>Increases to the Purchase Amount</w:t>
          </w:r>
          <w:r>
            <w:rPr/>
            <w:tab/>
          </w:r>
          <w:hyperlink w:anchor="__RefHeading___Toc498441743">
            <w:r>
              <w:rPr>
                <w:rStyle w:val="IndexLink"/>
              </w:rPr>
              <w:t>23</w:t>
            </w:r>
          </w:hyperlink>
        </w:p>
        <w:p>
          <w:pPr>
            <w:pStyle w:val="TOC2"/>
            <w:rPr/>
          </w:pPr>
          <w:r>
            <w:rPr>
              <w:color w:val="000080"/>
              <w:sz w:val="22"/>
            </w:rPr>
            <w:t>5.4</w:t>
          </w:r>
          <w:r>
            <w:rPr/>
            <w:tab/>
          </w:r>
          <w:r>
            <w:rPr>
              <w:color w:val="000080"/>
              <w:sz w:val="22"/>
              <w:u w:val="single"/>
            </w:rPr>
            <w:t>Termination</w:t>
          </w:r>
          <w:r>
            <w:rPr/>
            <w:tab/>
          </w:r>
          <w:hyperlink w:anchor="__RefHeading___Toc498441744">
            <w:r>
              <w:rPr>
                <w:rStyle w:val="IndexLink"/>
              </w:rPr>
              <w:t>24</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VI.  </w:t>
          </w:r>
          <w:r>
            <w:rPr>
              <w:rFonts w:cs="Times New Roman" w:ascii="Times New Roman" w:hAnsi="Times New Roman"/>
              <w:color w:val="000080"/>
              <w:sz w:val="22"/>
              <w:szCs w:val="24"/>
              <w:u w:val="single"/>
            </w:rPr>
            <w:t>PAYMENT TERMS</w:t>
          </w:r>
          <w:r>
            <w:rPr/>
            <w:tab/>
          </w:r>
          <w:hyperlink w:anchor="__RefHeading___Toc498441745">
            <w:r>
              <w:rPr>
                <w:rStyle w:val="IndexLink"/>
              </w:rPr>
              <w:t>25</w:t>
            </w:r>
          </w:hyperlink>
        </w:p>
        <w:p>
          <w:pPr>
            <w:pStyle w:val="TOC2"/>
            <w:rPr/>
          </w:pPr>
          <w:r>
            <w:rPr>
              <w:color w:val="000080"/>
              <w:sz w:val="22"/>
            </w:rPr>
            <w:t>6.1</w:t>
          </w:r>
          <w:r>
            <w:rPr/>
            <w:tab/>
          </w:r>
          <w:r>
            <w:rPr>
              <w:color w:val="000080"/>
              <w:sz w:val="22"/>
              <w:u w:val="single"/>
            </w:rPr>
            <w:t>Payment of Purchase Amount</w:t>
          </w:r>
          <w:r>
            <w:rPr/>
            <w:tab/>
          </w:r>
          <w:hyperlink w:anchor="__RefHeading___Toc498441746">
            <w:r>
              <w:rPr>
                <w:rStyle w:val="IndexLink"/>
              </w:rPr>
              <w:t>25</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6.1.1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Payment</w:t>
          </w:r>
          <w:r>
            <w:rPr>
              <w:lang w:val="en-CA" w:eastAsia="en-CA"/>
            </w:rPr>
            <w:tab/>
          </w:r>
          <w:hyperlink w:anchor="__RefHeading___Toc498441747">
            <w:r>
              <w:rPr>
                <w:rStyle w:val="IndexLink"/>
                <w:lang w:val="en-CA" w:eastAsia="en-CA"/>
              </w:rPr>
              <w:t>25</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6.1.2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Payment for Spare Parts</w:t>
          </w:r>
          <w:r>
            <w:rPr>
              <w:lang w:val="en-CA" w:eastAsia="en-CA"/>
            </w:rPr>
            <w:tab/>
          </w:r>
          <w:hyperlink w:anchor="__RefHeading___Toc498441748">
            <w:r>
              <w:rPr>
                <w:rStyle w:val="IndexLink"/>
                <w:lang w:val="en-CA" w:eastAsia="en-CA"/>
              </w:rPr>
              <w:t>25</w:t>
            </w:r>
          </w:hyperlink>
        </w:p>
        <w:p>
          <w:pPr>
            <w:pStyle w:val="TOC2"/>
            <w:rPr/>
          </w:pPr>
          <w:r>
            <w:rPr>
              <w:color w:val="000080"/>
              <w:sz w:val="22"/>
            </w:rPr>
            <w:t>6.2</w:t>
          </w:r>
          <w:r>
            <w:rPr/>
            <w:tab/>
          </w:r>
          <w:r>
            <w:rPr>
              <w:color w:val="000080"/>
              <w:sz w:val="22"/>
              <w:u w:val="single"/>
            </w:rPr>
            <w:t>Payment Disputes</w:t>
          </w:r>
          <w:r>
            <w:rPr/>
            <w:tab/>
          </w:r>
          <w:hyperlink w:anchor="__RefHeading___Toc498441749">
            <w:r>
              <w:rPr>
                <w:rStyle w:val="IndexLink"/>
              </w:rPr>
              <w:t>25</w:t>
            </w:r>
          </w:hyperlink>
        </w:p>
        <w:p>
          <w:pPr>
            <w:pStyle w:val="TOC2"/>
            <w:rPr/>
          </w:pPr>
          <w:r>
            <w:rPr>
              <w:color w:val="000080"/>
              <w:sz w:val="22"/>
            </w:rPr>
            <w:t>6.3</w:t>
          </w:r>
          <w:r>
            <w:rPr/>
            <w:tab/>
          </w:r>
          <w:r>
            <w:rPr>
              <w:color w:val="000080"/>
              <w:sz w:val="22"/>
              <w:u w:val="single"/>
            </w:rPr>
            <w:t>Payment of Vendors</w:t>
          </w:r>
          <w:r>
            <w:rPr/>
            <w:tab/>
          </w:r>
          <w:hyperlink w:anchor="__RefHeading___Toc498441750">
            <w:r>
              <w:rPr>
                <w:rStyle w:val="IndexLink"/>
              </w:rPr>
              <w:t>25</w:t>
            </w:r>
          </w:hyperlink>
        </w:p>
        <w:p>
          <w:pPr>
            <w:pStyle w:val="TOC2"/>
            <w:rPr/>
          </w:pPr>
          <w:r>
            <w:rPr>
              <w:color w:val="000080"/>
              <w:sz w:val="22"/>
            </w:rPr>
            <w:t>6.4</w:t>
          </w:r>
          <w:r>
            <w:rPr/>
            <w:tab/>
          </w:r>
          <w:r>
            <w:rPr>
              <w:color w:val="000080"/>
              <w:sz w:val="22"/>
              <w:u w:val="single"/>
            </w:rPr>
            <w:t>Purchaser Delay; Payment</w:t>
          </w:r>
          <w:r>
            <w:rPr/>
            <w:tab/>
          </w:r>
          <w:hyperlink w:anchor="__RefHeading___Toc498441751">
            <w:r>
              <w:rPr>
                <w:rStyle w:val="IndexLink"/>
              </w:rPr>
              <w:t>25</w:t>
            </w:r>
          </w:hyperlink>
        </w:p>
        <w:p>
          <w:pPr>
            <w:pStyle w:val="TOC2"/>
            <w:rPr/>
          </w:pPr>
          <w:r>
            <w:rPr>
              <w:color w:val="000080"/>
              <w:sz w:val="22"/>
            </w:rPr>
            <w:t>6.5</w:t>
          </w:r>
          <w:r>
            <w:rPr/>
            <w:tab/>
          </w:r>
          <w:r>
            <w:rPr>
              <w:color w:val="000080"/>
              <w:sz w:val="22"/>
              <w:u w:val="single"/>
            </w:rPr>
            <w:t>Notices of Nonpayment</w:t>
          </w:r>
          <w:r>
            <w:rPr/>
            <w:tab/>
          </w:r>
          <w:hyperlink w:anchor="__RefHeading___Toc498441752">
            <w:r>
              <w:rPr>
                <w:rStyle w:val="IndexLink"/>
              </w:rPr>
              <w:t>26</w:t>
            </w:r>
          </w:hyperlink>
        </w:p>
        <w:p>
          <w:pPr>
            <w:pStyle w:val="TOC2"/>
            <w:rPr/>
          </w:pPr>
          <w:r>
            <w:rPr>
              <w:color w:val="000080"/>
              <w:sz w:val="22"/>
            </w:rPr>
            <w:t>6.6</w:t>
          </w:r>
          <w:r>
            <w:rPr/>
            <w:tab/>
          </w:r>
          <w:r>
            <w:rPr>
              <w:color w:val="000080"/>
              <w:sz w:val="22"/>
              <w:u w:val="single"/>
            </w:rPr>
            <w:t>Lien Release</w:t>
          </w:r>
          <w:r>
            <w:rPr/>
            <w:tab/>
          </w:r>
          <w:hyperlink w:anchor="__RefHeading___Toc498441753">
            <w:r>
              <w:rPr>
                <w:rStyle w:val="IndexLink"/>
              </w:rPr>
              <w:t>26</w:t>
            </w:r>
          </w:hyperlink>
        </w:p>
        <w:p>
          <w:pPr>
            <w:pStyle w:val="TOC2"/>
            <w:rPr/>
          </w:pPr>
          <w:r>
            <w:rPr>
              <w:color w:val="000080"/>
              <w:sz w:val="22"/>
            </w:rPr>
            <w:t>6.7</w:t>
          </w:r>
          <w:r>
            <w:rPr/>
            <w:tab/>
          </w:r>
          <w:r>
            <w:rPr>
              <w:color w:val="000080"/>
              <w:sz w:val="22"/>
              <w:u w:val="single"/>
            </w:rPr>
            <w:t>Invoices</w:t>
          </w:r>
          <w:r>
            <w:rPr/>
            <w:tab/>
          </w:r>
          <w:hyperlink w:anchor="__RefHeading___Toc498441754">
            <w:r>
              <w:rPr>
                <w:rStyle w:val="IndexLink"/>
              </w:rPr>
              <w:t>26</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6.7.1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Contract Reference</w:t>
          </w:r>
          <w:r>
            <w:rPr>
              <w:lang w:val="en-CA" w:eastAsia="en-CA"/>
            </w:rPr>
            <w:tab/>
          </w:r>
          <w:hyperlink w:anchor="__RefHeading___Toc498441755">
            <w:r>
              <w:rPr>
                <w:rStyle w:val="IndexLink"/>
                <w:lang w:val="en-CA" w:eastAsia="en-CA"/>
              </w:rPr>
              <w:t>26</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6.7.2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Address for Invoices</w:t>
          </w:r>
          <w:r>
            <w:rPr>
              <w:lang w:val="en-CA" w:eastAsia="en-CA"/>
            </w:rPr>
            <w:tab/>
          </w:r>
          <w:hyperlink w:anchor="__RefHeading___Toc498441756">
            <w:r>
              <w:rPr>
                <w:rStyle w:val="IndexLink"/>
                <w:lang w:val="en-CA" w:eastAsia="en-CA"/>
              </w:rPr>
              <w:t>26</w:t>
            </w:r>
          </w:hyperlink>
        </w:p>
        <w:p>
          <w:pPr>
            <w:pStyle w:val="TOC3"/>
            <w:tabs>
              <w:tab w:val="clear" w:pos="720"/>
              <w:tab w:val="left" w:pos="120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6.7.3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Date of Receipt</w:t>
          </w:r>
          <w:r>
            <w:rPr>
              <w:lang w:val="en-CA" w:eastAsia="en-CA"/>
            </w:rPr>
            <w:tab/>
          </w:r>
          <w:hyperlink w:anchor="__RefHeading___Toc498441757">
            <w:r>
              <w:rPr>
                <w:rStyle w:val="IndexLink"/>
                <w:lang w:val="en-CA" w:eastAsia="en-CA"/>
              </w:rPr>
              <w:t>27</w:t>
            </w:r>
          </w:hyperlink>
        </w:p>
        <w:p>
          <w:pPr>
            <w:pStyle w:val="TOC2"/>
            <w:rPr/>
          </w:pPr>
          <w:r>
            <w:rPr>
              <w:color w:val="000080"/>
              <w:sz w:val="22"/>
            </w:rPr>
            <w:t>6.8</w:t>
          </w:r>
          <w:r>
            <w:rPr/>
            <w:tab/>
          </w:r>
          <w:r>
            <w:rPr>
              <w:color w:val="000080"/>
              <w:sz w:val="22"/>
              <w:u w:val="single"/>
            </w:rPr>
            <w:t>Method of Payment</w:t>
          </w:r>
          <w:r>
            <w:rPr/>
            <w:tab/>
          </w:r>
          <w:hyperlink w:anchor="__RefHeading___Toc498441758">
            <w:r>
              <w:rPr>
                <w:rStyle w:val="IndexLink"/>
              </w:rPr>
              <w:t>27</w:t>
            </w:r>
          </w:hyperlink>
        </w:p>
        <w:p>
          <w:pPr>
            <w:pStyle w:val="TOC2"/>
            <w:rPr/>
          </w:pPr>
          <w:r>
            <w:rPr>
              <w:color w:val="000080"/>
              <w:sz w:val="22"/>
            </w:rPr>
            <w:t>6.9</w:t>
          </w:r>
          <w:r>
            <w:rPr/>
            <w:tab/>
          </w:r>
          <w:r>
            <w:rPr>
              <w:color w:val="000080"/>
              <w:sz w:val="22"/>
              <w:u w:val="single"/>
            </w:rPr>
            <w:t>Payments Not Acceptance of Work</w:t>
          </w:r>
          <w:r>
            <w:rPr/>
            <w:tab/>
          </w:r>
          <w:hyperlink w:anchor="__RefHeading___Toc498441759">
            <w:r>
              <w:rPr>
                <w:rStyle w:val="IndexLink"/>
              </w:rPr>
              <w:t>27</w:t>
            </w:r>
          </w:hyperlink>
        </w:p>
        <w:p>
          <w:pPr>
            <w:pStyle w:val="TOC2"/>
            <w:rPr/>
          </w:pPr>
          <w:r>
            <w:rPr>
              <w:color w:val="000080"/>
              <w:sz w:val="22"/>
            </w:rPr>
            <w:t>6.10</w:t>
          </w:r>
          <w:r>
            <w:rPr/>
            <w:tab/>
          </w:r>
          <w:r>
            <w:rPr>
              <w:color w:val="000080"/>
              <w:sz w:val="22"/>
              <w:u w:val="single"/>
            </w:rPr>
            <w:t>Punchlist</w:t>
          </w:r>
          <w:r>
            <w:rPr/>
            <w:tab/>
          </w:r>
          <w:hyperlink w:anchor="__RefHeading___Toc498441760">
            <w:r>
              <w:rPr>
                <w:rStyle w:val="IndexLink"/>
              </w:rPr>
              <w:t>27</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VII.  </w:t>
          </w:r>
          <w:r>
            <w:rPr>
              <w:rFonts w:cs="Times New Roman" w:ascii="Times New Roman" w:hAnsi="Times New Roman"/>
              <w:color w:val="000080"/>
              <w:sz w:val="22"/>
              <w:szCs w:val="24"/>
              <w:u w:val="single"/>
            </w:rPr>
            <w:t>RELEASE</w:t>
          </w:r>
          <w:r>
            <w:rPr/>
            <w:tab/>
          </w:r>
          <w:hyperlink w:anchor="__RefHeading___Toc498441761">
            <w:r>
              <w:rPr>
                <w:rStyle w:val="IndexLink"/>
              </w:rPr>
              <w:t>28</w:t>
            </w:r>
          </w:hyperlink>
        </w:p>
        <w:p>
          <w:pPr>
            <w:pStyle w:val="TOC2"/>
            <w:rPr/>
          </w:pPr>
          <w:r>
            <w:rPr>
              <w:color w:val="000080"/>
              <w:sz w:val="22"/>
            </w:rPr>
            <w:t>7.1</w:t>
          </w:r>
          <w:r>
            <w:rPr/>
            <w:tab/>
          </w:r>
          <w:r>
            <w:rPr>
              <w:color w:val="000080"/>
              <w:sz w:val="22"/>
              <w:u w:val="single"/>
            </w:rPr>
            <w:t>Effective Period for Submitting Release</w:t>
          </w:r>
          <w:r>
            <w:rPr/>
            <w:tab/>
          </w:r>
          <w:hyperlink w:anchor="__RefHeading___Toc498441762">
            <w:r>
              <w:rPr>
                <w:rStyle w:val="IndexLink"/>
              </w:rPr>
              <w:t>28</w:t>
            </w:r>
          </w:hyperlink>
        </w:p>
        <w:p>
          <w:pPr>
            <w:pStyle w:val="TOC2"/>
            <w:rPr/>
          </w:pPr>
          <w:r>
            <w:rPr>
              <w:color w:val="000080"/>
              <w:sz w:val="22"/>
            </w:rPr>
            <w:t>7.2</w:t>
          </w:r>
          <w:r>
            <w:rPr/>
            <w:tab/>
          </w:r>
          <w:r>
            <w:rPr>
              <w:color w:val="000080"/>
              <w:sz w:val="22"/>
              <w:u w:val="single"/>
            </w:rPr>
            <w:t>Release</w:t>
          </w:r>
          <w:r>
            <w:rPr/>
            <w:tab/>
          </w:r>
          <w:hyperlink w:anchor="__RefHeading___Toc498441763">
            <w:r>
              <w:rPr>
                <w:rStyle w:val="IndexLink"/>
              </w:rPr>
              <w:t>28</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VIII.  </w:t>
          </w:r>
          <w:r>
            <w:rPr>
              <w:rFonts w:cs="Times New Roman" w:ascii="Times New Roman" w:hAnsi="Times New Roman"/>
              <w:color w:val="000080"/>
              <w:sz w:val="22"/>
              <w:szCs w:val="24"/>
              <w:u w:val="single"/>
            </w:rPr>
            <w:t>PROJECT DOCUMENTS</w:t>
          </w:r>
          <w:r>
            <w:rPr/>
            <w:tab/>
          </w:r>
          <w:hyperlink w:anchor="__RefHeading___Toc498441764">
            <w:r>
              <w:rPr>
                <w:rStyle w:val="IndexLink"/>
              </w:rPr>
              <w:t>29</w:t>
            </w:r>
          </w:hyperlink>
        </w:p>
        <w:p>
          <w:pPr>
            <w:pStyle w:val="TOC2"/>
            <w:rPr/>
          </w:pPr>
          <w:r>
            <w:rPr>
              <w:color w:val="000080"/>
              <w:sz w:val="22"/>
            </w:rPr>
            <w:t>8.1</w:t>
          </w:r>
          <w:r>
            <w:rPr/>
            <w:tab/>
          </w:r>
          <w:r>
            <w:rPr>
              <w:color w:val="000080"/>
              <w:sz w:val="22"/>
              <w:u w:val="single"/>
            </w:rPr>
            <w:t>Project Management Plan</w:t>
          </w:r>
          <w:r>
            <w:rPr/>
            <w:tab/>
          </w:r>
          <w:hyperlink w:anchor="__RefHeading___Toc498441765">
            <w:r>
              <w:rPr>
                <w:rStyle w:val="IndexLink"/>
              </w:rPr>
              <w:t>29</w:t>
            </w:r>
          </w:hyperlink>
        </w:p>
        <w:p>
          <w:pPr>
            <w:pStyle w:val="TOC2"/>
            <w:rPr/>
          </w:pPr>
          <w:r>
            <w:rPr>
              <w:color w:val="000080"/>
              <w:sz w:val="22"/>
            </w:rPr>
            <w:t>8.2</w:t>
          </w:r>
          <w:r>
            <w:rPr/>
            <w:tab/>
          </w:r>
          <w:r>
            <w:rPr>
              <w:color w:val="000080"/>
              <w:sz w:val="22"/>
              <w:u w:val="single"/>
            </w:rPr>
            <w:t>Monthly Reports</w:t>
          </w:r>
          <w:r>
            <w:rPr/>
            <w:tab/>
          </w:r>
          <w:hyperlink w:anchor="__RefHeading___Toc498441766">
            <w:r>
              <w:rPr>
                <w:rStyle w:val="IndexLink"/>
              </w:rPr>
              <w:t>29</w:t>
            </w:r>
          </w:hyperlink>
        </w:p>
        <w:p>
          <w:pPr>
            <w:pStyle w:val="TOC2"/>
            <w:rPr/>
          </w:pPr>
          <w:r>
            <w:rPr>
              <w:color w:val="000080"/>
              <w:sz w:val="22"/>
            </w:rPr>
            <w:t>8.3</w:t>
          </w:r>
          <w:r>
            <w:rPr/>
            <w:tab/>
          </w:r>
          <w:r>
            <w:rPr>
              <w:color w:val="000080"/>
              <w:sz w:val="22"/>
              <w:u w:val="single"/>
            </w:rPr>
            <w:t>Design Drawings</w:t>
          </w:r>
          <w:r>
            <w:rPr/>
            <w:tab/>
          </w:r>
          <w:hyperlink w:anchor="__RefHeading___Toc498441767">
            <w:r>
              <w:rPr>
                <w:rStyle w:val="IndexLink"/>
              </w:rPr>
              <w:t>29</w:t>
            </w:r>
          </w:hyperlink>
        </w:p>
        <w:p>
          <w:pPr>
            <w:pStyle w:val="TOC2"/>
            <w:rPr/>
          </w:pPr>
          <w:r>
            <w:rPr>
              <w:color w:val="000080"/>
              <w:sz w:val="22"/>
            </w:rPr>
            <w:t>8.4</w:t>
          </w:r>
          <w:r>
            <w:rPr/>
            <w:tab/>
          </w:r>
          <w:r>
            <w:rPr>
              <w:color w:val="000080"/>
              <w:sz w:val="22"/>
              <w:u w:val="single"/>
            </w:rPr>
            <w:t>Specifications</w:t>
          </w:r>
          <w:r>
            <w:rPr/>
            <w:tab/>
          </w:r>
          <w:hyperlink w:anchor="__RefHeading___Toc498441768">
            <w:r>
              <w:rPr>
                <w:rStyle w:val="IndexLink"/>
              </w:rPr>
              <w:t>29</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IX.  </w:t>
          </w:r>
          <w:r>
            <w:rPr>
              <w:rFonts w:cs="Times New Roman" w:ascii="Times New Roman" w:hAnsi="Times New Roman"/>
              <w:color w:val="000080"/>
              <w:sz w:val="22"/>
              <w:szCs w:val="24"/>
              <w:u w:val="single"/>
            </w:rPr>
            <w:t>INSPECTION AND CORRECTION OF WORK</w:t>
          </w:r>
          <w:r>
            <w:rPr/>
            <w:tab/>
          </w:r>
          <w:hyperlink w:anchor="__RefHeading___Toc498441769">
            <w:r>
              <w:rPr>
                <w:rStyle w:val="IndexLink"/>
              </w:rPr>
              <w:t>30</w:t>
            </w:r>
          </w:hyperlink>
        </w:p>
        <w:p>
          <w:pPr>
            <w:pStyle w:val="TOC2"/>
            <w:rPr/>
          </w:pPr>
          <w:r>
            <w:rPr>
              <w:color w:val="000080"/>
              <w:sz w:val="22"/>
            </w:rPr>
            <w:t>9.1</w:t>
          </w:r>
          <w:r>
            <w:rPr/>
            <w:tab/>
          </w:r>
          <w:r>
            <w:rPr>
              <w:color w:val="000080"/>
              <w:sz w:val="22"/>
              <w:u w:val="single"/>
            </w:rPr>
            <w:t>Inspections</w:t>
          </w:r>
          <w:r>
            <w:rPr/>
            <w:tab/>
          </w:r>
          <w:hyperlink w:anchor="__RefHeading___Toc498441770">
            <w:r>
              <w:rPr>
                <w:rStyle w:val="IndexLink"/>
              </w:rPr>
              <w:t>30</w:t>
            </w:r>
          </w:hyperlink>
        </w:p>
        <w:p>
          <w:pPr>
            <w:pStyle w:val="TOC2"/>
            <w:rPr/>
          </w:pPr>
          <w:r>
            <w:rPr>
              <w:color w:val="000080"/>
              <w:sz w:val="22"/>
            </w:rPr>
            <w:t>9.2</w:t>
          </w:r>
          <w:r>
            <w:rPr/>
            <w:tab/>
          </w:r>
          <w:r>
            <w:rPr>
              <w:color w:val="000080"/>
              <w:sz w:val="22"/>
              <w:u w:val="single"/>
            </w:rPr>
            <w:t>Resident Facilities</w:t>
          </w:r>
          <w:r>
            <w:rPr/>
            <w:tab/>
          </w:r>
          <w:hyperlink w:anchor="__RefHeading___Toc498441771">
            <w:r>
              <w:rPr>
                <w:rStyle w:val="IndexLink"/>
              </w:rPr>
              <w:t>30</w:t>
            </w:r>
          </w:hyperlink>
        </w:p>
        <w:p>
          <w:pPr>
            <w:pStyle w:val="TOC2"/>
            <w:rPr/>
          </w:pPr>
          <w:r>
            <w:rPr>
              <w:color w:val="000080"/>
              <w:sz w:val="22"/>
            </w:rPr>
            <w:t>9.3</w:t>
          </w:r>
          <w:r>
            <w:rPr/>
            <w:tab/>
          </w:r>
          <w:r>
            <w:rPr>
              <w:color w:val="000080"/>
              <w:sz w:val="22"/>
              <w:u w:val="single"/>
            </w:rPr>
            <w:t>Quality Plan</w:t>
          </w:r>
          <w:r>
            <w:rPr/>
            <w:tab/>
          </w:r>
          <w:hyperlink w:anchor="__RefHeading___Toc498441772">
            <w:r>
              <w:rPr>
                <w:rStyle w:val="IndexLink"/>
              </w:rPr>
              <w:t>30</w:t>
            </w:r>
          </w:hyperlink>
        </w:p>
        <w:p>
          <w:pPr>
            <w:pStyle w:val="TOC2"/>
            <w:rPr/>
          </w:pPr>
          <w:r>
            <w:rPr>
              <w:color w:val="000080"/>
              <w:sz w:val="22"/>
            </w:rPr>
            <w:t>9.4</w:t>
          </w:r>
          <w:r>
            <w:rPr/>
            <w:tab/>
          </w:r>
          <w:r>
            <w:rPr>
              <w:color w:val="000080"/>
              <w:sz w:val="22"/>
              <w:u w:val="single"/>
            </w:rPr>
            <w:t>Notice of Witness Points</w:t>
          </w:r>
          <w:r>
            <w:rPr/>
            <w:tab/>
          </w:r>
          <w:hyperlink w:anchor="__RefHeading___Toc498441773">
            <w:r>
              <w:rPr>
                <w:rStyle w:val="IndexLink"/>
              </w:rPr>
              <w:t>30</w:t>
            </w:r>
          </w:hyperlink>
        </w:p>
        <w:p>
          <w:pPr>
            <w:pStyle w:val="TOC2"/>
            <w:rPr/>
          </w:pPr>
          <w:r>
            <w:rPr>
              <w:color w:val="000080"/>
              <w:sz w:val="22"/>
            </w:rPr>
            <w:t>9.5</w:t>
          </w:r>
          <w:r>
            <w:rPr/>
            <w:tab/>
          </w:r>
          <w:r>
            <w:rPr>
              <w:color w:val="000080"/>
              <w:sz w:val="22"/>
              <w:u w:val="single"/>
            </w:rPr>
            <w:t>Correction of Equipment</w:t>
          </w:r>
          <w:r>
            <w:rPr/>
            <w:tab/>
          </w:r>
          <w:hyperlink w:anchor="__RefHeading___Toc498441774">
            <w:r>
              <w:rPr>
                <w:rStyle w:val="IndexLink"/>
              </w:rPr>
              <w:t>31</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  </w:t>
          </w:r>
          <w:r>
            <w:rPr>
              <w:rFonts w:cs="Times New Roman" w:ascii="Times New Roman" w:hAnsi="Times New Roman"/>
              <w:color w:val="000080"/>
              <w:sz w:val="22"/>
              <w:szCs w:val="24"/>
              <w:u w:val="single"/>
            </w:rPr>
            <w:t>PERFORMANCE GUARANTEES AND ACCEPTANCE</w:t>
          </w:r>
          <w:r>
            <w:rPr/>
            <w:tab/>
          </w:r>
          <w:hyperlink w:anchor="__RefHeading___Toc498441775">
            <w:r>
              <w:rPr>
                <w:rStyle w:val="IndexLink"/>
              </w:rPr>
              <w:t>32</w:t>
            </w:r>
          </w:hyperlink>
        </w:p>
        <w:p>
          <w:pPr>
            <w:pStyle w:val="TOC2"/>
            <w:rPr/>
          </w:pPr>
          <w:r>
            <w:rPr>
              <w:color w:val="000080"/>
              <w:sz w:val="22"/>
            </w:rPr>
            <w:t>10.1</w:t>
          </w:r>
          <w:r>
            <w:rPr/>
            <w:tab/>
          </w:r>
          <w:r>
            <w:rPr>
              <w:color w:val="000080"/>
              <w:sz w:val="22"/>
              <w:u w:val="single"/>
            </w:rPr>
            <w:t>Performance Guarantees</w:t>
          </w:r>
          <w:r>
            <w:rPr/>
            <w:tab/>
          </w:r>
          <w:hyperlink w:anchor="__RefHeading___Toc498441776">
            <w:r>
              <w:rPr>
                <w:rStyle w:val="IndexLink"/>
              </w:rPr>
              <w:t>32</w:t>
            </w:r>
          </w:hyperlink>
        </w:p>
        <w:p>
          <w:pPr>
            <w:pStyle w:val="TOC2"/>
            <w:rPr/>
          </w:pPr>
          <w:r>
            <w:rPr>
              <w:color w:val="000080"/>
              <w:sz w:val="22"/>
            </w:rPr>
            <w:t>10.2</w:t>
          </w:r>
          <w:r>
            <w:rPr/>
            <w:tab/>
          </w:r>
          <w:r>
            <w:rPr>
              <w:color w:val="000080"/>
              <w:sz w:val="22"/>
              <w:u w:val="single"/>
            </w:rPr>
            <w:t>Performance Standards</w:t>
          </w:r>
          <w:r>
            <w:rPr/>
            <w:tab/>
          </w:r>
          <w:hyperlink w:anchor="__RefHeading___Toc498441777">
            <w:r>
              <w:rPr>
                <w:rStyle w:val="IndexLink"/>
              </w:rPr>
              <w:t>32</w:t>
            </w:r>
          </w:hyperlink>
        </w:p>
        <w:p>
          <w:pPr>
            <w:pStyle w:val="TOC2"/>
            <w:rPr/>
          </w:pPr>
          <w:r>
            <w:rPr>
              <w:color w:val="000080"/>
              <w:sz w:val="22"/>
            </w:rPr>
            <w:t>10.3</w:t>
          </w:r>
          <w:r>
            <w:rPr/>
            <w:tab/>
          </w:r>
          <w:r>
            <w:rPr>
              <w:color w:val="000080"/>
              <w:sz w:val="22"/>
              <w:u w:val="single"/>
            </w:rPr>
            <w:t>Endurance</w:t>
          </w:r>
          <w:r>
            <w:rPr/>
            <w:tab/>
          </w:r>
          <w:hyperlink w:anchor="__RefHeading___Toc498441778">
            <w:r>
              <w:rPr>
                <w:rStyle w:val="IndexLink"/>
              </w:rPr>
              <w:t>32</w:t>
            </w:r>
          </w:hyperlink>
        </w:p>
        <w:p>
          <w:pPr>
            <w:pStyle w:val="TOC2"/>
            <w:rPr/>
          </w:pPr>
          <w:r>
            <w:rPr>
              <w:color w:val="000080"/>
              <w:sz w:val="22"/>
            </w:rPr>
            <w:t>10.4</w:t>
          </w:r>
          <w:r>
            <w:rPr/>
            <w:tab/>
          </w:r>
          <w:r>
            <w:rPr>
              <w:color w:val="000080"/>
              <w:sz w:val="22"/>
              <w:u w:val="single"/>
            </w:rPr>
            <w:t>Remedy for Failures to Meet Performance Standards</w:t>
          </w:r>
          <w:r>
            <w:rPr/>
            <w:tab/>
          </w:r>
          <w:hyperlink w:anchor="__RefHeading___Toc498441779">
            <w:r>
              <w:rPr>
                <w:rStyle w:val="IndexLink"/>
              </w:rPr>
              <w:t>32</w:t>
            </w:r>
          </w:hyperlink>
        </w:p>
        <w:p>
          <w:pPr>
            <w:pStyle w:val="TOC2"/>
            <w:rPr/>
          </w:pPr>
          <w:r>
            <w:rPr>
              <w:color w:val="000080"/>
              <w:sz w:val="22"/>
            </w:rPr>
            <w:t>10.5</w:t>
          </w:r>
          <w:r>
            <w:rPr/>
            <w:tab/>
          </w:r>
          <w:r>
            <w:rPr>
              <w:color w:val="000080"/>
              <w:sz w:val="22"/>
              <w:u w:val="single"/>
            </w:rPr>
            <w:t>Testing</w:t>
          </w:r>
          <w:r>
            <w:rPr/>
            <w:tab/>
          </w:r>
          <w:hyperlink w:anchor="__RefHeading___Toc498441780">
            <w:r>
              <w:rPr>
                <w:rStyle w:val="IndexLink"/>
              </w:rPr>
              <w:t>32</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10.5.1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Notice of Installation Completion; Conducting Tests</w:t>
          </w:r>
          <w:r>
            <w:rPr>
              <w:lang w:val="en-CA" w:eastAsia="en-CA"/>
            </w:rPr>
            <w:tab/>
          </w:r>
          <w:hyperlink w:anchor="__RefHeading___Toc498441781">
            <w:r>
              <w:rPr>
                <w:rStyle w:val="IndexLink"/>
                <w:lang w:val="en-CA" w:eastAsia="en-CA"/>
              </w:rPr>
              <w:t>32</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10.5.2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Test Results</w:t>
          </w:r>
          <w:r>
            <w:rPr>
              <w:lang w:val="en-CA" w:eastAsia="en-CA"/>
            </w:rPr>
            <w:tab/>
          </w:r>
          <w:hyperlink w:anchor="__RefHeading___Toc498441782">
            <w:r>
              <w:rPr>
                <w:rStyle w:val="IndexLink"/>
                <w:lang w:val="en-CA" w:eastAsia="en-CA"/>
              </w:rPr>
              <w:t>33</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10.5.3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Costs of Retests</w:t>
          </w:r>
          <w:r>
            <w:rPr>
              <w:lang w:val="en-CA" w:eastAsia="en-CA"/>
            </w:rPr>
            <w:tab/>
          </w:r>
          <w:hyperlink w:anchor="__RefHeading___Toc498441783">
            <w:r>
              <w:rPr>
                <w:rStyle w:val="IndexLink"/>
                <w:lang w:val="en-CA" w:eastAsia="en-CA"/>
              </w:rPr>
              <w:t>33</w:t>
            </w:r>
          </w:hyperlink>
        </w:p>
        <w:p>
          <w:pPr>
            <w:pStyle w:val="TOC2"/>
            <w:rPr/>
          </w:pPr>
          <w:r>
            <w:rPr>
              <w:color w:val="000080"/>
              <w:sz w:val="22"/>
            </w:rPr>
            <w:t>10.6</w:t>
          </w:r>
          <w:r>
            <w:rPr/>
            <w:tab/>
          </w:r>
          <w:r>
            <w:rPr>
              <w:color w:val="000080"/>
              <w:sz w:val="22"/>
              <w:u w:val="single"/>
            </w:rPr>
            <w:t>Acceptance</w:t>
          </w:r>
          <w:r>
            <w:rPr/>
            <w:tab/>
          </w:r>
          <w:hyperlink w:anchor="__RefHeading___Toc498441784">
            <w:r>
              <w:rPr>
                <w:rStyle w:val="IndexLink"/>
              </w:rPr>
              <w:t>33</w:t>
            </w:r>
          </w:hyperlink>
        </w:p>
        <w:p>
          <w:pPr>
            <w:pStyle w:val="TOC2"/>
            <w:rPr/>
          </w:pPr>
          <w:r>
            <w:rPr>
              <w:color w:val="000080"/>
              <w:sz w:val="22"/>
            </w:rPr>
            <w:t>10.7</w:t>
          </w:r>
          <w:r>
            <w:rPr/>
            <w:tab/>
          </w:r>
          <w:r>
            <w:rPr>
              <w:color w:val="000080"/>
              <w:sz w:val="22"/>
              <w:u w:val="single"/>
            </w:rPr>
            <w:t>Reduced Purchase Amount for Failing to Meet Performance Standards</w:t>
          </w:r>
          <w:r>
            <w:rPr/>
            <w:tab/>
          </w:r>
          <w:hyperlink w:anchor="__RefHeading___Toc498441785">
            <w:r>
              <w:rPr>
                <w:rStyle w:val="IndexLink"/>
              </w:rPr>
              <w:t>33</w:t>
            </w:r>
          </w:hyperlink>
        </w:p>
        <w:p>
          <w:pPr>
            <w:pStyle w:val="TOC2"/>
            <w:rPr/>
          </w:pPr>
          <w:r>
            <w:rPr>
              <w:color w:val="000080"/>
              <w:sz w:val="22"/>
            </w:rPr>
            <w:t>10.8</w:t>
          </w:r>
          <w:r>
            <w:rPr/>
            <w:tab/>
          </w:r>
          <w:r>
            <w:rPr>
              <w:color w:val="000080"/>
              <w:sz w:val="22"/>
              <w:u w:val="single"/>
            </w:rPr>
            <w:t>Improved Performance</w:t>
          </w:r>
          <w:r>
            <w:rPr/>
            <w:tab/>
          </w:r>
          <w:hyperlink w:anchor="__RefHeading___Toc498441786">
            <w:r>
              <w:rPr>
                <w:rStyle w:val="IndexLink"/>
              </w:rPr>
              <w:t>33</w:t>
            </w:r>
          </w:hyperlink>
        </w:p>
        <w:p>
          <w:pPr>
            <w:pStyle w:val="TOC2"/>
            <w:rPr/>
          </w:pPr>
          <w:r>
            <w:rPr>
              <w:color w:val="000080"/>
              <w:sz w:val="22"/>
            </w:rPr>
            <w:t>10.9</w:t>
          </w:r>
          <w:r>
            <w:rPr/>
            <w:tab/>
          </w:r>
          <w:r>
            <w:rPr>
              <w:color w:val="000080"/>
              <w:sz w:val="22"/>
              <w:u w:val="single"/>
            </w:rPr>
            <w:t>Water Quality</w:t>
          </w:r>
          <w:r>
            <w:rPr/>
            <w:tab/>
          </w:r>
          <w:hyperlink w:anchor="__RefHeading___Toc498441787">
            <w:r>
              <w:rPr>
                <w:rStyle w:val="IndexLink"/>
              </w:rPr>
              <w:t>33</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XI.  </w:t>
          </w:r>
          <w:r>
            <w:rPr>
              <w:rFonts w:cs="Times New Roman" w:ascii="Times New Roman" w:hAnsi="Times New Roman"/>
              <w:color w:val="000080"/>
              <w:sz w:val="22"/>
              <w:szCs w:val="24"/>
              <w:u w:val="single"/>
            </w:rPr>
            <w:t>CHANGE ORDER</w:t>
          </w:r>
          <w:r>
            <w:rPr/>
            <w:tab/>
          </w:r>
          <w:hyperlink w:anchor="__RefHeading___Toc498441788">
            <w:r>
              <w:rPr>
                <w:rStyle w:val="IndexLink"/>
              </w:rPr>
              <w:t>35</w:t>
            </w:r>
          </w:hyperlink>
        </w:p>
        <w:p>
          <w:pPr>
            <w:pStyle w:val="TOC2"/>
            <w:rPr/>
          </w:pPr>
          <w:r>
            <w:rPr>
              <w:color w:val="000080"/>
              <w:sz w:val="22"/>
            </w:rPr>
            <w:t>11.1</w:t>
          </w:r>
          <w:r>
            <w:rPr/>
            <w:tab/>
          </w:r>
          <w:r>
            <w:rPr>
              <w:color w:val="000080"/>
              <w:sz w:val="22"/>
              <w:u w:val="single"/>
            </w:rPr>
            <w:t>Adjustment of Purchase Amount</w:t>
          </w:r>
          <w:r>
            <w:rPr/>
            <w:tab/>
          </w:r>
          <w:hyperlink w:anchor="__RefHeading___Toc498441789">
            <w:r>
              <w:rPr>
                <w:rStyle w:val="IndexLink"/>
              </w:rPr>
              <w:t>35</w:t>
            </w:r>
          </w:hyperlink>
        </w:p>
        <w:p>
          <w:pPr>
            <w:pStyle w:val="TOC2"/>
            <w:rPr/>
          </w:pPr>
          <w:r>
            <w:rPr>
              <w:color w:val="000080"/>
              <w:sz w:val="22"/>
            </w:rPr>
            <w:t>11.2</w:t>
          </w:r>
          <w:r>
            <w:rPr/>
            <w:tab/>
          </w:r>
          <w:r>
            <w:rPr>
              <w:color w:val="000080"/>
              <w:sz w:val="22"/>
              <w:u w:val="single"/>
            </w:rPr>
            <w:t>Purchaser Requested Change Order</w:t>
          </w:r>
          <w:r>
            <w:rPr/>
            <w:tab/>
          </w:r>
          <w:hyperlink w:anchor="__RefHeading___Toc498441790">
            <w:r>
              <w:rPr>
                <w:rStyle w:val="IndexLink"/>
              </w:rPr>
              <w:t>35</w:t>
            </w:r>
          </w:hyperlink>
        </w:p>
        <w:p>
          <w:pPr>
            <w:pStyle w:val="TOC2"/>
            <w:rPr/>
          </w:pPr>
          <w:r>
            <w:rPr>
              <w:color w:val="000080"/>
              <w:sz w:val="22"/>
            </w:rPr>
            <w:t>11.3</w:t>
          </w:r>
          <w:r>
            <w:rPr/>
            <w:tab/>
          </w:r>
          <w:r>
            <w:rPr>
              <w:color w:val="000080"/>
              <w:sz w:val="22"/>
              <w:u w:val="single"/>
            </w:rPr>
            <w:t>Seller Requested Change Order</w:t>
          </w:r>
          <w:r>
            <w:rPr/>
            <w:tab/>
          </w:r>
          <w:hyperlink w:anchor="__RefHeading___Toc498441791">
            <w:r>
              <w:rPr>
                <w:rStyle w:val="IndexLink"/>
              </w:rPr>
              <w:t>35</w:t>
            </w:r>
          </w:hyperlink>
        </w:p>
        <w:p>
          <w:pPr>
            <w:pStyle w:val="TOC2"/>
            <w:rPr/>
          </w:pPr>
          <w:r>
            <w:rPr>
              <w:color w:val="000080"/>
              <w:sz w:val="22"/>
            </w:rPr>
            <w:t>11.4</w:t>
          </w:r>
          <w:r>
            <w:rPr/>
            <w:tab/>
          </w:r>
          <w:r>
            <w:rPr>
              <w:color w:val="000080"/>
              <w:sz w:val="22"/>
              <w:u w:val="single"/>
            </w:rPr>
            <w:t>Other Change Order</w:t>
          </w:r>
          <w:r>
            <w:rPr/>
            <w:tab/>
          </w:r>
          <w:hyperlink w:anchor="__RefHeading___Toc498441792">
            <w:r>
              <w:rPr>
                <w:rStyle w:val="IndexLink"/>
              </w:rPr>
              <w:t>35</w:t>
            </w:r>
          </w:hyperlink>
        </w:p>
        <w:p>
          <w:pPr>
            <w:pStyle w:val="TOC2"/>
            <w:rPr/>
          </w:pPr>
          <w:r>
            <w:rPr>
              <w:color w:val="000080"/>
              <w:sz w:val="22"/>
            </w:rPr>
            <w:t>11.5</w:t>
          </w:r>
          <w:r>
            <w:rPr/>
            <w:tab/>
          </w:r>
          <w:r>
            <w:rPr>
              <w:color w:val="000080"/>
              <w:sz w:val="22"/>
              <w:u w:val="single"/>
            </w:rPr>
            <w:t>Disputes</w:t>
          </w:r>
          <w:r>
            <w:rPr/>
            <w:tab/>
          </w:r>
          <w:hyperlink w:anchor="__RefHeading___Toc498441793">
            <w:r>
              <w:rPr>
                <w:rStyle w:val="IndexLink"/>
              </w:rPr>
              <w:t>36</w:t>
            </w:r>
          </w:hyperlink>
        </w:p>
        <w:p>
          <w:pPr>
            <w:pStyle w:val="TOC2"/>
            <w:rPr/>
          </w:pPr>
          <w:r>
            <w:rPr>
              <w:color w:val="000080"/>
              <w:sz w:val="22"/>
            </w:rPr>
            <w:t>11.6</w:t>
          </w:r>
          <w:r>
            <w:rPr/>
            <w:tab/>
          </w:r>
          <w:r>
            <w:rPr>
              <w:color w:val="000080"/>
              <w:sz w:val="22"/>
              <w:u w:val="single"/>
            </w:rPr>
            <w:t>Change Order Pricing</w:t>
          </w:r>
          <w:r>
            <w:rPr/>
            <w:tab/>
          </w:r>
          <w:hyperlink w:anchor="__RefHeading___Toc498441794">
            <w:r>
              <w:rPr>
                <w:rStyle w:val="IndexLink"/>
              </w:rPr>
              <w:t>36</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11.6.1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Method of Pricing</w:t>
          </w:r>
          <w:r>
            <w:rPr>
              <w:lang w:val="en-CA" w:eastAsia="en-CA"/>
            </w:rPr>
            <w:tab/>
          </w:r>
          <w:hyperlink w:anchor="__RefHeading___Toc498441795">
            <w:r>
              <w:rPr>
                <w:rStyle w:val="IndexLink"/>
                <w:lang w:val="en-CA" w:eastAsia="en-CA"/>
              </w:rPr>
              <w:t>36</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11.6.2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Cost Plus Basis</w:t>
          </w:r>
          <w:r>
            <w:rPr>
              <w:lang w:val="en-CA" w:eastAsia="en-CA"/>
            </w:rPr>
            <w:tab/>
          </w:r>
          <w:hyperlink w:anchor="__RefHeading___Toc498441796">
            <w:r>
              <w:rPr>
                <w:rStyle w:val="IndexLink"/>
                <w:lang w:val="en-CA" w:eastAsia="en-CA"/>
              </w:rPr>
              <w:t>36</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11.6.3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Audit Rights</w:t>
          </w:r>
          <w:r>
            <w:rPr>
              <w:lang w:val="en-CA" w:eastAsia="en-CA"/>
            </w:rPr>
            <w:tab/>
          </w:r>
          <w:hyperlink w:anchor="__RefHeading___Toc498441797">
            <w:r>
              <w:rPr>
                <w:rStyle w:val="IndexLink"/>
                <w:lang w:val="en-CA" w:eastAsia="en-CA"/>
              </w:rPr>
              <w:t>37</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XII.  </w:t>
          </w:r>
          <w:r>
            <w:rPr>
              <w:rFonts w:cs="Times New Roman" w:ascii="Times New Roman" w:hAnsi="Times New Roman"/>
              <w:color w:val="000080"/>
              <w:sz w:val="22"/>
              <w:szCs w:val="24"/>
              <w:u w:val="single"/>
            </w:rPr>
            <w:t>INTELLECTUAL PROPERTY RIGHTS AND INDEMNITY</w:t>
          </w:r>
          <w:r>
            <w:rPr/>
            <w:tab/>
          </w:r>
          <w:hyperlink w:anchor="__RefHeading___Toc498441798">
            <w:r>
              <w:rPr>
                <w:rStyle w:val="IndexLink"/>
              </w:rPr>
              <w:t>38</w:t>
            </w:r>
          </w:hyperlink>
        </w:p>
        <w:p>
          <w:pPr>
            <w:pStyle w:val="TOC2"/>
            <w:rPr/>
          </w:pPr>
          <w:r>
            <w:rPr>
              <w:color w:val="000080"/>
              <w:sz w:val="22"/>
            </w:rPr>
            <w:t>12.1</w:t>
          </w:r>
          <w:r>
            <w:rPr/>
            <w:tab/>
          </w:r>
          <w:r>
            <w:rPr>
              <w:color w:val="000080"/>
              <w:sz w:val="22"/>
              <w:u w:val="single"/>
            </w:rPr>
            <w:t>Seller’s Drawings for Use by Purchaser</w:t>
          </w:r>
          <w:r>
            <w:rPr/>
            <w:tab/>
          </w:r>
          <w:hyperlink w:anchor="__RefHeading___Toc498441799">
            <w:r>
              <w:rPr>
                <w:rStyle w:val="IndexLink"/>
              </w:rPr>
              <w:t>38</w:t>
            </w:r>
          </w:hyperlink>
        </w:p>
        <w:p>
          <w:pPr>
            <w:pStyle w:val="TOC2"/>
            <w:rPr/>
          </w:pPr>
          <w:r>
            <w:rPr>
              <w:color w:val="000080"/>
              <w:sz w:val="22"/>
            </w:rPr>
            <w:t>12.2</w:t>
          </w:r>
          <w:r>
            <w:rPr/>
            <w:tab/>
          </w:r>
          <w:r>
            <w:rPr>
              <w:color w:val="000080"/>
              <w:sz w:val="22"/>
              <w:u w:val="single"/>
            </w:rPr>
            <w:t>Licensing Procedure</w:t>
          </w:r>
          <w:r>
            <w:rPr/>
            <w:tab/>
          </w:r>
          <w:hyperlink w:anchor="__RefHeading___Toc498441800">
            <w:r>
              <w:rPr>
                <w:rStyle w:val="IndexLink"/>
              </w:rPr>
              <w:t>38</w:t>
            </w:r>
          </w:hyperlink>
        </w:p>
        <w:p>
          <w:pPr>
            <w:pStyle w:val="TOC2"/>
            <w:rPr/>
          </w:pPr>
          <w:r>
            <w:rPr>
              <w:color w:val="000080"/>
              <w:sz w:val="22"/>
            </w:rPr>
            <w:t>12.3</w:t>
          </w:r>
          <w:r>
            <w:rPr/>
            <w:tab/>
          </w:r>
          <w:r>
            <w:rPr>
              <w:color w:val="000080"/>
              <w:sz w:val="22"/>
              <w:u w:val="single"/>
            </w:rPr>
            <w:t>Infringement Cures and Defense</w:t>
          </w:r>
          <w:r>
            <w:rPr/>
            <w:tab/>
          </w:r>
          <w:hyperlink w:anchor="__RefHeading___Toc498441801">
            <w:r>
              <w:rPr>
                <w:rStyle w:val="IndexLink"/>
              </w:rPr>
              <w:t>38</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XIII.  </w:t>
          </w:r>
          <w:r>
            <w:rPr>
              <w:rFonts w:cs="Times New Roman" w:ascii="Times New Roman" w:hAnsi="Times New Roman"/>
              <w:color w:val="000080"/>
              <w:sz w:val="22"/>
              <w:szCs w:val="24"/>
              <w:u w:val="single"/>
            </w:rPr>
            <w:t>ORDER OF PRECEDENCE</w:t>
          </w:r>
          <w:r>
            <w:rPr/>
            <w:tab/>
          </w:r>
          <w:hyperlink w:anchor="__RefHeading___Toc498441802">
            <w:r>
              <w:rPr>
                <w:rStyle w:val="IndexLink"/>
              </w:rPr>
              <w:t>40</w:t>
            </w:r>
          </w:hyperlink>
        </w:p>
        <w:p>
          <w:pPr>
            <w:pStyle w:val="TOC2"/>
            <w:rPr/>
          </w:pPr>
          <w:r>
            <w:rPr>
              <w:color w:val="000080"/>
              <w:sz w:val="22"/>
            </w:rPr>
            <w:t>13.1</w:t>
          </w:r>
          <w:r>
            <w:rPr/>
            <w:tab/>
          </w:r>
          <w:r>
            <w:rPr>
              <w:color w:val="000080"/>
              <w:sz w:val="22"/>
              <w:u w:val="single"/>
            </w:rPr>
            <w:t>Order of Precedence</w:t>
          </w:r>
          <w:r>
            <w:rPr/>
            <w:tab/>
          </w:r>
          <w:hyperlink w:anchor="__RefHeading___Toc498441803">
            <w:r>
              <w:rPr>
                <w:rStyle w:val="IndexLink"/>
              </w:rPr>
              <w:t>40</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XIV.  </w:t>
          </w:r>
          <w:r>
            <w:rPr>
              <w:rFonts w:cs="Times New Roman" w:ascii="Times New Roman" w:hAnsi="Times New Roman"/>
              <w:color w:val="000080"/>
              <w:sz w:val="22"/>
              <w:szCs w:val="24"/>
              <w:u w:val="single"/>
            </w:rPr>
            <w:t>WARRANTY</w:t>
          </w:r>
          <w:r>
            <w:rPr/>
            <w:tab/>
          </w:r>
          <w:hyperlink w:anchor="__RefHeading___Toc498441804">
            <w:r>
              <w:rPr>
                <w:rStyle w:val="IndexLink"/>
              </w:rPr>
              <w:t>41</w:t>
            </w:r>
          </w:hyperlink>
        </w:p>
        <w:p>
          <w:pPr>
            <w:pStyle w:val="TOC2"/>
            <w:rPr/>
          </w:pPr>
          <w:r>
            <w:rPr>
              <w:color w:val="000080"/>
              <w:sz w:val="22"/>
            </w:rPr>
            <w:t>14.1</w:t>
          </w:r>
          <w:r>
            <w:rPr/>
            <w:tab/>
          </w:r>
          <w:r>
            <w:rPr>
              <w:color w:val="000080"/>
              <w:sz w:val="22"/>
              <w:u w:val="single"/>
            </w:rPr>
            <w:t>Seller’s Warranty</w:t>
          </w:r>
          <w:r>
            <w:rPr/>
            <w:tab/>
          </w:r>
          <w:hyperlink w:anchor="__RefHeading___Toc498441805">
            <w:r>
              <w:rPr>
                <w:rStyle w:val="IndexLink"/>
              </w:rPr>
              <w:t>41</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14.1.1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Warranty</w:t>
          </w:r>
          <w:r>
            <w:rPr>
              <w:lang w:val="en-CA" w:eastAsia="en-CA"/>
            </w:rPr>
            <w:tab/>
          </w:r>
          <w:hyperlink w:anchor="__RefHeading___Toc498441806">
            <w:r>
              <w:rPr>
                <w:rStyle w:val="IndexLink"/>
                <w:lang w:val="en-CA" w:eastAsia="en-CA"/>
              </w:rPr>
              <w:t>41</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14.1.2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Warranty Clarification</w:t>
          </w:r>
          <w:r>
            <w:rPr>
              <w:lang w:val="en-CA" w:eastAsia="en-CA"/>
            </w:rPr>
            <w:tab/>
          </w:r>
          <w:hyperlink w:anchor="__RefHeading___Toc498441807">
            <w:r>
              <w:rPr>
                <w:rStyle w:val="IndexLink"/>
                <w:lang w:val="en-CA" w:eastAsia="en-CA"/>
              </w:rPr>
              <w:t>41</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14.1.3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Warranty Breach Notice</w:t>
          </w:r>
          <w:r>
            <w:rPr>
              <w:lang w:val="en-CA" w:eastAsia="en-CA"/>
            </w:rPr>
            <w:tab/>
          </w:r>
          <w:hyperlink w:anchor="__RefHeading___Toc498441808">
            <w:r>
              <w:rPr>
                <w:rStyle w:val="IndexLink"/>
                <w:lang w:val="en-CA" w:eastAsia="en-CA"/>
              </w:rPr>
              <w:t>41</w:t>
            </w:r>
          </w:hyperlink>
        </w:p>
        <w:p>
          <w:pPr>
            <w:pStyle w:val="TOC2"/>
            <w:rPr/>
          </w:pPr>
          <w:r>
            <w:rPr>
              <w:color w:val="000080"/>
              <w:sz w:val="22"/>
            </w:rPr>
            <w:t>14.2</w:t>
          </w:r>
          <w:r>
            <w:rPr/>
            <w:tab/>
          </w:r>
          <w:r>
            <w:rPr>
              <w:color w:val="000080"/>
              <w:sz w:val="22"/>
              <w:u w:val="single"/>
            </w:rPr>
            <w:t>Remedy</w:t>
          </w:r>
          <w:r>
            <w:rPr/>
            <w:tab/>
          </w:r>
          <w:hyperlink w:anchor="__RefHeading___Toc498441809">
            <w:r>
              <w:rPr>
                <w:rStyle w:val="IndexLink"/>
              </w:rPr>
              <w:t>42</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14.2.1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Obligations, Responsibilities and Recourse</w:t>
          </w:r>
          <w:r>
            <w:rPr>
              <w:lang w:val="en-CA" w:eastAsia="en-CA"/>
            </w:rPr>
            <w:tab/>
          </w:r>
          <w:hyperlink w:anchor="__RefHeading___Toc498441810">
            <w:r>
              <w:rPr>
                <w:rStyle w:val="IndexLink"/>
                <w:lang w:val="en-CA" w:eastAsia="en-CA"/>
              </w:rPr>
              <w:t>42</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14.2.2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Continued Warranty on Corrections or Repairs Performed During the Primary Warranty Period</w:t>
          </w:r>
          <w:r>
            <w:rPr>
              <w:lang w:val="en-CA" w:eastAsia="en-CA"/>
            </w:rPr>
            <w:tab/>
          </w:r>
          <w:hyperlink w:anchor="__RefHeading___Toc498441811">
            <w:r>
              <w:rPr>
                <w:rStyle w:val="IndexLink"/>
                <w:lang w:val="en-CA" w:eastAsia="en-CA"/>
              </w:rPr>
              <w:t>42</w:t>
            </w:r>
          </w:hyperlink>
        </w:p>
        <w:p>
          <w:pPr>
            <w:pStyle w:val="TOC2"/>
            <w:rPr/>
          </w:pPr>
          <w:r>
            <w:rPr>
              <w:color w:val="000080"/>
              <w:sz w:val="22"/>
            </w:rPr>
            <w:t>14.3</w:t>
          </w:r>
          <w:r>
            <w:rPr/>
            <w:tab/>
          </w:r>
          <w:r>
            <w:rPr>
              <w:color w:val="000080"/>
              <w:sz w:val="22"/>
              <w:u w:val="single"/>
            </w:rPr>
            <w:t>Stack Module Warranty</w:t>
          </w:r>
          <w:r>
            <w:rPr/>
            <w:tab/>
          </w:r>
          <w:hyperlink w:anchor="__RefHeading___Toc498441812">
            <w:r>
              <w:rPr>
                <w:rStyle w:val="IndexLink"/>
              </w:rPr>
              <w:t>42</w:t>
            </w:r>
          </w:hyperlink>
        </w:p>
        <w:p>
          <w:pPr>
            <w:pStyle w:val="TOC2"/>
            <w:rPr/>
          </w:pPr>
          <w:r>
            <w:rPr>
              <w:color w:val="000080"/>
              <w:sz w:val="22"/>
            </w:rPr>
            <w:t>14.4</w:t>
          </w:r>
          <w:r>
            <w:rPr/>
            <w:tab/>
          </w:r>
          <w:r>
            <w:rPr>
              <w:color w:val="000080"/>
              <w:sz w:val="22"/>
              <w:u w:val="single"/>
            </w:rPr>
            <w:t>Vendor Warranty</w:t>
          </w:r>
          <w:r>
            <w:rPr/>
            <w:tab/>
          </w:r>
          <w:hyperlink w:anchor="__RefHeading___Toc498441813">
            <w:r>
              <w:rPr>
                <w:rStyle w:val="IndexLink"/>
              </w:rPr>
              <w:t>43</w:t>
            </w:r>
          </w:hyperlink>
        </w:p>
        <w:p>
          <w:pPr>
            <w:pStyle w:val="TOC2"/>
            <w:rPr/>
          </w:pPr>
          <w:r>
            <w:rPr>
              <w:color w:val="000080"/>
              <w:sz w:val="22"/>
            </w:rPr>
            <w:t>14.5</w:t>
          </w:r>
          <w:r>
            <w:rPr/>
            <w:tab/>
          </w:r>
          <w:r>
            <w:rPr>
              <w:color w:val="000080"/>
              <w:sz w:val="22"/>
              <w:u w:val="single"/>
            </w:rPr>
            <w:t>Limited Warranty</w:t>
          </w:r>
          <w:r>
            <w:rPr/>
            <w:tab/>
          </w:r>
          <w:hyperlink w:anchor="__RefHeading___Toc498441814">
            <w:r>
              <w:rPr>
                <w:rStyle w:val="IndexLink"/>
              </w:rPr>
              <w:t>43</w:t>
            </w:r>
          </w:hyperlink>
        </w:p>
        <w:p>
          <w:pPr>
            <w:pStyle w:val="TOC2"/>
            <w:rPr/>
          </w:pPr>
          <w:r>
            <w:rPr>
              <w:color w:val="000080"/>
              <w:sz w:val="22"/>
            </w:rPr>
            <w:t>14.6</w:t>
          </w:r>
          <w:r>
            <w:rPr/>
            <w:tab/>
          </w:r>
          <w:r>
            <w:rPr>
              <w:color w:val="000080"/>
              <w:sz w:val="22"/>
              <w:u w:val="single"/>
            </w:rPr>
            <w:t>Defective Equipment</w:t>
          </w:r>
          <w:r>
            <w:rPr/>
            <w:tab/>
          </w:r>
          <w:hyperlink w:anchor="__RefHeading___Toc498441815">
            <w:r>
              <w:rPr>
                <w:rStyle w:val="IndexLink"/>
              </w:rPr>
              <w:t>43</w:t>
            </w:r>
          </w:hyperlink>
        </w:p>
        <w:p>
          <w:pPr>
            <w:pStyle w:val="TOC2"/>
            <w:rPr/>
          </w:pPr>
          <w:r>
            <w:rPr>
              <w:color w:val="000080"/>
              <w:sz w:val="22"/>
            </w:rPr>
            <w:t>14.7</w:t>
          </w:r>
          <w:r>
            <w:rPr/>
            <w:tab/>
          </w:r>
          <w:r>
            <w:rPr>
              <w:color w:val="000080"/>
              <w:sz w:val="22"/>
              <w:u w:val="single"/>
            </w:rPr>
            <w:t>Termination of Warranty</w:t>
          </w:r>
          <w:r>
            <w:rPr/>
            <w:tab/>
          </w:r>
          <w:hyperlink w:anchor="__RefHeading___Toc498441816">
            <w:r>
              <w:rPr>
                <w:rStyle w:val="IndexLink"/>
              </w:rPr>
              <w:t>43</w:t>
            </w:r>
          </w:hyperlink>
        </w:p>
        <w:p>
          <w:pPr>
            <w:pStyle w:val="TOC2"/>
            <w:rPr/>
          </w:pPr>
          <w:r>
            <w:rPr>
              <w:color w:val="000080"/>
              <w:sz w:val="22"/>
            </w:rPr>
            <w:t>14.8</w:t>
          </w:r>
          <w:r>
            <w:rPr/>
            <w:tab/>
          </w:r>
          <w:r>
            <w:rPr>
              <w:color w:val="000080"/>
              <w:sz w:val="22"/>
              <w:u w:val="single"/>
            </w:rPr>
            <w:t>Damage caused by Equipment</w:t>
          </w:r>
          <w:r>
            <w:rPr/>
            <w:tab/>
          </w:r>
          <w:hyperlink w:anchor="__RefHeading___Toc498441817">
            <w:r>
              <w:rPr>
                <w:rStyle w:val="IndexLink"/>
              </w:rPr>
              <w:t>44</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XV.  </w:t>
          </w:r>
          <w:r>
            <w:rPr>
              <w:rFonts w:cs="Times New Roman" w:ascii="Times New Roman" w:hAnsi="Times New Roman"/>
              <w:color w:val="000080"/>
              <w:sz w:val="22"/>
              <w:szCs w:val="24"/>
              <w:u w:val="single"/>
            </w:rPr>
            <w:t>RISK OF LOSS AND TITLE</w:t>
          </w:r>
          <w:r>
            <w:rPr/>
            <w:tab/>
          </w:r>
          <w:hyperlink w:anchor="__RefHeading___Toc498441818">
            <w:r>
              <w:rPr>
                <w:rStyle w:val="IndexLink"/>
              </w:rPr>
              <w:t>45</w:t>
            </w:r>
          </w:hyperlink>
        </w:p>
        <w:p>
          <w:pPr>
            <w:pStyle w:val="TOC2"/>
            <w:rPr/>
          </w:pPr>
          <w:r>
            <w:rPr>
              <w:color w:val="000080"/>
              <w:sz w:val="22"/>
            </w:rPr>
            <w:t>15.1</w:t>
          </w:r>
          <w:r>
            <w:rPr/>
            <w:tab/>
          </w:r>
          <w:r>
            <w:rPr>
              <w:color w:val="000080"/>
              <w:sz w:val="22"/>
              <w:u w:val="single"/>
            </w:rPr>
            <w:t>Risk of Loss</w:t>
          </w:r>
          <w:r>
            <w:rPr/>
            <w:tab/>
          </w:r>
          <w:hyperlink w:anchor="__RefHeading___Toc498441819">
            <w:r>
              <w:rPr>
                <w:rStyle w:val="IndexLink"/>
              </w:rPr>
              <w:t>45</w:t>
            </w:r>
          </w:hyperlink>
        </w:p>
        <w:p>
          <w:pPr>
            <w:pStyle w:val="TOC2"/>
            <w:rPr/>
          </w:pPr>
          <w:r>
            <w:rPr>
              <w:color w:val="000080"/>
              <w:sz w:val="22"/>
            </w:rPr>
            <w:t>15.2</w:t>
          </w:r>
          <w:r>
            <w:rPr/>
            <w:tab/>
          </w:r>
          <w:r>
            <w:rPr>
              <w:color w:val="000080"/>
              <w:sz w:val="22"/>
              <w:u w:val="single"/>
            </w:rPr>
            <w:t>Title</w:t>
          </w:r>
          <w:r>
            <w:rPr/>
            <w:tab/>
          </w:r>
          <w:hyperlink w:anchor="__RefHeading___Toc498441820">
            <w:r>
              <w:rPr>
                <w:rStyle w:val="IndexLink"/>
              </w:rPr>
              <w:t>45</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XVI.  </w:t>
          </w:r>
          <w:r>
            <w:rPr>
              <w:rFonts w:cs="Times New Roman" w:ascii="Times New Roman" w:hAnsi="Times New Roman"/>
              <w:color w:val="000080"/>
              <w:sz w:val="22"/>
              <w:szCs w:val="24"/>
              <w:u w:val="single"/>
            </w:rPr>
            <w:t>PACKING AND SHIPPING</w:t>
          </w:r>
          <w:r>
            <w:rPr/>
            <w:tab/>
          </w:r>
          <w:hyperlink w:anchor="__RefHeading___Toc498441821">
            <w:r>
              <w:rPr>
                <w:rStyle w:val="IndexLink"/>
              </w:rPr>
              <w:t>46</w:t>
            </w:r>
          </w:hyperlink>
        </w:p>
        <w:p>
          <w:pPr>
            <w:pStyle w:val="TOC2"/>
            <w:rPr/>
          </w:pPr>
          <w:r>
            <w:rPr>
              <w:color w:val="000080"/>
              <w:sz w:val="22"/>
            </w:rPr>
            <w:t>16.1</w:t>
          </w:r>
          <w:r>
            <w:rPr/>
            <w:tab/>
          </w:r>
          <w:r>
            <w:rPr>
              <w:color w:val="000080"/>
              <w:sz w:val="22"/>
              <w:u w:val="single"/>
            </w:rPr>
            <w:t>Packing</w:t>
          </w:r>
          <w:r>
            <w:rPr/>
            <w:tab/>
          </w:r>
          <w:hyperlink w:anchor="__RefHeading___Toc498441822">
            <w:r>
              <w:rPr>
                <w:rStyle w:val="IndexLink"/>
              </w:rPr>
              <w:t>46</w:t>
            </w:r>
          </w:hyperlink>
        </w:p>
        <w:p>
          <w:pPr>
            <w:pStyle w:val="TOC2"/>
            <w:rPr/>
          </w:pPr>
          <w:r>
            <w:rPr>
              <w:color w:val="000080"/>
              <w:sz w:val="22"/>
            </w:rPr>
            <w:t>16.2</w:t>
          </w:r>
          <w:r>
            <w:rPr/>
            <w:tab/>
          </w:r>
          <w:r>
            <w:rPr>
              <w:color w:val="000080"/>
              <w:sz w:val="22"/>
              <w:u w:val="single"/>
            </w:rPr>
            <w:t>Notice of Shipment</w:t>
          </w:r>
          <w:r>
            <w:rPr/>
            <w:tab/>
          </w:r>
          <w:hyperlink w:anchor="__RefHeading___Toc498441823">
            <w:r>
              <w:rPr>
                <w:rStyle w:val="IndexLink"/>
              </w:rPr>
              <w:t>46</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XVII.  </w:t>
          </w:r>
          <w:r>
            <w:rPr>
              <w:rFonts w:cs="Times New Roman" w:ascii="Times New Roman" w:hAnsi="Times New Roman"/>
              <w:color w:val="000080"/>
              <w:sz w:val="22"/>
              <w:szCs w:val="24"/>
              <w:u w:val="single"/>
            </w:rPr>
            <w:t>DEFAULT; TERMINATION</w:t>
          </w:r>
          <w:r>
            <w:rPr/>
            <w:tab/>
          </w:r>
          <w:hyperlink w:anchor="__RefHeading___Toc498441824">
            <w:r>
              <w:rPr>
                <w:rStyle w:val="IndexLink"/>
              </w:rPr>
              <w:t>47</w:t>
            </w:r>
          </w:hyperlink>
        </w:p>
        <w:p>
          <w:pPr>
            <w:pStyle w:val="TOC2"/>
            <w:rPr/>
          </w:pPr>
          <w:r>
            <w:rPr>
              <w:color w:val="000080"/>
              <w:sz w:val="22"/>
            </w:rPr>
            <w:t>17.1</w:t>
          </w:r>
          <w:r>
            <w:rPr/>
            <w:tab/>
          </w:r>
          <w:r>
            <w:rPr>
              <w:color w:val="000080"/>
              <w:sz w:val="22"/>
              <w:u w:val="single"/>
            </w:rPr>
            <w:t>Event of Seller Default</w:t>
          </w:r>
          <w:r>
            <w:rPr/>
            <w:tab/>
          </w:r>
          <w:hyperlink w:anchor="__RefHeading___Toc498441825">
            <w:r>
              <w:rPr>
                <w:rStyle w:val="IndexLink"/>
              </w:rPr>
              <w:t>47</w:t>
            </w:r>
          </w:hyperlink>
        </w:p>
        <w:p>
          <w:pPr>
            <w:pStyle w:val="TOC2"/>
            <w:rPr/>
          </w:pPr>
          <w:r>
            <w:rPr>
              <w:color w:val="000080"/>
              <w:sz w:val="22"/>
            </w:rPr>
            <w:t>17.2</w:t>
          </w:r>
          <w:r>
            <w:rPr/>
            <w:tab/>
          </w:r>
          <w:r>
            <w:rPr>
              <w:color w:val="000080"/>
              <w:sz w:val="22"/>
              <w:u w:val="single"/>
            </w:rPr>
            <w:t>Purchaser's Remedies Against Seller</w:t>
          </w:r>
          <w:r>
            <w:rPr/>
            <w:tab/>
          </w:r>
          <w:hyperlink w:anchor="__RefHeading___Toc498441826">
            <w:r>
              <w:rPr>
                <w:rStyle w:val="IndexLink"/>
              </w:rPr>
              <w:t>47</w:t>
            </w:r>
          </w:hyperlink>
        </w:p>
        <w:p>
          <w:pPr>
            <w:pStyle w:val="TOC2"/>
            <w:rPr/>
          </w:pPr>
          <w:r>
            <w:rPr>
              <w:color w:val="000080"/>
              <w:sz w:val="22"/>
            </w:rPr>
            <w:t>17.3</w:t>
          </w:r>
          <w:r>
            <w:rPr/>
            <w:tab/>
          </w:r>
          <w:r>
            <w:rPr>
              <w:color w:val="000080"/>
              <w:sz w:val="22"/>
              <w:u w:val="single"/>
            </w:rPr>
            <w:t>General Obligations</w:t>
          </w:r>
          <w:r>
            <w:rPr/>
            <w:tab/>
          </w:r>
          <w:hyperlink w:anchor="__RefHeading___Toc498441827">
            <w:r>
              <w:rPr>
                <w:rStyle w:val="IndexLink"/>
              </w:rPr>
              <w:t>48</w:t>
            </w:r>
          </w:hyperlink>
        </w:p>
        <w:p>
          <w:pPr>
            <w:pStyle w:val="TOC2"/>
            <w:rPr/>
          </w:pPr>
          <w:r>
            <w:rPr>
              <w:color w:val="000080"/>
              <w:sz w:val="22"/>
            </w:rPr>
            <w:t>17.4</w:t>
          </w:r>
          <w:r>
            <w:rPr/>
            <w:tab/>
          </w:r>
          <w:r>
            <w:rPr>
              <w:color w:val="000080"/>
              <w:sz w:val="22"/>
              <w:u w:val="single"/>
            </w:rPr>
            <w:t>Payment Obligations</w:t>
          </w:r>
          <w:r>
            <w:rPr/>
            <w:tab/>
          </w:r>
          <w:hyperlink w:anchor="__RefHeading___Toc498441828">
            <w:r>
              <w:rPr>
                <w:rStyle w:val="IndexLink"/>
              </w:rPr>
              <w:t>48</w:t>
            </w:r>
          </w:hyperlink>
        </w:p>
        <w:p>
          <w:pPr>
            <w:pStyle w:val="TOC2"/>
            <w:rPr/>
          </w:pPr>
          <w:r>
            <w:rPr>
              <w:color w:val="000080"/>
              <w:sz w:val="22"/>
            </w:rPr>
            <w:t>17.5</w:t>
          </w:r>
          <w:r>
            <w:rPr/>
            <w:tab/>
          </w:r>
          <w:r>
            <w:rPr>
              <w:color w:val="000080"/>
              <w:sz w:val="22"/>
              <w:u w:val="single"/>
            </w:rPr>
            <w:t>Events of Purchaser Default</w:t>
          </w:r>
          <w:r>
            <w:rPr/>
            <w:tab/>
          </w:r>
          <w:hyperlink w:anchor="__RefHeading___Toc498441829">
            <w:r>
              <w:rPr>
                <w:rStyle w:val="IndexLink"/>
              </w:rPr>
              <w:t>48</w:t>
            </w:r>
          </w:hyperlink>
        </w:p>
        <w:p>
          <w:pPr>
            <w:pStyle w:val="TOC2"/>
            <w:rPr/>
          </w:pPr>
          <w:r>
            <w:rPr>
              <w:color w:val="000080"/>
              <w:sz w:val="22"/>
            </w:rPr>
            <w:t>17.6</w:t>
          </w:r>
          <w:r>
            <w:rPr/>
            <w:tab/>
          </w:r>
          <w:r>
            <w:rPr>
              <w:color w:val="000080"/>
              <w:sz w:val="22"/>
              <w:u w:val="single"/>
            </w:rPr>
            <w:t>Seller Remedies</w:t>
          </w:r>
          <w:r>
            <w:rPr/>
            <w:tab/>
          </w:r>
          <w:hyperlink w:anchor="__RefHeading___Toc498441830">
            <w:r>
              <w:rPr>
                <w:rStyle w:val="IndexLink"/>
              </w:rPr>
              <w:t>48</w:t>
            </w:r>
          </w:hyperlink>
        </w:p>
        <w:p>
          <w:pPr>
            <w:pStyle w:val="TOC2"/>
            <w:rPr/>
          </w:pPr>
          <w:r>
            <w:rPr>
              <w:color w:val="000080"/>
              <w:sz w:val="22"/>
            </w:rPr>
            <w:t>17.7</w:t>
          </w:r>
          <w:r>
            <w:rPr/>
            <w:tab/>
          </w:r>
          <w:r>
            <w:rPr>
              <w:color w:val="000080"/>
              <w:sz w:val="22"/>
              <w:u w:val="single"/>
            </w:rPr>
            <w:t>Termination Due to Inability to Obtain a Permit</w:t>
          </w:r>
          <w:r>
            <w:rPr/>
            <w:tab/>
          </w:r>
          <w:hyperlink w:anchor="__RefHeading___Toc498441831">
            <w:r>
              <w:rPr>
                <w:rStyle w:val="IndexLink"/>
              </w:rPr>
              <w:t>49</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XVIII.  </w:t>
          </w:r>
          <w:r>
            <w:rPr>
              <w:rFonts w:cs="Times New Roman" w:ascii="Times New Roman" w:hAnsi="Times New Roman"/>
              <w:color w:val="000080"/>
              <w:sz w:val="22"/>
              <w:szCs w:val="24"/>
              <w:u w:val="single"/>
            </w:rPr>
            <w:t>FORCE MAJEURE</w:t>
          </w:r>
          <w:r>
            <w:rPr/>
            <w:tab/>
          </w:r>
          <w:hyperlink w:anchor="__RefHeading___Toc498441832">
            <w:r>
              <w:rPr>
                <w:rStyle w:val="IndexLink"/>
              </w:rPr>
              <w:t>50</w:t>
            </w:r>
          </w:hyperlink>
        </w:p>
        <w:p>
          <w:pPr>
            <w:pStyle w:val="TOC2"/>
            <w:rPr/>
          </w:pPr>
          <w:r>
            <w:rPr>
              <w:color w:val="000080"/>
              <w:sz w:val="22"/>
            </w:rPr>
            <w:t>18.1</w:t>
          </w:r>
          <w:r>
            <w:rPr/>
            <w:tab/>
          </w:r>
          <w:r>
            <w:rPr>
              <w:color w:val="000080"/>
              <w:sz w:val="22"/>
              <w:u w:val="single"/>
            </w:rPr>
            <w:t>Failure to Perform Due to an Event of Force Majeure</w:t>
          </w:r>
          <w:r>
            <w:rPr/>
            <w:tab/>
          </w:r>
          <w:hyperlink w:anchor="__RefHeading___Toc498441833">
            <w:r>
              <w:rPr>
                <w:rStyle w:val="IndexLink"/>
              </w:rPr>
              <w:t>50</w:t>
            </w:r>
          </w:hyperlink>
        </w:p>
        <w:p>
          <w:pPr>
            <w:pStyle w:val="TOC2"/>
            <w:rPr/>
          </w:pPr>
          <w:r>
            <w:rPr>
              <w:color w:val="000080"/>
              <w:sz w:val="22"/>
            </w:rPr>
            <w:t>18.2</w:t>
          </w:r>
          <w:r>
            <w:rPr/>
            <w:tab/>
          </w:r>
          <w:r>
            <w:rPr>
              <w:color w:val="000080"/>
              <w:sz w:val="22"/>
              <w:u w:val="single"/>
            </w:rPr>
            <w:t>Events of Force Majeure</w:t>
          </w:r>
          <w:r>
            <w:rPr/>
            <w:tab/>
          </w:r>
          <w:hyperlink w:anchor="__RefHeading___Toc498441834">
            <w:r>
              <w:rPr>
                <w:rStyle w:val="IndexLink"/>
              </w:rPr>
              <w:t>50</w:t>
            </w:r>
          </w:hyperlink>
        </w:p>
        <w:p>
          <w:pPr>
            <w:pStyle w:val="TOC2"/>
            <w:rPr/>
          </w:pPr>
          <w:r>
            <w:rPr>
              <w:color w:val="000080"/>
              <w:sz w:val="22"/>
            </w:rPr>
            <w:t>18.3</w:t>
          </w:r>
          <w:r>
            <w:rPr/>
            <w:tab/>
          </w:r>
          <w:r>
            <w:rPr>
              <w:color w:val="000080"/>
              <w:sz w:val="22"/>
              <w:u w:val="single"/>
            </w:rPr>
            <w:t>Notice of Event of Force Majeure</w:t>
          </w:r>
          <w:r>
            <w:rPr/>
            <w:tab/>
          </w:r>
          <w:hyperlink w:anchor="__RefHeading___Toc498441835">
            <w:r>
              <w:rPr>
                <w:rStyle w:val="IndexLink"/>
              </w:rPr>
              <w:t>50</w:t>
            </w:r>
          </w:hyperlink>
        </w:p>
        <w:p>
          <w:pPr>
            <w:pStyle w:val="TOC2"/>
            <w:rPr/>
          </w:pPr>
          <w:r>
            <w:rPr>
              <w:color w:val="000080"/>
              <w:sz w:val="22"/>
            </w:rPr>
            <w:t>18.4</w:t>
          </w:r>
          <w:r>
            <w:rPr/>
            <w:tab/>
          </w:r>
          <w:r>
            <w:rPr>
              <w:color w:val="000080"/>
              <w:sz w:val="22"/>
              <w:u w:val="single"/>
            </w:rPr>
            <w:t>Events of Force Majeure</w:t>
          </w:r>
          <w:r>
            <w:rPr/>
            <w:tab/>
          </w:r>
          <w:hyperlink w:anchor="__RefHeading___Toc498441836">
            <w:r>
              <w:rPr>
                <w:rStyle w:val="IndexLink"/>
              </w:rPr>
              <w:t>51</w:t>
            </w:r>
          </w:hyperlink>
        </w:p>
        <w:p>
          <w:pPr>
            <w:pStyle w:val="TOC2"/>
            <w:rPr/>
          </w:pPr>
          <w:r>
            <w:rPr>
              <w:color w:val="000080"/>
              <w:sz w:val="22"/>
            </w:rPr>
            <w:t>18.5</w:t>
          </w:r>
          <w:r>
            <w:rPr/>
            <w:tab/>
          </w:r>
          <w:r>
            <w:rPr>
              <w:color w:val="000080"/>
              <w:sz w:val="22"/>
              <w:u w:val="single"/>
            </w:rPr>
            <w:t>Certain Events Not Excused</w:t>
          </w:r>
          <w:r>
            <w:rPr/>
            <w:tab/>
          </w:r>
          <w:hyperlink w:anchor="__RefHeading___Toc498441837">
            <w:r>
              <w:rPr>
                <w:rStyle w:val="IndexLink"/>
              </w:rPr>
              <w:t>52</w:t>
            </w:r>
          </w:hyperlink>
        </w:p>
        <w:p>
          <w:pPr>
            <w:pStyle w:val="TOC2"/>
            <w:rPr/>
          </w:pPr>
          <w:r>
            <w:rPr>
              <w:color w:val="000080"/>
              <w:sz w:val="22"/>
            </w:rPr>
            <w:t>18.6</w:t>
          </w:r>
          <w:r>
            <w:rPr/>
            <w:tab/>
          </w:r>
          <w:r>
            <w:rPr>
              <w:color w:val="000080"/>
              <w:sz w:val="22"/>
              <w:u w:val="single"/>
            </w:rPr>
            <w:t>Continued Performance</w:t>
          </w:r>
          <w:r>
            <w:rPr/>
            <w:tab/>
          </w:r>
          <w:hyperlink w:anchor="__RefHeading___Toc498441838">
            <w:r>
              <w:rPr>
                <w:rStyle w:val="IndexLink"/>
              </w:rPr>
              <w:t>52</w:t>
            </w:r>
          </w:hyperlink>
        </w:p>
        <w:p>
          <w:pPr>
            <w:pStyle w:val="TOC2"/>
            <w:rPr/>
          </w:pPr>
          <w:r>
            <w:rPr>
              <w:color w:val="000080"/>
              <w:sz w:val="22"/>
            </w:rPr>
            <w:t>18.7</w:t>
          </w:r>
          <w:r>
            <w:rPr/>
            <w:tab/>
          </w:r>
          <w:r>
            <w:rPr>
              <w:color w:val="000080"/>
              <w:sz w:val="22"/>
              <w:u w:val="single"/>
            </w:rPr>
            <w:t xml:space="preserve">Force Majeure </w:t>
            <w:noBreakHyphen/>
            <w:t xml:space="preserve"> Delays</w:t>
          </w:r>
          <w:r>
            <w:rPr/>
            <w:tab/>
          </w:r>
          <w:hyperlink w:anchor="__RefHeading___Toc498441839">
            <w:r>
              <w:rPr>
                <w:rStyle w:val="IndexLink"/>
              </w:rPr>
              <w:t>52</w:t>
            </w:r>
          </w:hyperlink>
        </w:p>
        <w:p>
          <w:pPr>
            <w:pStyle w:val="TOC2"/>
            <w:rPr/>
          </w:pPr>
          <w:r>
            <w:rPr>
              <w:color w:val="000080"/>
              <w:sz w:val="22"/>
            </w:rPr>
            <w:t>18.8</w:t>
          </w:r>
          <w:r>
            <w:rPr/>
            <w:tab/>
          </w:r>
          <w:r>
            <w:rPr>
              <w:color w:val="000080"/>
              <w:sz w:val="22"/>
              <w:u w:val="single"/>
            </w:rPr>
            <w:t xml:space="preserve">Force Majeure </w:t>
            <w:noBreakHyphen/>
            <w:t xml:space="preserve"> Cost</w:t>
          </w:r>
          <w:r>
            <w:rPr/>
            <w:tab/>
          </w:r>
          <w:hyperlink w:anchor="__RefHeading___Toc498441840">
            <w:r>
              <w:rPr>
                <w:rStyle w:val="IndexLink"/>
              </w:rPr>
              <w:t>52</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XIX.  </w:t>
          </w:r>
          <w:r>
            <w:rPr>
              <w:rFonts w:cs="Times New Roman" w:ascii="Times New Roman" w:hAnsi="Times New Roman"/>
              <w:color w:val="000080"/>
              <w:sz w:val="22"/>
              <w:szCs w:val="24"/>
              <w:u w:val="single"/>
            </w:rPr>
            <w:t>INSURANCE</w:t>
          </w:r>
          <w:r>
            <w:rPr/>
            <w:tab/>
          </w:r>
          <w:hyperlink w:anchor="__RefHeading___Toc498441841">
            <w:r>
              <w:rPr>
                <w:rStyle w:val="IndexLink"/>
              </w:rPr>
              <w:t>53</w:t>
            </w:r>
          </w:hyperlink>
        </w:p>
        <w:p>
          <w:pPr>
            <w:pStyle w:val="TOC2"/>
            <w:rPr/>
          </w:pPr>
          <w:r>
            <w:rPr>
              <w:color w:val="000080"/>
              <w:sz w:val="22"/>
            </w:rPr>
            <w:t>19.1</w:t>
          </w:r>
          <w:r>
            <w:rPr/>
            <w:tab/>
          </w:r>
          <w:r>
            <w:rPr>
              <w:color w:val="000080"/>
              <w:sz w:val="22"/>
              <w:u w:val="single"/>
            </w:rPr>
            <w:t xml:space="preserve">Insurance </w:t>
            <w:noBreakHyphen/>
            <w:t xml:space="preserve"> Seller</w:t>
          </w:r>
          <w:r>
            <w:rPr/>
            <w:tab/>
          </w:r>
          <w:hyperlink w:anchor="__RefHeading___Toc498441842">
            <w:r>
              <w:rPr>
                <w:rStyle w:val="IndexLink"/>
              </w:rPr>
              <w:t>53</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19.1.1</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All Risk</w:t>
          </w:r>
          <w:r>
            <w:rPr>
              <w:lang w:val="en-CA" w:eastAsia="en-CA"/>
            </w:rPr>
            <w:tab/>
          </w:r>
          <w:hyperlink w:anchor="__RefHeading___Toc498441843">
            <w:r>
              <w:rPr>
                <w:rStyle w:val="IndexLink"/>
                <w:lang w:val="en-CA" w:eastAsia="en-CA"/>
              </w:rPr>
              <w:t>53</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19.1.2</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Workers Compensation and Employers Liability Insurance</w:t>
          </w:r>
          <w:r>
            <w:rPr>
              <w:lang w:val="en-CA" w:eastAsia="en-CA"/>
            </w:rPr>
            <w:tab/>
          </w:r>
          <w:hyperlink w:anchor="__RefHeading___Toc498441844">
            <w:r>
              <w:rPr>
                <w:rStyle w:val="IndexLink"/>
                <w:lang w:val="en-CA" w:eastAsia="en-CA"/>
              </w:rPr>
              <w:t>53</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19.1.3</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 xml:space="preserve">Commercial General Liability </w:t>
          </w:r>
          <w:r>
            <w:rPr>
              <w:rFonts w:cs="Times New Roman" w:ascii="Times New Roman" w:hAnsi="Times New Roman"/>
              <w:color w:val="000080"/>
              <w:sz w:val="22"/>
              <w:szCs w:val="24"/>
              <w:lang w:val="en-CA" w:eastAsia="en-CA"/>
            </w:rPr>
            <w:t>Insurance</w:t>
          </w:r>
          <w:r>
            <w:rPr>
              <w:lang w:val="en-CA" w:eastAsia="en-CA"/>
            </w:rPr>
            <w:tab/>
          </w:r>
          <w:hyperlink w:anchor="__RefHeading___Toc498441845">
            <w:r>
              <w:rPr>
                <w:rStyle w:val="IndexLink"/>
                <w:lang w:val="en-CA" w:eastAsia="en-CA"/>
              </w:rPr>
              <w:t>53</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19.1.4</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Business Automobile Liability Insurance</w:t>
          </w:r>
          <w:r>
            <w:rPr>
              <w:lang w:val="en-CA" w:eastAsia="en-CA"/>
            </w:rPr>
            <w:tab/>
          </w:r>
          <w:hyperlink w:anchor="__RefHeading___Toc498441846">
            <w:r>
              <w:rPr>
                <w:rStyle w:val="IndexLink"/>
                <w:lang w:val="en-CA" w:eastAsia="en-CA"/>
              </w:rPr>
              <w:t>53</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19.1.5</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 xml:space="preserve">Excess Umbrella Liability </w:t>
          </w:r>
          <w:r>
            <w:rPr>
              <w:rFonts w:cs="Times New Roman" w:ascii="Times New Roman" w:hAnsi="Times New Roman"/>
              <w:color w:val="000080"/>
              <w:sz w:val="22"/>
              <w:szCs w:val="24"/>
              <w:lang w:val="en-CA" w:eastAsia="en-CA"/>
            </w:rPr>
            <w:t>Coverage</w:t>
          </w:r>
          <w:r>
            <w:rPr>
              <w:lang w:val="en-CA" w:eastAsia="en-CA"/>
            </w:rPr>
            <w:tab/>
          </w:r>
          <w:hyperlink w:anchor="__RefHeading___Toc498441847">
            <w:r>
              <w:rPr>
                <w:rStyle w:val="IndexLink"/>
                <w:lang w:val="en-CA" w:eastAsia="en-CA"/>
              </w:rPr>
              <w:t>53</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19.1.6</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Vendors</w:t>
          </w:r>
          <w:r>
            <w:rPr>
              <w:lang w:val="en-CA" w:eastAsia="en-CA"/>
            </w:rPr>
            <w:tab/>
          </w:r>
          <w:hyperlink w:anchor="__RefHeading___Toc498441848">
            <w:r>
              <w:rPr>
                <w:rStyle w:val="IndexLink"/>
                <w:lang w:val="en-CA" w:eastAsia="en-CA"/>
              </w:rPr>
              <w:t>54</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19.1.7</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Certificate of Insurance</w:t>
          </w:r>
          <w:r>
            <w:rPr>
              <w:lang w:val="en-CA" w:eastAsia="en-CA"/>
            </w:rPr>
            <w:tab/>
          </w:r>
          <w:hyperlink w:anchor="__RefHeading___Toc498441849">
            <w:r>
              <w:rPr>
                <w:rStyle w:val="IndexLink"/>
                <w:lang w:val="en-CA" w:eastAsia="en-CA"/>
              </w:rPr>
              <w:t>54</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19.1.8</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Other Requirements</w:t>
          </w:r>
          <w:r>
            <w:rPr>
              <w:lang w:val="en-CA" w:eastAsia="en-CA"/>
            </w:rPr>
            <w:tab/>
          </w:r>
          <w:hyperlink w:anchor="__RefHeading___Toc498441850">
            <w:r>
              <w:rPr>
                <w:rStyle w:val="IndexLink"/>
                <w:lang w:val="en-CA" w:eastAsia="en-CA"/>
              </w:rPr>
              <w:t>54</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19.1.9</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Compliance with Insurance</w:t>
          </w:r>
          <w:r>
            <w:rPr>
              <w:lang w:val="en-CA" w:eastAsia="en-CA"/>
            </w:rPr>
            <w:tab/>
          </w:r>
          <w:hyperlink w:anchor="__RefHeading___Toc498441851">
            <w:r>
              <w:rPr>
                <w:rStyle w:val="IndexLink"/>
                <w:lang w:val="en-CA" w:eastAsia="en-CA"/>
              </w:rPr>
              <w:t>54</w:t>
            </w:r>
          </w:hyperlink>
        </w:p>
        <w:p>
          <w:pPr>
            <w:pStyle w:val="TOC3"/>
            <w:tabs>
              <w:tab w:val="clear" w:pos="720"/>
              <w:tab w:val="left" w:pos="1440" w:leader="none"/>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19.1.10</w:t>
          </w:r>
          <w:r>
            <w:rPr>
              <w:rFonts w:cs="Times New Roman" w:ascii="Times New Roman" w:hAnsi="Times New Roman"/>
              <w:sz w:val="24"/>
              <w:szCs w:val="24"/>
              <w:lang w:val="en-CA" w:eastAsia="en-CA"/>
            </w:rPr>
            <w:tab/>
          </w:r>
          <w:r>
            <w:rPr>
              <w:rFonts w:cs="Times New Roman" w:ascii="Times New Roman" w:hAnsi="Times New Roman"/>
              <w:color w:val="000080"/>
              <w:sz w:val="22"/>
              <w:szCs w:val="24"/>
              <w:u w:val="single"/>
              <w:lang w:val="en-CA" w:eastAsia="en-CA"/>
            </w:rPr>
            <w:t>Limitation</w:t>
          </w:r>
          <w:r>
            <w:rPr>
              <w:lang w:val="en-CA" w:eastAsia="en-CA"/>
            </w:rPr>
            <w:tab/>
          </w:r>
          <w:hyperlink w:anchor="__RefHeading___Toc498441852">
            <w:r>
              <w:rPr>
                <w:rStyle w:val="IndexLink"/>
                <w:lang w:val="en-CA" w:eastAsia="en-CA"/>
              </w:rPr>
              <w:t>54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 w:val="22"/>
              <w:szCs w:val="24"/>
              <w:lang w:val="en-CA" w:eastAsia="en-CA"/>
            </w:rPr>
            <w:t>19.1.10.1</w:t>
          </w:r>
          <w:r>
            <w:rPr>
              <w:lang w:val="en-CA" w:eastAsia="en-CA"/>
            </w:rPr>
            <w:tab/>
          </w:r>
          <w:hyperlink w:anchor="__RefHeading___Toc498441853">
            <w:r>
              <w:rPr>
                <w:rStyle w:val="IndexLink"/>
                <w:lang w:val="en-CA" w:eastAsia="en-CA"/>
              </w:rPr>
              <w:t>55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color w:val="000080"/>
              <w:szCs w:val="24"/>
              <w:lang w:val="en-CA" w:eastAsia="en-CA"/>
            </w:rPr>
            <w:t>19.1.10.2</w:t>
          </w:r>
          <w:r>
            <w:rPr>
              <w:lang w:val="en-CA" w:eastAsia="en-CA"/>
            </w:rPr>
            <w:tab/>
          </w:r>
          <w:hyperlink w:anchor="__RefHeading___Toc498441854">
            <w:r>
              <w:rPr>
                <w:rStyle w:val="IndexLink"/>
                <w:lang w:val="en-CA" w:eastAsia="en-CA"/>
              </w:rPr>
              <w:t>55</w:t>
            </w:r>
          </w:hyperlink>
        </w:p>
        <w:p>
          <w:pPr>
            <w:pStyle w:val="TOC2"/>
            <w:rPr/>
          </w:pPr>
          <w:r>
            <w:rPr>
              <w:color w:val="000080"/>
              <w:sz w:val="22"/>
            </w:rPr>
            <w:t>19.2</w:t>
          </w:r>
          <w:r>
            <w:rPr/>
            <w:tab/>
          </w:r>
          <w:r>
            <w:rPr>
              <w:color w:val="000080"/>
              <w:sz w:val="22"/>
              <w:u w:val="single"/>
            </w:rPr>
            <w:t>Insurance - Purchaser</w:t>
          </w:r>
          <w:r>
            <w:rPr/>
            <w:tab/>
          </w:r>
          <w:hyperlink w:anchor="__RefHeading___Toc498441855">
            <w:r>
              <w:rPr>
                <w:rStyle w:val="IndexLink"/>
              </w:rPr>
              <w:t>55</w:t>
            </w:r>
          </w:hyperlink>
        </w:p>
        <w:p>
          <w:pPr>
            <w:pStyle w:val="TOC2"/>
            <w:rPr/>
          </w:pPr>
          <w:r>
            <w:rPr>
              <w:color w:val="000080"/>
              <w:sz w:val="22"/>
            </w:rPr>
            <w:t>19.3</w:t>
          </w:r>
          <w:r>
            <w:rPr/>
            <w:tab/>
          </w:r>
          <w:r>
            <w:rPr>
              <w:color w:val="000080"/>
              <w:sz w:val="22"/>
              <w:u w:val="single"/>
            </w:rPr>
            <w:t>Primary Insurance</w:t>
          </w:r>
          <w:r>
            <w:rPr/>
            <w:tab/>
          </w:r>
          <w:hyperlink w:anchor="__RefHeading___Toc498441856">
            <w:r>
              <w:rPr>
                <w:rStyle w:val="IndexLink"/>
              </w:rPr>
              <w:t>55</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  </w:t>
          </w:r>
          <w:r>
            <w:rPr>
              <w:rFonts w:cs="Times New Roman" w:ascii="Times New Roman" w:hAnsi="Times New Roman"/>
              <w:color w:val="000080"/>
              <w:sz w:val="22"/>
              <w:szCs w:val="24"/>
              <w:u w:val="single"/>
            </w:rPr>
            <w:t>INDEMNIFICATION</w:t>
          </w:r>
          <w:r>
            <w:rPr/>
            <w:tab/>
          </w:r>
          <w:hyperlink w:anchor="__RefHeading___Toc498441857">
            <w:r>
              <w:rPr>
                <w:rStyle w:val="IndexLink"/>
              </w:rPr>
              <w:t>56</w:t>
            </w:r>
          </w:hyperlink>
        </w:p>
        <w:p>
          <w:pPr>
            <w:pStyle w:val="TOC2"/>
            <w:rPr/>
          </w:pPr>
          <w:r>
            <w:rPr>
              <w:color w:val="000080"/>
              <w:sz w:val="22"/>
            </w:rPr>
            <w:t>20.1</w:t>
          </w:r>
          <w:r>
            <w:rPr/>
            <w:tab/>
          </w:r>
          <w:r>
            <w:rPr>
              <w:color w:val="000080"/>
              <w:sz w:val="22"/>
              <w:u w:val="single"/>
            </w:rPr>
            <w:t>Third Party</w:t>
          </w:r>
          <w:r>
            <w:rPr/>
            <w:tab/>
          </w:r>
          <w:hyperlink w:anchor="__RefHeading___Toc498441858">
            <w:r>
              <w:rPr>
                <w:rStyle w:val="IndexLink"/>
              </w:rPr>
              <w:t>56</w:t>
            </w:r>
          </w:hyperlink>
        </w:p>
        <w:p>
          <w:pPr>
            <w:pStyle w:val="TOC2"/>
            <w:rPr/>
          </w:pPr>
          <w:r>
            <w:rPr>
              <w:color w:val="000080"/>
              <w:sz w:val="22"/>
            </w:rPr>
            <w:t>20.2</w:t>
          </w:r>
          <w:r>
            <w:rPr/>
            <w:tab/>
          </w:r>
          <w:r>
            <w:rPr>
              <w:color w:val="000080"/>
              <w:sz w:val="22"/>
              <w:u w:val="single"/>
            </w:rPr>
            <w:t>Notice</w:t>
          </w:r>
          <w:r>
            <w:rPr/>
            <w:tab/>
          </w:r>
          <w:hyperlink w:anchor="__RefHeading___Toc498441859">
            <w:r>
              <w:rPr>
                <w:rStyle w:val="IndexLink"/>
              </w:rPr>
              <w:t>56</w:t>
            </w:r>
          </w:hyperlink>
        </w:p>
        <w:p>
          <w:pPr>
            <w:pStyle w:val="TOC2"/>
            <w:rPr/>
          </w:pPr>
          <w:r>
            <w:rPr>
              <w:color w:val="000080"/>
              <w:sz w:val="22"/>
            </w:rPr>
            <w:t>20.3</w:t>
          </w:r>
          <w:r>
            <w:rPr/>
            <w:tab/>
          </w:r>
          <w:r>
            <w:rPr>
              <w:color w:val="000080"/>
              <w:sz w:val="22"/>
              <w:u w:val="single"/>
            </w:rPr>
            <w:t>Survival of Obligation</w:t>
          </w:r>
          <w:r>
            <w:rPr/>
            <w:tab/>
          </w:r>
          <w:hyperlink w:anchor="__RefHeading___Toc498441860">
            <w:r>
              <w:rPr>
                <w:rStyle w:val="IndexLink"/>
              </w:rPr>
              <w:t>57</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XXI.  </w:t>
          </w:r>
          <w:r>
            <w:rPr>
              <w:rFonts w:cs="Times New Roman" w:ascii="Times New Roman" w:hAnsi="Times New Roman"/>
              <w:color w:val="000080"/>
              <w:sz w:val="22"/>
              <w:szCs w:val="24"/>
              <w:u w:val="single"/>
            </w:rPr>
            <w:t>NON</w:t>
            <w:noBreakHyphen/>
            <w:t>DISCLOSURE OF INFORMATION</w:t>
          </w:r>
          <w:r>
            <w:rPr/>
            <w:tab/>
          </w:r>
          <w:hyperlink w:anchor="__RefHeading___Toc498441861">
            <w:r>
              <w:rPr>
                <w:rStyle w:val="IndexLink"/>
              </w:rPr>
              <w:t>58</w:t>
            </w:r>
          </w:hyperlink>
        </w:p>
        <w:p>
          <w:pPr>
            <w:pStyle w:val="TOC2"/>
            <w:rPr/>
          </w:pPr>
          <w:r>
            <w:rPr>
              <w:color w:val="000080"/>
              <w:sz w:val="22"/>
            </w:rPr>
            <w:t>21.1</w:t>
          </w:r>
          <w:r>
            <w:rPr/>
            <w:tab/>
          </w:r>
          <w:r>
            <w:rPr>
              <w:color w:val="000080"/>
              <w:sz w:val="22"/>
              <w:u w:val="single"/>
            </w:rPr>
            <w:t>Proprietary Information</w:t>
          </w:r>
          <w:r>
            <w:rPr/>
            <w:tab/>
          </w:r>
          <w:hyperlink w:anchor="__RefHeading___Toc498441862">
            <w:r>
              <w:rPr>
                <w:rStyle w:val="IndexLink"/>
              </w:rPr>
              <w:t>58</w:t>
            </w:r>
          </w:hyperlink>
        </w:p>
        <w:p>
          <w:pPr>
            <w:pStyle w:val="TOC2"/>
            <w:rPr/>
          </w:pPr>
          <w:r>
            <w:rPr>
              <w:color w:val="000080"/>
              <w:sz w:val="22"/>
            </w:rPr>
            <w:t>21.2</w:t>
          </w:r>
          <w:r>
            <w:rPr/>
            <w:tab/>
          </w:r>
          <w:r>
            <w:rPr>
              <w:color w:val="000080"/>
              <w:sz w:val="22"/>
              <w:u w:val="single"/>
            </w:rPr>
            <w:t>Press Releases</w:t>
          </w:r>
          <w:r>
            <w:rPr/>
            <w:tab/>
          </w:r>
          <w:hyperlink w:anchor="__RefHeading___Toc498441863">
            <w:r>
              <w:rPr>
                <w:rStyle w:val="IndexLink"/>
              </w:rPr>
              <w:t>58</w:t>
            </w:r>
          </w:hyperlink>
        </w:p>
        <w:p>
          <w:pPr>
            <w:pStyle w:val="TOC2"/>
            <w:rPr/>
          </w:pPr>
          <w:r>
            <w:rPr>
              <w:color w:val="000080"/>
              <w:sz w:val="22"/>
            </w:rPr>
            <w:t>21.3</w:t>
          </w:r>
          <w:r>
            <w:rPr/>
            <w:tab/>
          </w:r>
          <w:r>
            <w:rPr>
              <w:color w:val="000080"/>
              <w:sz w:val="22"/>
              <w:u w:val="single"/>
            </w:rPr>
            <w:t>Confidentiality</w:t>
          </w:r>
          <w:r>
            <w:rPr/>
            <w:tab/>
          </w:r>
          <w:hyperlink w:anchor="__RefHeading___Toc498441864">
            <w:r>
              <w:rPr>
                <w:rStyle w:val="IndexLink"/>
              </w:rPr>
              <w:t>58</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XXII.  </w:t>
          </w:r>
          <w:r>
            <w:rPr>
              <w:rFonts w:cs="Times New Roman" w:ascii="Times New Roman" w:hAnsi="Times New Roman"/>
              <w:color w:val="000080"/>
              <w:sz w:val="22"/>
              <w:szCs w:val="24"/>
              <w:u w:val="single"/>
            </w:rPr>
            <w:t>ASSIGNMENT</w:t>
          </w:r>
          <w:r>
            <w:rPr/>
            <w:tab/>
          </w:r>
          <w:hyperlink w:anchor="__RefHeading___Toc498441865">
            <w:r>
              <w:rPr>
                <w:rStyle w:val="IndexLink"/>
              </w:rPr>
              <w:t>61</w:t>
            </w:r>
          </w:hyperlink>
        </w:p>
        <w:p>
          <w:pPr>
            <w:pStyle w:val="TOC2"/>
            <w:rPr/>
          </w:pPr>
          <w:r>
            <w:rPr>
              <w:color w:val="000080"/>
              <w:sz w:val="22"/>
            </w:rPr>
            <w:t>22.1</w:t>
          </w:r>
          <w:r>
            <w:rPr/>
            <w:tab/>
          </w:r>
          <w:r>
            <w:rPr>
              <w:color w:val="000080"/>
              <w:sz w:val="22"/>
              <w:u w:val="single"/>
            </w:rPr>
            <w:t>Assignment by Seller</w:t>
          </w:r>
          <w:r>
            <w:rPr/>
            <w:tab/>
          </w:r>
          <w:hyperlink w:anchor="__RefHeading___Toc498441866">
            <w:r>
              <w:rPr>
                <w:rStyle w:val="IndexLink"/>
              </w:rPr>
              <w:t>61</w:t>
            </w:r>
          </w:hyperlink>
        </w:p>
        <w:p>
          <w:pPr>
            <w:pStyle w:val="TOC2"/>
            <w:rPr/>
          </w:pPr>
          <w:r>
            <w:rPr>
              <w:color w:val="000080"/>
              <w:sz w:val="22"/>
            </w:rPr>
            <w:t>22.2</w:t>
          </w:r>
          <w:r>
            <w:rPr/>
            <w:tab/>
          </w:r>
          <w:r>
            <w:rPr>
              <w:color w:val="000080"/>
              <w:sz w:val="22"/>
              <w:u w:val="single"/>
            </w:rPr>
            <w:t>Assignment by Purchaser</w:t>
          </w:r>
          <w:r>
            <w:rPr/>
            <w:tab/>
          </w:r>
          <w:hyperlink w:anchor="__RefHeading___Toc498441867">
            <w:r>
              <w:rPr>
                <w:rStyle w:val="IndexLink"/>
              </w:rPr>
              <w:t>61</w:t>
            </w:r>
          </w:hyperlink>
        </w:p>
        <w:p>
          <w:pPr>
            <w:pStyle w:val="TOC2"/>
            <w:rPr/>
          </w:pPr>
          <w:r>
            <w:rPr>
              <w:color w:val="000080"/>
              <w:sz w:val="22"/>
            </w:rPr>
            <w:t>22.3</w:t>
          </w:r>
          <w:r>
            <w:rPr/>
            <w:tab/>
          </w:r>
          <w:r>
            <w:rPr>
              <w:color w:val="000080"/>
              <w:sz w:val="22"/>
              <w:u w:val="single"/>
            </w:rPr>
            <w:t>Assignment after Acceptance</w:t>
          </w:r>
          <w:r>
            <w:rPr/>
            <w:tab/>
          </w:r>
          <w:hyperlink w:anchor="__RefHeading___Toc498441868">
            <w:r>
              <w:rPr>
                <w:rStyle w:val="IndexLink"/>
              </w:rPr>
              <w:t>62</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XXIII.  </w:t>
          </w:r>
          <w:r>
            <w:rPr>
              <w:rFonts w:cs="Times New Roman" w:ascii="Times New Roman" w:hAnsi="Times New Roman"/>
              <w:color w:val="000080"/>
              <w:sz w:val="22"/>
              <w:szCs w:val="24"/>
              <w:u w:val="single"/>
            </w:rPr>
            <w:t>RELATIONSHIP OF THE PARTIES</w:t>
          </w:r>
          <w:r>
            <w:rPr/>
            <w:tab/>
          </w:r>
          <w:hyperlink w:anchor="__RefHeading___Toc498441869">
            <w:r>
              <w:rPr>
                <w:rStyle w:val="IndexLink"/>
              </w:rPr>
              <w:t>63</w:t>
            </w:r>
          </w:hyperlink>
        </w:p>
        <w:p>
          <w:pPr>
            <w:pStyle w:val="TOC2"/>
            <w:rPr/>
          </w:pPr>
          <w:r>
            <w:rPr>
              <w:color w:val="000080"/>
              <w:sz w:val="22"/>
            </w:rPr>
            <w:t>23.1</w:t>
          </w:r>
          <w:r>
            <w:rPr/>
            <w:tab/>
          </w:r>
          <w:r>
            <w:rPr>
              <w:color w:val="000080"/>
              <w:sz w:val="22"/>
              <w:u w:val="single"/>
            </w:rPr>
            <w:t>Independent Contractor</w:t>
          </w:r>
          <w:r>
            <w:rPr/>
            <w:tab/>
          </w:r>
          <w:hyperlink w:anchor="__RefHeading___Toc498441870">
            <w:r>
              <w:rPr>
                <w:rStyle w:val="IndexLink"/>
              </w:rPr>
              <w:t>63</w:t>
            </w:r>
          </w:hyperlink>
        </w:p>
        <w:p>
          <w:pPr>
            <w:pStyle w:val="TOC2"/>
            <w:rPr/>
          </w:pPr>
          <w:r>
            <w:rPr>
              <w:color w:val="000080"/>
              <w:sz w:val="22"/>
            </w:rPr>
            <w:t>23.2</w:t>
          </w:r>
          <w:r>
            <w:rPr/>
            <w:tab/>
          </w:r>
          <w:r>
            <w:rPr>
              <w:color w:val="000080"/>
              <w:sz w:val="22"/>
              <w:u w:val="single"/>
            </w:rPr>
            <w:t>Responsibilities of Seller as Principal for its Agents</w:t>
          </w:r>
          <w:r>
            <w:rPr/>
            <w:tab/>
          </w:r>
          <w:hyperlink w:anchor="__RefHeading___Toc498441871">
            <w:r>
              <w:rPr>
                <w:rStyle w:val="IndexLink"/>
              </w:rPr>
              <w:t>63</w:t>
            </w:r>
          </w:hyperlink>
        </w:p>
        <w:p>
          <w:pPr>
            <w:pStyle w:val="TOC2"/>
            <w:rPr/>
          </w:pPr>
          <w:r>
            <w:rPr>
              <w:color w:val="000080"/>
              <w:sz w:val="22"/>
            </w:rPr>
            <w:t>23.3</w:t>
          </w:r>
          <w:r>
            <w:rPr/>
            <w:tab/>
          </w:r>
          <w:r>
            <w:rPr>
              <w:color w:val="000080"/>
              <w:sz w:val="22"/>
              <w:u w:val="single"/>
            </w:rPr>
            <w:t>Employees</w:t>
          </w:r>
          <w:r>
            <w:rPr/>
            <w:tab/>
          </w:r>
          <w:hyperlink w:anchor="__RefHeading___Toc498441872">
            <w:r>
              <w:rPr>
                <w:rStyle w:val="IndexLink"/>
              </w:rPr>
              <w:t>63</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XXIV.  </w:t>
          </w:r>
          <w:r>
            <w:rPr>
              <w:rFonts w:cs="Times New Roman" w:ascii="Times New Roman" w:hAnsi="Times New Roman"/>
              <w:color w:val="000080"/>
              <w:sz w:val="22"/>
              <w:szCs w:val="24"/>
              <w:u w:val="single"/>
            </w:rPr>
            <w:t>NOTICES AND COMMUNICATIONS</w:t>
          </w:r>
          <w:r>
            <w:rPr/>
            <w:tab/>
          </w:r>
          <w:hyperlink w:anchor="__RefHeading___Toc498441873">
            <w:r>
              <w:rPr>
                <w:rStyle w:val="IndexLink"/>
              </w:rPr>
              <w:t>64</w:t>
            </w:r>
          </w:hyperlink>
        </w:p>
        <w:p>
          <w:pPr>
            <w:pStyle w:val="TOC2"/>
            <w:rPr/>
          </w:pPr>
          <w:r>
            <w:rPr>
              <w:color w:val="000080"/>
              <w:sz w:val="22"/>
            </w:rPr>
            <w:t>24.1</w:t>
          </w:r>
          <w:r>
            <w:rPr/>
            <w:tab/>
          </w:r>
          <w:r>
            <w:rPr>
              <w:color w:val="000080"/>
              <w:sz w:val="22"/>
              <w:u w:val="single"/>
            </w:rPr>
            <w:t>Notices</w:t>
          </w:r>
          <w:r>
            <w:rPr/>
            <w:tab/>
          </w:r>
          <w:hyperlink w:anchor="__RefHeading___Toc498441874">
            <w:r>
              <w:rPr>
                <w:rStyle w:val="IndexLink"/>
              </w:rPr>
              <w:t>64</w:t>
            </w:r>
          </w:hyperlink>
        </w:p>
        <w:p>
          <w:pPr>
            <w:pStyle w:val="TOC2"/>
            <w:rPr/>
          </w:pPr>
          <w:r>
            <w:rPr>
              <w:color w:val="000080"/>
              <w:sz w:val="22"/>
            </w:rPr>
            <w:t>24.2</w:t>
          </w:r>
          <w:r>
            <w:rPr/>
            <w:tab/>
          </w:r>
          <w:r>
            <w:rPr>
              <w:color w:val="000080"/>
              <w:sz w:val="22"/>
              <w:u w:val="single"/>
            </w:rPr>
            <w:t>Effectiveness of Notices</w:t>
          </w:r>
          <w:r>
            <w:rPr/>
            <w:tab/>
          </w:r>
          <w:hyperlink w:anchor="__RefHeading___Toc498441875">
            <w:r>
              <w:rPr>
                <w:rStyle w:val="IndexLink"/>
              </w:rPr>
              <w:t>64</w:t>
            </w:r>
          </w:hyperlink>
        </w:p>
        <w:p>
          <w:pPr>
            <w:pStyle w:val="TOC2"/>
            <w:rPr/>
          </w:pPr>
          <w:r>
            <w:rPr>
              <w:color w:val="000080"/>
              <w:sz w:val="22"/>
            </w:rPr>
            <w:t>24.3</w:t>
          </w:r>
          <w:r>
            <w:rPr/>
            <w:tab/>
          </w:r>
          <w:r>
            <w:rPr>
              <w:color w:val="000080"/>
              <w:sz w:val="22"/>
              <w:u w:val="single"/>
            </w:rPr>
            <w:t>Technical Communications</w:t>
          </w:r>
          <w:r>
            <w:rPr/>
            <w:tab/>
          </w:r>
          <w:hyperlink w:anchor="__RefHeading___Toc498441876">
            <w:r>
              <w:rPr>
                <w:rStyle w:val="IndexLink"/>
              </w:rPr>
              <w:t>64</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XXV.  </w:t>
          </w:r>
          <w:r>
            <w:rPr>
              <w:rFonts w:cs="Times New Roman" w:ascii="Times New Roman" w:hAnsi="Times New Roman"/>
              <w:color w:val="000080"/>
              <w:sz w:val="22"/>
              <w:szCs w:val="24"/>
              <w:u w:val="single"/>
            </w:rPr>
            <w:t>DISPUTE RESOLUTION</w:t>
          </w:r>
          <w:r>
            <w:rPr/>
            <w:tab/>
          </w:r>
          <w:hyperlink w:anchor="__RefHeading___Toc498441877">
            <w:r>
              <w:rPr>
                <w:rStyle w:val="IndexLink"/>
              </w:rPr>
              <w:t>65</w:t>
            </w:r>
          </w:hyperlink>
        </w:p>
        <w:p>
          <w:pPr>
            <w:pStyle w:val="TOC2"/>
            <w:rPr/>
          </w:pPr>
          <w:r>
            <w:rPr>
              <w:color w:val="000080"/>
              <w:sz w:val="22"/>
            </w:rPr>
            <w:t>25.1</w:t>
          </w:r>
          <w:r>
            <w:rPr/>
            <w:tab/>
          </w:r>
          <w:r>
            <w:rPr>
              <w:color w:val="000080"/>
              <w:sz w:val="22"/>
              <w:u w:val="single"/>
            </w:rPr>
            <w:t>Negotiation of Disputes</w:t>
          </w:r>
          <w:r>
            <w:rPr/>
            <w:tab/>
          </w:r>
          <w:hyperlink w:anchor="__RefHeading___Toc498441878">
            <w:r>
              <w:rPr>
                <w:rStyle w:val="IndexLink"/>
              </w:rPr>
              <w:t>65</w:t>
            </w:r>
          </w:hyperlink>
        </w:p>
        <w:p>
          <w:pPr>
            <w:pStyle w:val="TOC2"/>
            <w:rPr/>
          </w:pPr>
          <w:r>
            <w:rPr>
              <w:color w:val="000080"/>
              <w:sz w:val="22"/>
            </w:rPr>
            <w:t>25.2</w:t>
          </w:r>
          <w:r>
            <w:rPr/>
            <w:tab/>
          </w:r>
          <w:r>
            <w:rPr>
              <w:color w:val="000080"/>
              <w:sz w:val="22"/>
              <w:u w:val="single"/>
            </w:rPr>
            <w:t>Waiver of Trial by Jury</w:t>
          </w:r>
          <w:r>
            <w:rPr/>
            <w:tab/>
          </w:r>
          <w:hyperlink w:anchor="__RefHeading___Toc498441879">
            <w:r>
              <w:rPr>
                <w:rStyle w:val="IndexLink"/>
              </w:rPr>
              <w:t>65</w:t>
            </w:r>
          </w:hyperlink>
        </w:p>
        <w:p>
          <w:pPr>
            <w:pStyle w:val="TOC2"/>
            <w:rPr/>
          </w:pPr>
          <w:r>
            <w:rPr>
              <w:color w:val="000080"/>
              <w:sz w:val="22"/>
            </w:rPr>
            <w:t>25.3</w:t>
          </w:r>
          <w:r>
            <w:rPr/>
            <w:tab/>
          </w:r>
          <w:r>
            <w:rPr>
              <w:color w:val="000080"/>
              <w:sz w:val="22"/>
              <w:u w:val="single"/>
            </w:rPr>
            <w:t>Consent to Jurisdiction</w:t>
          </w:r>
          <w:r>
            <w:rPr/>
            <w:tab/>
          </w:r>
          <w:hyperlink w:anchor="__RefHeading___Toc498441880">
            <w:r>
              <w:rPr>
                <w:rStyle w:val="IndexLink"/>
              </w:rPr>
              <w:t>65</w:t>
            </w:r>
          </w:hyperlink>
        </w:p>
        <w:p>
          <w:pPr>
            <w:pStyle w:val="TOC2"/>
            <w:rPr/>
          </w:pPr>
          <w:r>
            <w:rPr>
              <w:color w:val="000080"/>
              <w:sz w:val="22"/>
            </w:rPr>
            <w:t>25.4</w:t>
          </w:r>
          <w:r>
            <w:rPr/>
            <w:tab/>
          </w:r>
          <w:r>
            <w:rPr>
              <w:color w:val="000080"/>
              <w:sz w:val="22"/>
              <w:u w:val="single"/>
            </w:rPr>
            <w:t>Dispute Resolution Procedures</w:t>
          </w:r>
          <w:r>
            <w:rPr/>
            <w:tab/>
          </w:r>
          <w:hyperlink w:anchor="__RefHeading___Toc498441881">
            <w:r>
              <w:rPr>
                <w:rStyle w:val="IndexLink"/>
              </w:rPr>
              <w:t>65</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XXVI.  </w:t>
          </w:r>
          <w:r>
            <w:rPr>
              <w:rFonts w:cs="Times New Roman" w:ascii="Times New Roman" w:hAnsi="Times New Roman"/>
              <w:color w:val="000080"/>
              <w:sz w:val="22"/>
              <w:szCs w:val="24"/>
              <w:u w:val="single"/>
            </w:rPr>
            <w:t>LIMITATION OF LIABILITY</w:t>
          </w:r>
          <w:r>
            <w:rPr/>
            <w:tab/>
          </w:r>
          <w:hyperlink w:anchor="__RefHeading___Toc498441882">
            <w:r>
              <w:rPr>
                <w:rStyle w:val="IndexLink"/>
              </w:rPr>
              <w:t>68</w:t>
            </w:r>
          </w:hyperlink>
        </w:p>
        <w:p>
          <w:pPr>
            <w:pStyle w:val="TOC2"/>
            <w:rPr/>
          </w:pPr>
          <w:r>
            <w:rPr>
              <w:color w:val="000080"/>
              <w:sz w:val="22"/>
            </w:rPr>
            <w:t>26.1</w:t>
          </w:r>
          <w:r>
            <w:rPr/>
            <w:tab/>
          </w:r>
          <w:r>
            <w:rPr>
              <w:color w:val="000080"/>
              <w:sz w:val="22"/>
              <w:u w:val="single"/>
            </w:rPr>
            <w:t>Maximum Liability</w:t>
          </w:r>
          <w:r>
            <w:rPr/>
            <w:tab/>
          </w:r>
          <w:hyperlink w:anchor="__RefHeading___Toc498441883">
            <w:r>
              <w:rPr>
                <w:rStyle w:val="IndexLink"/>
              </w:rPr>
              <w:t>68</w:t>
            </w:r>
          </w:hyperlink>
        </w:p>
        <w:p>
          <w:pPr>
            <w:pStyle w:val="TOC2"/>
            <w:rPr/>
          </w:pPr>
          <w:r>
            <w:rPr>
              <w:color w:val="000080"/>
              <w:sz w:val="22"/>
            </w:rPr>
            <w:t>26.2</w:t>
          </w:r>
          <w:r>
            <w:rPr/>
            <w:tab/>
          </w:r>
          <w:r>
            <w:rPr>
              <w:color w:val="000080"/>
              <w:sz w:val="22"/>
              <w:u w:val="single"/>
            </w:rPr>
            <w:t>Consequential Damages</w:t>
          </w:r>
          <w:r>
            <w:rPr/>
            <w:tab/>
          </w:r>
          <w:hyperlink w:anchor="__RefHeading___Toc498441884">
            <w:r>
              <w:rPr>
                <w:rStyle w:val="IndexLink"/>
              </w:rPr>
              <w:t>68</w:t>
            </w:r>
          </w:hyperlink>
        </w:p>
        <w:p>
          <w:pPr>
            <w:pStyle w:val="TOC2"/>
            <w:rPr/>
          </w:pPr>
          <w:r>
            <w:rPr>
              <w:color w:val="000080"/>
              <w:sz w:val="22"/>
            </w:rPr>
            <w:t>26.3</w:t>
          </w:r>
          <w:r>
            <w:rPr/>
            <w:tab/>
          </w:r>
          <w:r>
            <w:rPr>
              <w:color w:val="000080"/>
              <w:sz w:val="22"/>
              <w:u w:val="single"/>
            </w:rPr>
            <w:t>Releases Valid in All Events</w:t>
          </w:r>
          <w:r>
            <w:rPr/>
            <w:tab/>
          </w:r>
          <w:hyperlink w:anchor="__RefHeading___Toc498441885">
            <w:r>
              <w:rPr>
                <w:rStyle w:val="IndexLink"/>
              </w:rPr>
              <w:t>68</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XXVII.  </w:t>
          </w:r>
          <w:r>
            <w:rPr>
              <w:rFonts w:cs="Times New Roman" w:ascii="Times New Roman" w:hAnsi="Times New Roman"/>
              <w:color w:val="000080"/>
              <w:sz w:val="22"/>
              <w:szCs w:val="24"/>
              <w:u w:val="single"/>
            </w:rPr>
            <w:t>DRUG AND ALCOHOL</w:t>
            <w:noBreakHyphen/>
            <w:t>FREE WORKPLACE</w:t>
          </w:r>
          <w:r>
            <w:rPr/>
            <w:tab/>
          </w:r>
          <w:hyperlink w:anchor="__RefHeading___Toc498441886">
            <w:r>
              <w:rPr>
                <w:rStyle w:val="IndexLink"/>
              </w:rPr>
              <w:t>69</w:t>
            </w:r>
          </w:hyperlink>
        </w:p>
        <w:p>
          <w:pPr>
            <w:pStyle w:val="TOC1"/>
            <w:rPr>
              <w:rFonts w:ascii="Times New Roman" w:hAnsi="Times New Roman" w:cs="Times New Roman"/>
              <w:sz w:val="24"/>
              <w:szCs w:val="24"/>
            </w:rPr>
          </w:pPr>
          <w:r>
            <w:rPr>
              <w:rFonts w:cs="Times New Roman" w:ascii="Times New Roman" w:hAnsi="Times New Roman"/>
              <w:color w:val="000080"/>
              <w:sz w:val="22"/>
              <w:szCs w:val="24"/>
            </w:rPr>
            <w:t xml:space="preserve">ARTICLE XXVIII.  </w:t>
          </w:r>
          <w:r>
            <w:rPr>
              <w:rFonts w:cs="Times New Roman" w:ascii="Times New Roman" w:hAnsi="Times New Roman"/>
              <w:color w:val="000080"/>
              <w:sz w:val="22"/>
              <w:szCs w:val="24"/>
              <w:u w:val="single"/>
            </w:rPr>
            <w:t>MISCELLANEOUS</w:t>
          </w:r>
          <w:r>
            <w:rPr/>
            <w:tab/>
          </w:r>
          <w:hyperlink w:anchor="__RefHeading___Toc498441887">
            <w:r>
              <w:rPr>
                <w:rStyle w:val="IndexLink"/>
              </w:rPr>
              <w:t>70</w:t>
            </w:r>
          </w:hyperlink>
        </w:p>
        <w:p>
          <w:pPr>
            <w:pStyle w:val="TOC2"/>
            <w:rPr/>
          </w:pPr>
          <w:r>
            <w:rPr>
              <w:color w:val="000080"/>
              <w:sz w:val="22"/>
            </w:rPr>
            <w:t>28.1</w:t>
          </w:r>
          <w:r>
            <w:rPr/>
            <w:tab/>
          </w:r>
          <w:r>
            <w:rPr>
              <w:color w:val="000080"/>
              <w:sz w:val="22"/>
              <w:u w:val="single"/>
            </w:rPr>
            <w:t>Validity and Enforceability</w:t>
          </w:r>
          <w:r>
            <w:rPr/>
            <w:tab/>
          </w:r>
          <w:hyperlink w:anchor="__RefHeading___Toc498441888">
            <w:r>
              <w:rPr>
                <w:rStyle w:val="IndexLink"/>
              </w:rPr>
              <w:t>70</w:t>
            </w:r>
          </w:hyperlink>
        </w:p>
        <w:p>
          <w:pPr>
            <w:pStyle w:val="TOC2"/>
            <w:rPr/>
          </w:pPr>
          <w:r>
            <w:rPr>
              <w:color w:val="000080"/>
              <w:sz w:val="22"/>
            </w:rPr>
            <w:t>28.2</w:t>
          </w:r>
          <w:r>
            <w:rPr/>
            <w:tab/>
          </w:r>
          <w:r>
            <w:rPr>
              <w:color w:val="000080"/>
              <w:sz w:val="22"/>
              <w:u w:val="single"/>
            </w:rPr>
            <w:t>Governing Law</w:t>
          </w:r>
          <w:r>
            <w:rPr/>
            <w:tab/>
          </w:r>
          <w:hyperlink w:anchor="__RefHeading___Toc498441889">
            <w:r>
              <w:rPr>
                <w:rStyle w:val="IndexLink"/>
              </w:rPr>
              <w:t>70</w:t>
            </w:r>
          </w:hyperlink>
        </w:p>
        <w:p>
          <w:pPr>
            <w:pStyle w:val="TOC2"/>
            <w:rPr/>
          </w:pPr>
          <w:r>
            <w:rPr>
              <w:color w:val="000080"/>
              <w:sz w:val="22"/>
            </w:rPr>
            <w:t>28.3</w:t>
          </w:r>
          <w:r>
            <w:rPr/>
            <w:tab/>
          </w:r>
          <w:r>
            <w:rPr>
              <w:color w:val="000080"/>
              <w:sz w:val="22"/>
              <w:u w:val="single"/>
            </w:rPr>
            <w:t>Entire Agreement</w:t>
          </w:r>
          <w:r>
            <w:rPr/>
            <w:tab/>
          </w:r>
          <w:hyperlink w:anchor="__RefHeading___Toc498441890">
            <w:r>
              <w:rPr>
                <w:rStyle w:val="IndexLink"/>
              </w:rPr>
              <w:t>70</w:t>
            </w:r>
          </w:hyperlink>
        </w:p>
        <w:p>
          <w:pPr>
            <w:pStyle w:val="TOC2"/>
            <w:rPr/>
          </w:pPr>
          <w:r>
            <w:rPr>
              <w:color w:val="000080"/>
              <w:sz w:val="22"/>
            </w:rPr>
            <w:t>28.4</w:t>
          </w:r>
          <w:r>
            <w:rPr/>
            <w:tab/>
          </w:r>
          <w:r>
            <w:rPr>
              <w:color w:val="000080"/>
              <w:sz w:val="22"/>
              <w:u w:val="single"/>
            </w:rPr>
            <w:t>Agreement Modification</w:t>
          </w:r>
          <w:r>
            <w:rPr/>
            <w:tab/>
          </w:r>
          <w:hyperlink w:anchor="__RefHeading___Toc498441891">
            <w:r>
              <w:rPr>
                <w:rStyle w:val="IndexLink"/>
              </w:rPr>
              <w:t>70</w:t>
            </w:r>
          </w:hyperlink>
        </w:p>
        <w:p>
          <w:pPr>
            <w:pStyle w:val="TOC2"/>
            <w:rPr/>
          </w:pPr>
          <w:r>
            <w:rPr>
              <w:color w:val="000080"/>
              <w:sz w:val="22"/>
            </w:rPr>
            <w:t>28.5</w:t>
          </w:r>
          <w:r>
            <w:rPr/>
            <w:tab/>
          </w:r>
          <w:r>
            <w:rPr>
              <w:color w:val="000080"/>
              <w:sz w:val="22"/>
              <w:u w:val="single"/>
            </w:rPr>
            <w:t>Waiver</w:t>
          </w:r>
          <w:r>
            <w:rPr/>
            <w:tab/>
          </w:r>
          <w:hyperlink w:anchor="__RefHeading___Toc498441892">
            <w:r>
              <w:rPr>
                <w:rStyle w:val="IndexLink"/>
              </w:rPr>
              <w:t>70</w:t>
            </w:r>
          </w:hyperlink>
        </w:p>
        <w:p>
          <w:pPr>
            <w:pStyle w:val="TOC2"/>
            <w:rPr/>
          </w:pPr>
          <w:r>
            <w:rPr>
              <w:color w:val="000080"/>
              <w:sz w:val="22"/>
            </w:rPr>
            <w:t>28.6</w:t>
          </w:r>
          <w:r>
            <w:rPr/>
            <w:tab/>
          </w:r>
          <w:r>
            <w:rPr>
              <w:color w:val="000080"/>
              <w:sz w:val="22"/>
              <w:u w:val="single"/>
            </w:rPr>
            <w:t>Headings</w:t>
          </w:r>
          <w:r>
            <w:rPr/>
            <w:tab/>
          </w:r>
          <w:hyperlink w:anchor="__RefHeading___Toc498441893">
            <w:r>
              <w:rPr>
                <w:rStyle w:val="IndexLink"/>
              </w:rPr>
              <w:t>70</w:t>
            </w:r>
          </w:hyperlink>
        </w:p>
        <w:p>
          <w:pPr>
            <w:pStyle w:val="TOC2"/>
            <w:rPr/>
          </w:pPr>
          <w:r>
            <w:rPr>
              <w:color w:val="000080"/>
              <w:sz w:val="22"/>
            </w:rPr>
            <w:t>28.7</w:t>
          </w:r>
          <w:r>
            <w:rPr/>
            <w:tab/>
          </w:r>
          <w:r>
            <w:rPr>
              <w:color w:val="000080"/>
              <w:sz w:val="22"/>
              <w:u w:val="single"/>
            </w:rPr>
            <w:t>Third</w:t>
            <w:noBreakHyphen/>
            <w:t>Party Beneficiaries</w:t>
          </w:r>
          <w:r>
            <w:rPr/>
            <w:tab/>
          </w:r>
          <w:hyperlink w:anchor="__RefHeading___Toc498441894">
            <w:r>
              <w:rPr>
                <w:rStyle w:val="IndexLink"/>
              </w:rPr>
              <w:t>70</w:t>
            </w:r>
          </w:hyperlink>
        </w:p>
        <w:p>
          <w:pPr>
            <w:pStyle w:val="TOC2"/>
            <w:rPr/>
          </w:pPr>
          <w:r>
            <w:rPr>
              <w:color w:val="000080"/>
              <w:sz w:val="22"/>
            </w:rPr>
            <w:t>28.8</w:t>
          </w:r>
          <w:r>
            <w:rPr/>
            <w:tab/>
          </w:r>
          <w:r>
            <w:rPr>
              <w:color w:val="000080"/>
              <w:sz w:val="22"/>
              <w:u w:val="single"/>
            </w:rPr>
            <w:t>Counterparts</w:t>
          </w:r>
          <w:r>
            <w:rPr/>
            <w:tab/>
          </w:r>
          <w:hyperlink w:anchor="__RefHeading___Toc498441895">
            <w:r>
              <w:rPr>
                <w:rStyle w:val="IndexLink"/>
              </w:rPr>
              <w:t>70</w:t>
            </w:r>
          </w:hyperlink>
        </w:p>
        <w:p>
          <w:pPr>
            <w:pStyle w:val="TOC2"/>
            <w:rPr/>
          </w:pPr>
          <w:r>
            <w:rPr>
              <w:color w:val="000080"/>
              <w:sz w:val="22"/>
            </w:rPr>
            <w:t>28.9</w:t>
          </w:r>
          <w:r>
            <w:rPr/>
            <w:tab/>
          </w:r>
          <w:r>
            <w:rPr>
              <w:color w:val="000080"/>
              <w:sz w:val="22"/>
              <w:u w:val="single"/>
            </w:rPr>
            <w:t>Equal Employment Opportunity</w:t>
          </w:r>
          <w:r>
            <w:rPr/>
            <w:tab/>
          </w:r>
          <w:hyperlink w:anchor="__RefHeading___Toc498441896">
            <w:r>
              <w:rPr>
                <w:rStyle w:val="IndexLink"/>
              </w:rPr>
              <w:t>70</w:t>
            </w:r>
          </w:hyperlink>
        </w:p>
        <w:p>
          <w:pPr>
            <w:pStyle w:val="TOC2"/>
            <w:tabs>
              <w:tab w:val="left" w:pos="960" w:leader="none"/>
              <w:tab w:val="left" w:pos="1200" w:leader="none"/>
              <w:tab w:val="right" w:pos="10070" w:leader="dot"/>
            </w:tabs>
            <w:rPr/>
          </w:pPr>
          <w:r>
            <w:rPr>
              <w:color w:val="000080"/>
              <w:sz w:val="22"/>
            </w:rPr>
            <w:t>28.10</w:t>
          </w:r>
          <w:r>
            <w:rPr/>
            <w:tab/>
          </w:r>
          <w:r>
            <w:rPr>
              <w:color w:val="000080"/>
              <w:sz w:val="22"/>
              <w:u w:val="single"/>
            </w:rPr>
            <w:t>Cooperation on Site</w:t>
          </w:r>
          <w:r>
            <w:rPr/>
            <w:tab/>
          </w:r>
          <w:hyperlink w:anchor="__RefHeading___Toc498441897">
            <w:r>
              <w:rPr>
                <w:rStyle w:val="IndexLink"/>
              </w:rPr>
              <w:t>71</w:t>
            </w:r>
          </w:hyperlink>
          <w:r>
            <w:rPr>
              <w:rStyle w:val="IndexLink"/>
            </w:rPr>
            <w:fldChar w:fldCharType="end"/>
          </w:r>
        </w:p>
      </w:sdtContent>
    </w:sdt>
    <w:p>
      <w:pPr>
        <w:pStyle w:val="Normal"/>
        <w:widowControl/>
        <w:rPr>
          <w:rFonts w:ascii="Times New Roman" w:hAnsi="Times New Roman" w:cs="Times New Roman"/>
          <w:color w:val="000080"/>
          <w:sz w:val="22"/>
          <w:lang w:val="en-CA" w:eastAsia="en-CA"/>
        </w:rPr>
      </w:pPr>
      <w:r>
        <w:rPr>
          <w:rFonts w:cs="Times New Roman" w:ascii="Times New Roman" w:hAnsi="Times New Roman"/>
          <w:color w:val="000080"/>
          <w:sz w:val="22"/>
          <w:lang w:val="en-CA" w:eastAsia="en-CA"/>
        </w:rPr>
      </w:r>
      <w:r>
        <w:br w:type="page"/>
      </w:r>
    </w:p>
    <w:p>
      <w:pPr>
        <w:pStyle w:val="Normal"/>
        <w:widowControl/>
        <w:rPr>
          <w:rFonts w:ascii="Times New Roman" w:hAnsi="Times New Roman" w:cs="Times New Roman"/>
          <w:color w:val="000080"/>
          <w:sz w:val="22"/>
          <w:lang w:val="en-CA" w:eastAsia="en-CA"/>
        </w:rPr>
      </w:pPr>
      <w:r>
        <w:rPr>
          <w:rFonts w:cs="Times New Roman" w:ascii="Times New Roman" w:hAnsi="Times New Roman"/>
          <w:color w:val="000080"/>
          <w:sz w:val="22"/>
          <w:lang w:val="en-CA" w:eastAsia="en-CA"/>
        </w:rPr>
      </w:r>
    </w:p>
    <w:p>
      <w:pPr>
        <w:pStyle w:val="Normal"/>
        <w:widowControl/>
        <w:jc w:val="center"/>
        <w:rPr>
          <w:rFonts w:ascii="Times New Roman" w:hAnsi="Times New Roman" w:cs="Times New Roman"/>
          <w:b/>
          <w:color w:val="000080"/>
          <w:sz w:val="22"/>
        </w:rPr>
      </w:pPr>
      <w:r>
        <w:rPr>
          <w:rFonts w:cs="Times New Roman" w:ascii="Times New Roman" w:hAnsi="Times New Roman"/>
          <w:b/>
          <w:color w:val="000080"/>
          <w:sz w:val="22"/>
          <w:u w:val="single"/>
        </w:rPr>
        <w:t>AGREEMENT</w:t>
      </w:r>
    </w:p>
    <w:p>
      <w:pPr>
        <w:pStyle w:val="Normal"/>
        <w:widowControl/>
        <w:jc w:val="both"/>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This Agreement is made and entered into and effective on the ___ day of ______________, 2000 (the “Effective Date”) by and between [ENRON NORTH AMERICA CORP.]., incorporated under the laws of the state of Delaware, with offices located at [                    ] ("Purchaser"), and FuelCell Energy, Inc., a corporation incorporated under the laws of Delaware (“Seller”), with offices located at [                                ].</w:t>
      </w:r>
    </w:p>
    <w:p>
      <w:pPr>
        <w:pStyle w:val="Normal"/>
        <w:widowControl/>
        <w:tabs>
          <w:tab w:val="clear" w:pos="720"/>
          <w:tab w:val="center" w:pos="5040" w:leader="none"/>
        </w:tabs>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tabs>
          <w:tab w:val="clear" w:pos="720"/>
          <w:tab w:val="center" w:pos="5040" w:leader="none"/>
        </w:tabs>
        <w:jc w:val="center"/>
        <w:rPr>
          <w:rFonts w:ascii="Times New Roman" w:hAnsi="Times New Roman" w:cs="Times New Roman"/>
          <w:b/>
          <w:color w:val="000080"/>
          <w:sz w:val="22"/>
        </w:rPr>
      </w:pPr>
      <w:r>
        <w:rPr>
          <w:rFonts w:cs="Times New Roman" w:ascii="Times New Roman" w:hAnsi="Times New Roman"/>
          <w:b/>
          <w:color w:val="000080"/>
          <w:sz w:val="22"/>
          <w:u w:val="single"/>
        </w:rPr>
        <w:t>RECITALS</w:t>
      </w:r>
    </w:p>
    <w:p>
      <w:pPr>
        <w:pStyle w:val="Normal"/>
        <w:widowControl/>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WHEREAS, Purchaser has the need to acquire fuel cell power plants and associated equipment and services; and</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pPr>
      <w:r>
        <w:rPr>
          <w:rFonts w:cs="Times New Roman" w:ascii="Times New Roman" w:hAnsi="Times New Roman"/>
          <w:color w:val="000080"/>
          <w:sz w:val="22"/>
        </w:rPr>
        <w:t>WHEREAS, Seller is in the business of designing, engineering, manufacturing, and installing Direct FuelCell</w:t>
      </w:r>
      <w:r>
        <w:rPr>
          <w:rFonts w:eastAsia="Symbol" w:cs="Symbol" w:ascii="Symbol" w:hAnsi="Symbol"/>
          <w:color w:val="000080"/>
          <w:sz w:val="22"/>
        </w:rPr>
        <w:sym w:font="Symbol" w:char="f0e2"/>
      </w:r>
      <w:r>
        <w:rPr>
          <w:rFonts w:cs="Times New Roman" w:ascii="Times New Roman" w:hAnsi="Times New Roman"/>
          <w:color w:val="000080"/>
          <w:sz w:val="22"/>
        </w:rPr>
        <w:t xml:space="preserve"> power plants and associated equipment and providing other services related thereto;</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WHEREAS, Purchaser wishes to contract with Seller for the design, engineering, manufacture, and installation of such equipment and other services related thereto;</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WHEREAS, the parties desire to set forth the terms and conditions under which Seller will provide and Purchaser will pay for such equipment and related services;</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tabs>
          <w:tab w:val="clear" w:pos="720"/>
          <w:tab w:val="left" w:pos="1530" w:leader="none"/>
          <w:tab w:val="left" w:pos="2520" w:leader="none"/>
          <w:tab w:val="center" w:pos="5040" w:leader="none"/>
        </w:tabs>
        <w:jc w:val="center"/>
        <w:rPr>
          <w:rFonts w:ascii="Times New Roman" w:hAnsi="Times New Roman" w:cs="Times New Roman"/>
          <w:color w:val="000080"/>
          <w:sz w:val="22"/>
        </w:rPr>
      </w:pPr>
      <w:r>
        <w:rPr>
          <w:rFonts w:cs="Times New Roman" w:ascii="Times New Roman" w:hAnsi="Times New Roman"/>
          <w:color w:val="000080"/>
          <w:sz w:val="22"/>
        </w:rPr>
        <w:t xml:space="preserve">ARTICLE I.  </w:t>
      </w:r>
      <w:r>
        <w:rPr>
          <w:rFonts w:cs="Times New Roman" w:ascii="Times New Roman" w:hAnsi="Times New Roman"/>
          <w:color w:val="000080"/>
          <w:sz w:val="22"/>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98441711"/>
      <w:bookmarkEnd w:id="0"/>
    </w:p>
    <w:p>
      <w:pPr>
        <w:pStyle w:val="Normal"/>
        <w:widowControl/>
        <w:rPr>
          <w:rFonts w:ascii="Times New Roman" w:hAnsi="Times New Roman" w:cs="Times New Roman"/>
          <w:b/>
          <w:bCs/>
          <w:color w:val="000080"/>
          <w:sz w:val="22"/>
        </w:rPr>
      </w:pPr>
      <w:r>
        <w:rPr>
          <w:rFonts w:cs="Times New Roman" w:ascii="Times New Roman" w:hAnsi="Times New Roman"/>
          <w:b/>
          <w:bCs/>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Capitalized words used in this Agreement without other definition shall have the meanings specified in this Article I, unless the context requires otherwise.</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The terms and the definitions set forth herein apply when capitalized.</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Acceptance” shall have the meaning as set forth in Section 10.6.</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Acceptance and Performance Evaluation Testing Protocol” shall have the meaning as set forth in Section 10.5.1.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Affiliate” shall mean a person or entity who, with respect to a specified person or entity, directly or indirectly through one or more intermediaries controls, or is controlled by, or is under common control or ownership with, the person or entity specified.</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Agreement” shall mean this Agreement for the purchase of the Equipment, including all Exhibits attached hereto, as amended from time to time as provided herein.</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Applicable Laws”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Average Purchase Amount” shall mean the total of the Purchase Amounts for all Units included in all Releases submitted under this Agreement divided by the total number of Units subject to release under this Agreement.</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Base Stack Price” shall have the meaning set forth in Section 14.3.</w:t>
      </w:r>
    </w:p>
    <w:p>
      <w:pPr>
        <w:pStyle w:val="Normal"/>
        <w:widowControl/>
        <w:spacing w:lineRule="auto" w:line="300"/>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Change in Law” shall mean any change in, or binding change in the judicial or administrative interpretation of, or adoption of, any Applicable Law, which is implemented after the Effective Date, and which has an adverse affect on a party’s performance under this Agreement; provided, however, that a change in any federal, commonwealth, state or local income or franchise tax law, workers' compensation, or payroll or withholding tax law shall not constitute a change in law hereunder.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Change Order” shall have the meaning as set forth in Section 11.2.</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Day or day” shall mean a calendar day, including weekdays, weekends, and holidays.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Delivery Point” for all Units, delivery shall mean a Facility location in Connecticut designated by Purchaser in a Release pursuant to Section 7.2.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Effective Date” shall have the meaning as set forth in the preliminary statements.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Equipment” shall mean the parts, components and materials specified in the Final Specifications and required for the performance of the Units and the balance of plant pursuant to this Agreement.</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Event of Force Majeure” shall have the meaning as defined in Section 18.1.</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Event of Purchaser Default” shall have the meaning as defined in Section 17.5.</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Event of Seller Default” shall have the meaning as defined in Section 17.1.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Expected Delivery Date” shall mean the date that the major components of a given Unit are expected to be delivered to a Site pursuant to Section 7.2, the Expected Delivery Date being at least ninety (90) days prior to the Guaranteed Installation Date unless otherwise agreed.  Seller shall in no event deliver Units of Equipment prior to the Expected Delivery Date unless Seller has received prior written consent from Purchaser for such early delivery. </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Extended Warranty Period” shall have the meaning as set forth in Section 14.2.2.</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Facility” shall mean each electric generation plant developed hereunder and comprised of the specified number of Units and the balance of plant.</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Final Project Schedule” shall mean a mutually agreed upon timeline for each party’s performance of the obligations contemplated by this Agreement, the Scope of Work and any given Release.</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Final Specifications” shall mean the final, “as built” specifications issued by Purchaser pursuant to Section 8.3 for the design, manufacture, assembly, performance and supply of the Units, which will be generally in conformity with the Preliminary Specifications.</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Guaranteed Acceptance Date” shall mean the date by which a particular unit will achieve Acceptance and shall be calculated in accordance the timeline set forth in Section 17.1(d).</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Hazardous Materials”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Heat Rate” shall mean the actual fuel energy consumed during the Performance Test determined from the actual lower heating value of the fuel multiplied by the quantity of fuel consumed and expressed in British Thermal Units (BTU), divided by the Maximum Unit Output measured in kWh during the Performance Tests, expressed as BTU/kWh(LHV) and measured from the interconnection points set forth on Exhibit C.</w:t>
      </w:r>
    </w:p>
    <w:p>
      <w:pPr>
        <w:pStyle w:val="Normal"/>
        <w:spacing w:lineRule="auto" w:line="300"/>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Indemnified Party” shall have the meaning as set forth in Section 20.1.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Installation Completion” shall have the meaning set forth in Section 10.5.1.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Interest Rate” shall mean the prime rate as published by Citibank at its New York office plus two percent (2%) per annum, provided however, that the Interest Rate shall never exceed the highest applicable lawful rate.</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kW” shall mean kilowatt.</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kWh or kwh” shall mean kilowatt hour.</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Lender” shall mean any financial institution from which Purchaser is obtaining financing in connection with a Facility.</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Maximum Unit Output” shall mean the maximum electrical output measured for a particular Unit in the most recent Performance Test conducted on such Unit.  The Maximum Unit Output shall not exceed 2000 kW for each 2.0 MW Unit, 2400 kW for each 2.4 MW Unit, and 3000 kW for Units which have had one or more modules replaced.</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Notice or notice” shall mean any notification of one party hereto by the other party hereto with respect to any matter arising under or in connection with this Agreement, to be given as provided in Section 24.1 hereof.</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BodyText"/>
        <w:jc w:val="start"/>
        <w:rPr>
          <w:rFonts w:ascii="Times New Roman" w:hAnsi="Times New Roman" w:cs="Times New Roman"/>
          <w:color w:val="000080"/>
        </w:rPr>
      </w:pPr>
      <w:r>
        <w:rPr>
          <w:rFonts w:cs="Times New Roman" w:ascii="Times New Roman" w:hAnsi="Times New Roman"/>
          <w:color w:val="000080"/>
        </w:rPr>
        <w:t>“</w:t>
      </w:r>
      <w:r>
        <w:rPr>
          <w:rFonts w:cs="Times New Roman" w:ascii="Times New Roman" w:hAnsi="Times New Roman"/>
          <w:color w:val="000080"/>
        </w:rPr>
        <w:t>O&amp;M Spare Parts” shall have the meaning set forth in Section 3.11.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O&amp;M Spare Parts Amount” shall have the meaning set forth in Section 3.11.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Patent Indemnities” shall have the meaning as set forth in Section 12.3.</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Performance Standards” shall have the meaning as set forth in Section 10.1.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Performance Test” shall mean the test(s) conducted at each Site on each Unit in accordance with the Acceptance and Performance Evaluation Testing Protocol to determine whether the tested Unit meets the Performance Standards.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Performance Test Certificate” shall mean the certificate(s) prepared by Purchaser in the format attached hereto as Exhibit E and provided to Seller, certifying that Performance Tests have been completed and setting forth the results thereof in such detail to reflect the performance of the Units.  Such certificate(s) shall also document the results of any other tests performed in accordance with the Final Specifications.</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Permit Notice” has the meaning set forth in Section 3.10.</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Preliminary Specifications” shall mean those design, manufacture, assembly, and performance specifications attached hereto as Exhibit B-1, which shall be subject to change from time to time in accordance with this Agreement; provided that the Preliminary Specifications shall include those details set forth on Exhibit C, which details shall not be subject to change and shall be incorporated into the Final Specifications.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Primary Warranty Period” shall have the meaning as set forth in Section 14.1.1.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ab/>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Project Management Plan” shall mean the plan as described in Section 8.1.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Project Manager” shall mean the project manager designated by Seller pursuant to Section 3.3(a) hereof.  </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 xml:space="preserve">Punchlist” shall mean a list of incomplete or deficient work or materials associated with Seller’s performance of the Scope of Work, which is comprised of those items which are minor in nature and do not affect the performance of the Units, safety of personnel working on or operating the Units and Equipment or the ability of the Units to function properly.  </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Purchase Amount” shall have the meaning set forth in Section 5.1.1, as such amount may be adjusted from time to time in accordance with the terms of the Agreement.</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Purchaser” shall have the meaning set forth in the preliminary statements.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Purchaser Delay” shall have the meaning set forth in Section 6.4.</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Purchaser's Representative” shall mean the individual designated by Purchaser pursuant to Section 2.1(a) hereof, who shall have the responsibility and authority specifically delegated to such individual by Purchaser and made known in writing to Seller.</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Release” shall have the meaning as set forth in Section 7.2.</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Scope of Work” shall mean a statement executed by both parties setting forth the Units and all other design, engineering, manufacture, delivery, transportation, services, equipment, drawings, documentation, supplies and materials to be performed and/or furnished by Seller and Purchaser pursuant to this Agreement. The Scope of Work is generally described in Exhibit B.</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Seller” shall have the meaning set forth in the preliminary statements.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Seller’s Use of Hazardous Materials” shall have the meaning set forth in Section 3.4(b).</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Shipping Charge” shall have the meaning set forth in Section 5.1.1.</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Site” shall mean any or all of the land where a Facility is located.</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Stack Purchase Amount” shall have the meaning set forth in Section 14.3.</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w:t>
      </w:r>
      <w:r>
        <w:rPr>
          <w:rFonts w:cs="Times New Roman" w:ascii="Times New Roman" w:hAnsi="Times New Roman"/>
          <w:color w:val="000080"/>
          <w:sz w:val="22"/>
        </w:rPr>
        <w:t>Unit” singularly, any of the electrical power generation facilities using fuel cell Units (known as Direct FuelCell</w:t>
      </w:r>
      <w:r>
        <w:rPr>
          <w:rFonts w:eastAsia="Symbol" w:cs="Symbol" w:ascii="Symbol" w:hAnsi="Symbol"/>
          <w:color w:val="000080"/>
          <w:sz w:val="22"/>
        </w:rPr>
        <w:sym w:font="Symbol" w:char="f0e2"/>
      </w:r>
      <w:r>
        <w:rPr>
          <w:rFonts w:cs="Times New Roman" w:ascii="Times New Roman" w:hAnsi="Times New Roman"/>
          <w:color w:val="000080"/>
          <w:sz w:val="22"/>
        </w:rPr>
        <w:t xml:space="preserve"> Power Plants) that Seller is furnishing under this Agreement and in accordance with the Scope of Work and the Final Specifications. </w:t>
      </w:r>
    </w:p>
    <w:p>
      <w:pPr>
        <w:pStyle w:val="Norma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w:t>
      </w:r>
      <w:r>
        <w:rPr>
          <w:rFonts w:cs="Times New Roman" w:ascii="Times New Roman" w:hAnsi="Times New Roman"/>
          <w:color w:val="000080"/>
          <w:sz w:val="22"/>
        </w:rPr>
        <w:t>Vendor” shall mean any vendor, supplier or subcontractor utilized by Seller in the performance of the Scope of Work hereunder.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II.  </w:t>
      </w:r>
      <w:r>
        <w:rPr>
          <w:rFonts w:cs="Times New Roman" w:ascii="Times New Roman" w:hAnsi="Times New Roman"/>
          <w:color w:val="000080"/>
          <w:sz w:val="22"/>
          <w:u w:val="single"/>
        </w:rPr>
        <w:t>RESPONSIBILITIES OF PURCHASER</w:t>
      </w:r>
      <w:r>
        <w:fldChar w:fldCharType="begin"/>
      </w:r>
      <w:r>
        <w:rPr/>
        <w:instrText xml:space="preserve"> TC "ARTICLE II.  RESPONSIBILITIES OF PURCHASER" \l 1 </w:instrText>
      </w:r>
      <w:r>
        <w:rPr/>
        <w:fldChar w:fldCharType="separate"/>
      </w:r>
      <w:r>
        <w:rPr/>
      </w:r>
      <w:r>
        <w:rPr/>
        <w:fldChar w:fldCharType="end"/>
      </w:r>
      <w:bookmarkStart w:id="1" w:name="__RefHeading___Toc498441712"/>
      <w:bookmarkEnd w:id="1"/>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2.1</w:t>
        <w:tab/>
      </w:r>
      <w:r>
        <w:rPr>
          <w:rFonts w:cs="Times New Roman" w:ascii="Times New Roman" w:hAnsi="Times New Roman"/>
          <w:color w:val="000080"/>
          <w:sz w:val="22"/>
          <w:u w:val="single"/>
        </w:rPr>
        <w:t>Purchaser Responsibilities</w:t>
      </w:r>
      <w:r>
        <w:fldChar w:fldCharType="begin"/>
      </w:r>
      <w:r>
        <w:rPr/>
        <w:instrText xml:space="preserve"> TC "2.1</w:instrText>
        <w:tab/>
        <w:instrText xml:space="preserve">Purchaser Responsibilities" \l 2 </w:instrText>
      </w:r>
      <w:r>
        <w:rPr/>
        <w:fldChar w:fldCharType="separate"/>
      </w:r>
      <w:r>
        <w:rPr/>
      </w:r>
      <w:r>
        <w:rPr/>
        <w:fldChar w:fldCharType="end"/>
      </w:r>
      <w:bookmarkStart w:id="2" w:name="__RefHeading___Toc498441713"/>
      <w:bookmarkEnd w:id="2"/>
      <w:r>
        <w:rPr>
          <w:rFonts w:cs="Times New Roman" w:ascii="Times New Roman" w:hAnsi="Times New Roman"/>
          <w:color w:val="000080"/>
          <w:sz w:val="22"/>
        </w:rPr>
        <w:t>.  Purchaser recognizes and acknowledges the duty to reasonably cooperate with Seller, and agrees not to wrongfully interfere with Seller’s agents, employees or Vendors during the performance of this Agreement.  Without limiting the generality of the foregoing or Purchaser’s other obligations under this Agreement, Purchaser shall be responsible for ensuring that the following occur on a timely basis and in accordance with the Scope of Work and the Project Management Plan: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(a)</w:t>
        <w:tab/>
        <w:t>designation of a representative (“Purchaser’s Representative”) and delivery of a Notice to Seller identifying Purchaser's Representative, within thirty (30) days of the Effective Date (and from time to time thereafter), who shall act as the primary point of contact for Seller with respect to the prosecution of the Scope of Work and shall have the authority to bind Purchaser but not to amend this Agreement;</w:t>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(b)</w:t>
        <w:tab/>
        <w:t xml:space="preserve">delivery of Notice, within thirty (30) days of the Effective Date (and from time to time thereafter) to Seller identifying such persons within Purchaser's organization that have authority to approve Change Orders; </w:t>
      </w:r>
    </w:p>
    <w:p>
      <w:pPr>
        <w:pStyle w:val="Normal"/>
        <w:widowControl/>
        <w:tabs>
          <w:tab w:val="clear" w:pos="720"/>
          <w:tab w:val="left" w:pos="-1440" w:leader="none"/>
        </w:tabs>
        <w:ind w:start="45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(c)</w:t>
        <w:tab/>
        <w:t xml:space="preserve">pay to Seller the sums required to be paid by Purchaser pursuant to the terms of this Agreement; </w:t>
      </w:r>
    </w:p>
    <w:p>
      <w:pPr>
        <w:pStyle w:val="Normal"/>
        <w:widowControl/>
        <w:tabs>
          <w:tab w:val="clear" w:pos="720"/>
          <w:tab w:val="left" w:pos="-1440" w:leader="none"/>
        </w:tabs>
        <w:ind w:start="45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(d)</w:t>
        <w:tab/>
        <w:t>provision or arrangement for adequate road access to the Facility from the nearest highway; and,</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(e)</w:t>
        <w:tab/>
        <w:t>provision or arrangement for those materials, items and services specifically identified in Exhibit B, in accordance with the time table set forth in such Exhibit B.</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1440" w:start="1440" w:end="0"/>
        <w:rPr>
          <w:rFonts w:ascii="Times New Roman" w:hAnsi="Times New Roman" w:cs="Times New Roman"/>
          <w:color w:val="000080"/>
          <w:sz w:val="22"/>
        </w:rPr>
      </w:pPr>
      <w:r>
        <w:rPr>
          <w:rFonts w:cs="Times New Roman" w:ascii="Times New Roman" w:hAnsi="Times New Roman"/>
          <w:color w:val="000080"/>
          <w:sz w:val="22"/>
        </w:rPr>
        <w:tab/>
        <w:t>(f)</w:t>
        <w:tab/>
        <w:t>subject to the provisions of Section 3.10, commencement of the permitting of the Facilities within ten (10) days of receipt of a favorable ruling concerning funding for the Purchase Amount from the Connecticut [DPUC].</w:t>
      </w:r>
    </w:p>
    <w:p>
      <w:pPr>
        <w:pStyle w:val="Normal"/>
        <w:widowControl/>
        <w:tabs>
          <w:tab w:val="clear" w:pos="720"/>
          <w:tab w:val="left" w:pos="-1440" w:leader="none"/>
        </w:tabs>
        <w:ind w:start="45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pPr>
      <w:r>
        <w:rPr>
          <w:rFonts w:cs="Times New Roman" w:ascii="Times New Roman" w:hAnsi="Times New Roman"/>
          <w:color w:val="000080"/>
          <w:sz w:val="22"/>
        </w:rPr>
        <w:t>2.2</w:t>
        <w:tab/>
      </w:r>
      <w:r>
        <w:rPr>
          <w:rFonts w:cs="Times New Roman" w:ascii="Times New Roman" w:hAnsi="Times New Roman"/>
          <w:color w:val="000080"/>
          <w:sz w:val="22"/>
          <w:u w:val="single"/>
        </w:rPr>
        <w:t>Compliance with Governmental Rules</w:t>
      </w:r>
      <w:r>
        <w:fldChar w:fldCharType="begin"/>
      </w:r>
      <w:r>
        <w:rPr/>
        <w:instrText xml:space="preserve"> TC "2.2</w:instrText>
        <w:tab/>
        <w:instrText xml:space="preserve">Compliance with Governmental Rules" \l 2 </w:instrText>
      </w:r>
      <w:r>
        <w:rPr/>
        <w:fldChar w:fldCharType="separate"/>
      </w:r>
      <w:r>
        <w:rPr/>
      </w:r>
      <w:r>
        <w:rPr/>
        <w:fldChar w:fldCharType="end"/>
      </w:r>
      <w:bookmarkStart w:id="3" w:name="__RefHeading___Toc498441714"/>
      <w:bookmarkEnd w:id="3"/>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(a)</w:t>
        <w:tab/>
      </w:r>
      <w:r>
        <w:rPr>
          <w:rFonts w:cs="Times New Roman" w:ascii="Times New Roman" w:hAnsi="Times New Roman"/>
          <w:color w:val="000080"/>
          <w:sz w:val="22"/>
          <w:u w:val="single"/>
        </w:rPr>
        <w:t>Purchaser Conduct</w:t>
      </w:r>
      <w:r>
        <w:rPr>
          <w:rFonts w:cs="Times New Roman" w:ascii="Times New Roman" w:hAnsi="Times New Roman"/>
          <w:color w:val="000080"/>
          <w:sz w:val="22"/>
        </w:rPr>
        <w:t>.  Purchaser shall comply with all Applicable Laws. Purchaser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Purchaser shall possess or procure all permits, certificates, and licenses necessary to allow Purchaser to perform this Agreement at all locations of performance.  Purchaser further agrees to pay any government assessed penalties, fines, and charges, and associated damages, costs, losses, and expenses (including, without limitation, court costs and attorneys' fees) of whatever kind which Seller may incur, be required to pay or be liable for as a result of, in connection with, arising out of or related to any noncompliance with this Section 2.2(a).</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ind w:hanging="720" w:start="1440" w:end="0"/>
        <w:rPr/>
      </w:pPr>
      <w:r>
        <w:rPr>
          <w:rFonts w:cs="Times New Roman" w:ascii="Times New Roman" w:hAnsi="Times New Roman"/>
          <w:color w:val="000080"/>
          <w:sz w:val="22"/>
        </w:rPr>
        <w:t>(b)</w:t>
        <w:tab/>
      </w:r>
      <w:r>
        <w:rPr>
          <w:rFonts w:cs="Times New Roman" w:ascii="Times New Roman" w:hAnsi="Times New Roman"/>
          <w:color w:val="000080"/>
          <w:sz w:val="22"/>
          <w:u w:val="single"/>
        </w:rPr>
        <w:t>Employment Practices</w:t>
      </w:r>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(1)</w:t>
        <w:tab/>
        <w:t>Purchaser agrees that it shall be at all times during the term of this Agreement in full compliance with all Applicable Laws relative to Purchaser’s employment of employees and agents of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(2)</w:t>
        <w:tab/>
        <w:t>Purchaser agrees to pay any government assessed penalties, fines, and charges, and associated damages, costs, losses, expenses (including, without limitation, court costs and attorneys' fees) which Seller may incur, be required to pay or be liable for as a result of, based on, in connection with, related to or arising from Purchaser's noncompliance with this Section 2.2(b).</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(c)</w:t>
        <w:tab/>
      </w:r>
      <w:r>
        <w:rPr>
          <w:rFonts w:cs="Times New Roman" w:ascii="Times New Roman" w:hAnsi="Times New Roman"/>
          <w:color w:val="000080"/>
          <w:sz w:val="22"/>
          <w:u w:val="single"/>
        </w:rPr>
        <w:t>Compliance with Change in Law</w:t>
      </w:r>
      <w:r>
        <w:rPr>
          <w:rFonts w:cs="Times New Roman" w:ascii="Times New Roman" w:hAnsi="Times New Roman"/>
          <w:color w:val="000080"/>
          <w:sz w:val="22"/>
        </w:rPr>
        <w:t xml:space="preserve">.  Purchaser shall, on a reasonable efforts basis, advise Seller of pending Applicable Laws of which Purchaser is aware so that each party may make an informed decision as to whether to have the Equipment designed in anticipation of such pending change as it affects the Scope of Work.  </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rPr/>
      </w:pPr>
      <w:r>
        <w:rPr>
          <w:rFonts w:cs="Times New Roman" w:ascii="Times New Roman" w:hAnsi="Times New Roman"/>
          <w:color w:val="000080"/>
          <w:sz w:val="22"/>
        </w:rPr>
        <w:t>2.3</w:t>
        <w:tab/>
      </w:r>
      <w:r>
        <w:rPr>
          <w:rFonts w:cs="Times New Roman" w:ascii="Times New Roman" w:hAnsi="Times New Roman"/>
          <w:color w:val="000080"/>
          <w:sz w:val="22"/>
          <w:u w:val="single"/>
        </w:rPr>
        <w:t>Unit Interiors</w:t>
      </w:r>
      <w:r>
        <w:fldChar w:fldCharType="begin"/>
      </w:r>
      <w:r>
        <w:rPr/>
        <w:instrText xml:space="preserve"> TC "2.3</w:instrText>
        <w:tab/>
        <w:instrText xml:space="preserve">Unit Interiors" \l 2 </w:instrText>
      </w:r>
      <w:r>
        <w:rPr/>
        <w:fldChar w:fldCharType="separate"/>
      </w:r>
      <w:r>
        <w:rPr/>
      </w:r>
      <w:r>
        <w:rPr/>
        <w:fldChar w:fldCharType="end"/>
      </w:r>
      <w:bookmarkStart w:id="4" w:name="__RefHeading___Toc498441715"/>
      <w:bookmarkEnd w:id="4"/>
      <w:r>
        <w:rPr>
          <w:rFonts w:cs="Times New Roman" w:ascii="Times New Roman" w:hAnsi="Times New Roman"/>
          <w:color w:val="000080"/>
          <w:sz w:val="22"/>
        </w:rPr>
        <w:t xml:space="preserve">.  Purchaser shall not, and shall not permit its employees, subcontractors, Facility operators, Site owners, or agents, to open any Unit modules or otherwise attempt to view the interiors of the Units.  Violation of this Section 2.3 (a) shall be deemed a material breach of the confidentiality provisions set forth in Section 21.3; and (b) shall void all warranties contained in Article XIV; provided, however that such warranties shall only be voided if Seller has complied with its warranty obligations prior to violation of this Section 2.3 and if Seller continues to make available, directly or indirectly, service for the modules after expiration of the warranty obligations.   </w:t>
      </w:r>
      <w:r>
        <w:br w:type="page"/>
      </w:r>
    </w:p>
    <w:p>
      <w:pPr>
        <w:pStyle w:val="Normal"/>
        <w:widowControl/>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III.  </w:t>
      </w:r>
      <w:r>
        <w:rPr>
          <w:rFonts w:cs="Times New Roman" w:ascii="Times New Roman" w:hAnsi="Times New Roman"/>
          <w:color w:val="000080"/>
          <w:sz w:val="22"/>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5" w:name="__RefHeading___Toc498441716"/>
      <w:bookmarkEnd w:id="5"/>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3.1</w:t>
        <w:tab/>
      </w:r>
      <w:r>
        <w:rPr>
          <w:rFonts w:cs="Times New Roman" w:ascii="Times New Roman" w:hAnsi="Times New Roman"/>
          <w:color w:val="000080"/>
          <w:sz w:val="22"/>
          <w:u w:val="single"/>
        </w:rPr>
        <w:t>General Obligations</w:t>
      </w:r>
      <w:r>
        <w:fldChar w:fldCharType="begin"/>
      </w:r>
      <w:r>
        <w:rPr/>
        <w:instrText xml:space="preserve"> TC "3.1</w:instrText>
        <w:tab/>
        <w:instrText xml:space="preserve">General Obligations" \l 2 </w:instrText>
      </w:r>
      <w:r>
        <w:rPr/>
        <w:fldChar w:fldCharType="separate"/>
      </w:r>
      <w:r>
        <w:rPr/>
      </w:r>
      <w:r>
        <w:rPr/>
        <w:fldChar w:fldCharType="end"/>
      </w:r>
      <w:bookmarkStart w:id="6" w:name="__RefHeading___Toc498441717"/>
      <w:bookmarkEnd w:id="6"/>
      <w:r>
        <w:rPr>
          <w:rFonts w:cs="Times New Roman" w:ascii="Times New Roman" w:hAnsi="Times New Roman"/>
          <w:color w:val="000080"/>
          <w:sz w:val="22"/>
        </w:rPr>
        <w:t>.  Except as expressly set forth in this Agreement, Seller shall provide the materials and supplies, competent personnel and supervision required for Seller to fulfill its responsibilities, under the Scope of Work in accordance with the terms of this Agreement, including all Exhibits.  In furtherance of the foregoing, Seller shall ensure that all Units shall comply with Final Specifications.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References in the Final Specifications to Equipment, including, material, articles or patented processes, by trade name, make, or catalog number, shall be regarded as the standard of quality to be met by Seller.  Notwithstanding the foregoing, Seller may, with the prior written consent of Purchaser, which consent shall not be unreasonably withheld or delayed, use any commercially reasonable operational, technical and functional equivalent for any equipment, material, article, or process that is named in the Final Specifications.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3.2</w:t>
        <w:tab/>
      </w:r>
      <w:r>
        <w:rPr>
          <w:rFonts w:cs="Times New Roman" w:ascii="Times New Roman" w:hAnsi="Times New Roman"/>
          <w:color w:val="000080"/>
          <w:sz w:val="22"/>
          <w:u w:val="single"/>
        </w:rPr>
        <w:t>Delivery of Equipment and Documentation</w:t>
      </w:r>
      <w:r>
        <w:fldChar w:fldCharType="begin"/>
      </w:r>
      <w:r>
        <w:rPr/>
        <w:instrText xml:space="preserve"> TC "3.2</w:instrText>
        <w:tab/>
        <w:instrText xml:space="preserve">Delivery of Equipment and Documentation" \l 2 </w:instrText>
      </w:r>
      <w:r>
        <w:rPr/>
        <w:fldChar w:fldCharType="separate"/>
      </w:r>
      <w:r>
        <w:rPr/>
      </w:r>
      <w:r>
        <w:rPr/>
        <w:fldChar w:fldCharType="end"/>
      </w:r>
      <w:bookmarkStart w:id="7" w:name="__RefHeading___Toc498441718"/>
      <w:bookmarkEnd w:id="7"/>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3.2.1</w:t>
        <w:tab/>
      </w:r>
      <w:r>
        <w:rPr>
          <w:rFonts w:cs="Times New Roman" w:ascii="Times New Roman" w:hAnsi="Times New Roman"/>
          <w:color w:val="000080"/>
          <w:sz w:val="22"/>
          <w:u w:val="single"/>
        </w:rPr>
        <w:t>Delivery to Delivery Point</w:t>
      </w:r>
      <w:r>
        <w:fldChar w:fldCharType="begin"/>
      </w:r>
      <w:r>
        <w:rPr/>
        <w:instrText xml:space="preserve"> TC "3.2.1</w:instrText>
        <w:tab/>
        <w:instrText xml:space="preserve">Delivery to Delivery Point" \l 3 </w:instrText>
      </w:r>
      <w:r>
        <w:rPr/>
        <w:fldChar w:fldCharType="separate"/>
      </w:r>
      <w:r>
        <w:rPr/>
      </w:r>
      <w:r>
        <w:rPr/>
        <w:fldChar w:fldCharType="end"/>
      </w:r>
      <w:bookmarkStart w:id="8" w:name="__RefHeading___Toc498441719"/>
      <w:bookmarkEnd w:id="8"/>
      <w:r>
        <w:rPr>
          <w:rFonts w:cs="Times New Roman" w:ascii="Times New Roman" w:hAnsi="Times New Roman"/>
          <w:color w:val="000080"/>
          <w:sz w:val="22"/>
        </w:rPr>
        <w:t>. Seller shall (i) cause the Equipment to be delivered to the Delivery Point in undamaged condition in accordance with the Specifications and the Release on or before the Expected Delivery Date, and (ii) manufacture, deliver and install the Equipment in accordance with the Scope of Work.</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3.2.2</w:t>
        <w:tab/>
      </w:r>
      <w:r>
        <w:rPr>
          <w:rFonts w:cs="Times New Roman" w:ascii="Times New Roman" w:hAnsi="Times New Roman"/>
          <w:color w:val="000080"/>
          <w:sz w:val="22"/>
          <w:u w:val="single"/>
        </w:rPr>
        <w:t>Installation Services</w:t>
      </w:r>
      <w:r>
        <w:fldChar w:fldCharType="begin"/>
      </w:r>
      <w:r>
        <w:rPr/>
        <w:instrText xml:space="preserve"> TC "3.2.2</w:instrText>
        <w:tab/>
        <w:instrText xml:space="preserve">Installation Services" \l 3 </w:instrText>
      </w:r>
      <w:r>
        <w:rPr/>
        <w:fldChar w:fldCharType="separate"/>
      </w:r>
      <w:r>
        <w:rPr/>
      </w:r>
      <w:r>
        <w:rPr/>
        <w:fldChar w:fldCharType="end"/>
      </w:r>
      <w:bookmarkStart w:id="9" w:name="__RefHeading___Toc498441720"/>
      <w:bookmarkEnd w:id="9"/>
      <w:r>
        <w:rPr>
          <w:rFonts w:cs="Times New Roman" w:ascii="Times New Roman" w:hAnsi="Times New Roman"/>
          <w:color w:val="000080"/>
          <w:sz w:val="22"/>
        </w:rPr>
        <w:t>.  Seller shall offload and install the Units at the Site in accordance with Exhibit B.  Purchaser shall have the right to object to any Vendor that Seller desires to employ in carrying out the transportation of the Units and the installation services; provided, however that such objection must be given promptly and may not be unreasonable.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3.2.3</w:t>
        <w:tab/>
      </w:r>
      <w:r>
        <w:rPr>
          <w:rFonts w:cs="Times New Roman" w:ascii="Times New Roman" w:hAnsi="Times New Roman"/>
          <w:color w:val="000080"/>
          <w:sz w:val="22"/>
          <w:u w:val="single"/>
        </w:rPr>
        <w:t>Maximum Assembly</w:t>
      </w:r>
      <w:r>
        <w:fldChar w:fldCharType="begin"/>
      </w:r>
      <w:r>
        <w:rPr/>
        <w:instrText xml:space="preserve"> TC "3.2.3</w:instrText>
        <w:tab/>
        <w:instrText xml:space="preserve">Maximize Assembly" \l 3 </w:instrText>
      </w:r>
      <w:r>
        <w:rPr/>
        <w:fldChar w:fldCharType="separate"/>
      </w:r>
      <w:r>
        <w:rPr/>
      </w:r>
      <w:r>
        <w:rPr/>
        <w:fldChar w:fldCharType="end"/>
      </w:r>
      <w:bookmarkStart w:id="10" w:name="__RefHeading___Toc498441721"/>
      <w:bookmarkEnd w:id="10"/>
      <w:r>
        <w:rPr>
          <w:rFonts w:cs="Times New Roman" w:ascii="Times New Roman" w:hAnsi="Times New Roman"/>
          <w:color w:val="000080"/>
          <w:sz w:val="22"/>
        </w:rPr>
        <w:t>.  Seller shall use commercially reasonable efforts to maximize the assembly of the Equipment prior to shipment.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3.3</w:t>
        <w:tab/>
      </w:r>
      <w:r>
        <w:rPr>
          <w:rFonts w:cs="Times New Roman" w:ascii="Times New Roman" w:hAnsi="Times New Roman"/>
          <w:color w:val="000080"/>
          <w:sz w:val="22"/>
          <w:u w:val="single"/>
        </w:rPr>
        <w:t>Relevant Information</w:t>
      </w:r>
      <w:r>
        <w:fldChar w:fldCharType="begin"/>
      </w:r>
      <w:r>
        <w:rPr/>
        <w:instrText xml:space="preserve"> TC "3.3</w:instrText>
        <w:tab/>
        <w:instrText xml:space="preserve">Relevant Information" \l 2 </w:instrText>
      </w:r>
      <w:r>
        <w:rPr/>
        <w:fldChar w:fldCharType="separate"/>
      </w:r>
      <w:r>
        <w:rPr/>
      </w:r>
      <w:r>
        <w:rPr/>
        <w:fldChar w:fldCharType="end"/>
      </w:r>
      <w:bookmarkStart w:id="11" w:name="__RefHeading___Toc498441722"/>
      <w:bookmarkEnd w:id="11"/>
      <w:r>
        <w:rPr>
          <w:rFonts w:cs="Times New Roman" w:ascii="Times New Roman" w:hAnsi="Times New Roman"/>
          <w:color w:val="000080"/>
          <w:sz w:val="22"/>
        </w:rPr>
        <w:t>.  In response to a reasonable request for information from Purchaser, Seller shall provide on a timely basis to Purchaser information reasonably necessary to fulfill Seller’s obligation pursuant to this Agreement, including:</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 xml:space="preserve">within thirty (30) days of the Effective Date of this Agreement (and from time to time thereafter),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such information as is reasonably requested by Purchaser in dealing with its customers and/or any governmental authority in matters relating to the Scope of Work;</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 xml:space="preserve">within thirty (30) days of a Release and for every month thereafter, a Project Management Plan, including an updated project schedule detailing the expected manufacturing, shipping and installation schedule for each Unit which is subject to the Release; and </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upon such reasonable request of Purchaser, such documents as required by or as reasonably required to implement or evaluate the Project Management Plan.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3.4</w:t>
        <w:tab/>
      </w:r>
      <w:r>
        <w:rPr>
          <w:rFonts w:cs="Times New Roman" w:ascii="Times New Roman" w:hAnsi="Times New Roman"/>
          <w:color w:val="000080"/>
          <w:sz w:val="22"/>
          <w:u w:val="single"/>
        </w:rPr>
        <w:t>Hazardous Materials</w:t>
      </w:r>
      <w:r>
        <w:fldChar w:fldCharType="begin"/>
      </w:r>
      <w:r>
        <w:rPr/>
        <w:instrText xml:space="preserve"> TC "3.4</w:instrText>
        <w:tab/>
        <w:instrText xml:space="preserve">Hazardous Materials" \l 2 </w:instrText>
      </w:r>
      <w:r>
        <w:rPr/>
        <w:fldChar w:fldCharType="separate"/>
      </w:r>
      <w:r>
        <w:rPr/>
      </w:r>
      <w:r>
        <w:rPr/>
        <w:fldChar w:fldCharType="end"/>
      </w:r>
      <w:bookmarkStart w:id="12" w:name="__RefHeading___Toc498441723"/>
      <w:bookmarkEnd w:id="12"/>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Seller warrants that it will use reasonable skill and care to limit the use of any Hazardous Material specified or incorporated into the Units installed at the Site;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In the event Seller, with Purchaser's approval, incorporates any Hazardous Materials into the Units to be installed at the Site, Seller shall provide Purchaser with notification as to the Hazardous Materials present in such Units.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Seller shall be responsible for the proper collection, removal, and disposal of any Hazardous Materials furnished, used, applied, consumed, or stored at the Site by Seller ("Seller's Use of Hazardous Materials"), including used oils, greases, and solvents from flushing and cleaning processes, and shall assume generator status for disposal of any Hazardous Materials introduced by Seller at the Site.  All costs, fines, liabilities, penalties, and other expenses associated with the handling, transporting, and disposing of Hazardous Materials introduced on or to the Site solely by Seller shall be paid by Seller without reimbursement by Purchaser.</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SELLER SHALL BE LIABLE FOR AND SHALL INDEMNIFY, PROTECT, DEFEND AND HOLD HARMLESS PURCHASER AND ITS DIRECTORS, OFFICERS, EMPLOYEES AND AGENTS FROM AND AGAINST ANY AND ALL DEMANDS, CLAIMS, SUITS AND CAUSES OF ACTION AND ANY AND ALL LIABILITY, COSTS, EXPENSES, SETTLEMENTS AND JUDGMENTS OF THIRD PARTIES INCURRED BY PURCHASER (INCLUDING ATTORNEYS FEES AND COURT COSTS) ARISING OUT OF SELLER'S USE OF HAZARDOUS MATERIALS.</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3.5</w:t>
        <w:tab/>
      </w:r>
      <w:r>
        <w:rPr>
          <w:rFonts w:cs="Times New Roman" w:ascii="Times New Roman" w:hAnsi="Times New Roman"/>
          <w:color w:val="000080"/>
          <w:sz w:val="22"/>
          <w:u w:val="single"/>
        </w:rPr>
        <w:t>Employment of Licensed Personnel</w:t>
      </w:r>
      <w:r>
        <w:fldChar w:fldCharType="begin"/>
      </w:r>
      <w:r>
        <w:rPr/>
        <w:instrText xml:space="preserve"> TC "3.5</w:instrText>
        <w:tab/>
        <w:instrText xml:space="preserve">Employment of Licensed Personnel" \l 2 </w:instrText>
      </w:r>
      <w:r>
        <w:rPr/>
        <w:fldChar w:fldCharType="separate"/>
      </w:r>
      <w:r>
        <w:rPr/>
      </w:r>
      <w:r>
        <w:rPr/>
        <w:fldChar w:fldCharType="end"/>
      </w:r>
      <w:bookmarkStart w:id="13" w:name="__RefHeading___Toc498441724"/>
      <w:bookmarkEnd w:id="13"/>
      <w:r>
        <w:rPr>
          <w:rFonts w:cs="Times New Roman" w:ascii="Times New Roman" w:hAnsi="Times New Roman"/>
          <w:color w:val="000080"/>
          <w:sz w:val="22"/>
        </w:rPr>
        <w:t xml:space="preserve">.  Whenever required by Applicable Law or generally accepted engineering and construction practices, Seller agrees to employ licensed personnel to perform engineering, and design services in the performance of its obligations under this Agreement.  Seller shall use commercially reasonable efforts to employ and utilize personnel, including vendors and subcontractors, who possess the proper training and experience, and who are capable of performing the tasks for which they are employed or utilized.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t xml:space="preserve">  </w:t>
      </w:r>
    </w:p>
    <w:p>
      <w:pPr>
        <w:pStyle w:val="Normal"/>
        <w:widowControl/>
        <w:spacing w:lineRule="auto" w:line="300"/>
        <w:rPr/>
      </w:pPr>
      <w:r>
        <w:rPr>
          <w:rFonts w:cs="Times New Roman" w:ascii="Times New Roman" w:hAnsi="Times New Roman"/>
          <w:color w:val="000080"/>
          <w:sz w:val="22"/>
        </w:rPr>
        <w:t>3.6</w:t>
        <w:tab/>
      </w:r>
      <w:r>
        <w:rPr>
          <w:rFonts w:cs="Times New Roman" w:ascii="Times New Roman" w:hAnsi="Times New Roman"/>
          <w:color w:val="000080"/>
          <w:sz w:val="22"/>
          <w:u w:val="single"/>
        </w:rPr>
        <w:t>Customs Clearance</w:t>
      </w:r>
      <w:r>
        <w:fldChar w:fldCharType="begin"/>
      </w:r>
      <w:r>
        <w:rPr/>
        <w:instrText xml:space="preserve"> TC "3.6</w:instrText>
        <w:tab/>
        <w:instrText xml:space="preserve">Customs Clearance" \l 2 </w:instrText>
      </w:r>
      <w:r>
        <w:rPr/>
        <w:fldChar w:fldCharType="separate"/>
      </w:r>
      <w:r>
        <w:rPr/>
      </w:r>
      <w:r>
        <w:rPr/>
        <w:fldChar w:fldCharType="end"/>
      </w:r>
      <w:bookmarkStart w:id="14" w:name="__RefHeading___Toc498441725"/>
      <w:bookmarkEnd w:id="14"/>
      <w:r>
        <w:rPr>
          <w:rFonts w:cs="Times New Roman" w:ascii="Times New Roman" w:hAnsi="Times New Roman"/>
          <w:color w:val="000080"/>
          <w:sz w:val="22"/>
        </w:rPr>
        <w:t xml:space="preserve">.  Seller shall perform customs clearance for the Equipment through U.S. Customs, if applicable.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3.7</w:t>
        <w:tab/>
      </w:r>
      <w:r>
        <w:rPr>
          <w:rFonts w:cs="Times New Roman" w:ascii="Times New Roman" w:hAnsi="Times New Roman"/>
          <w:color w:val="000080"/>
          <w:sz w:val="22"/>
          <w:u w:val="single"/>
        </w:rPr>
        <w:t>Compliance with Governmental Rules</w:t>
      </w:r>
      <w:r>
        <w:fldChar w:fldCharType="begin"/>
      </w:r>
      <w:r>
        <w:rPr/>
        <w:instrText xml:space="preserve"> TC "3.7</w:instrText>
        <w:tab/>
        <w:instrText xml:space="preserve">Compliance with Governmental Rules" \l 2 </w:instrText>
      </w:r>
      <w:r>
        <w:rPr/>
        <w:fldChar w:fldCharType="separate"/>
      </w:r>
      <w:r>
        <w:rPr/>
      </w:r>
      <w:r>
        <w:rPr/>
        <w:fldChar w:fldCharType="end"/>
      </w:r>
      <w:bookmarkStart w:id="15" w:name="__RefHeading___Toc498441726"/>
      <w:bookmarkEnd w:id="15"/>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(a)</w:t>
        <w:tab/>
      </w:r>
      <w:r>
        <w:rPr>
          <w:rFonts w:cs="Times New Roman" w:ascii="Times New Roman" w:hAnsi="Times New Roman"/>
          <w:color w:val="000080"/>
          <w:sz w:val="22"/>
          <w:u w:val="single"/>
        </w:rPr>
        <w:t>Seller Conduct</w:t>
      </w:r>
      <w:r>
        <w:rPr>
          <w:rFonts w:cs="Times New Roman" w:ascii="Times New Roman" w:hAnsi="Times New Roman"/>
          <w:color w:val="000080"/>
          <w:sz w:val="22"/>
        </w:rPr>
        <w:t>.  Seller shall comply with all Applicable Laws.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further agrees to pay any government assessed penalties, fines, and charges, and associated damages, costs, losses, and expenses (including, without limitation, court costs and attorneys' fees) which Purchaser may incur, be required to pay or be liable for as a result of, in connection with, arising out of or related to any noncompliance with this Section 3.7(a).</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(b)</w:t>
        <w:tab/>
      </w:r>
      <w:r>
        <w:rPr>
          <w:rFonts w:cs="Times New Roman" w:ascii="Times New Roman" w:hAnsi="Times New Roman"/>
          <w:color w:val="000080"/>
          <w:sz w:val="22"/>
          <w:u w:val="single"/>
        </w:rPr>
        <w:t>Employment Practices</w:t>
      </w:r>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(1)</w:t>
        <w:tab/>
        <w:t>Seller agrees that it shall be at all times during the term of this Agreement in full compliance with all Applicable Laws relative to Seller’s employment of employees and agents of Seller.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(2)</w:t>
        <w:tab/>
        <w:t>Seller agrees to pay any government assessed penalties, fines, and charges, and associated damages, costs, losses, expenses (including, without limitation, court costs and attorneys' fees) which Purchaser may incur, be required to pay or be liable for as a result of, based on, in connection with, related to or arising from Seller's noncompliance with this Section 3.7(b).</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(c)</w:t>
        <w:tab/>
      </w:r>
      <w:r>
        <w:rPr>
          <w:rFonts w:cs="Times New Roman" w:ascii="Times New Roman" w:hAnsi="Times New Roman"/>
          <w:color w:val="000080"/>
          <w:sz w:val="22"/>
          <w:u w:val="single"/>
        </w:rPr>
        <w:t>Compliance with Change in Law</w:t>
      </w:r>
      <w:r>
        <w:rPr>
          <w:rFonts w:cs="Times New Roman" w:ascii="Times New Roman" w:hAnsi="Times New Roman"/>
          <w:color w:val="000080"/>
          <w:sz w:val="22"/>
        </w:rPr>
        <w:t>.  Seller shall, on a reasonable efforts basis, advise Purchaser of pending Applicable Laws of which Seller is aware so that the parties may make an informed decision as to whether to have the Equipment designed in anticipation of such pending change as it affects the Scope of Work.  In the event Seller believes a change to the Scope of Work is necessary because a Change in Law has occurred, Seller shall prepare and deliver to Purchaser a request for a Change Order identifying the nature of the change, including any extensions of time to the performance of the Scope of Work and increase or decrease to the Purchase Amount.  Notwithstanding the foregoing, in the event a Change Order is requested by Seller in accordance with this Section 3.7(c) because of a Change in Law which affects Seller’s compliance with Applicable Laws and of which Seller should have been aware prior to agreeing upon the Scope of Work, no change in the Purchase Amount shall be incorporated into the applicable Change Order.  In the event that Purchaser does not agree to the Change Order, thereby electing to not have Seller comply with such Change in Law, Purchaser shall indemnify Seller for any penalties, fines, charges, damages, costs, losses and expenses (including without limitation court costs and attorney fees) of whatever kind which Seller may incur as a result of such failure of the Scope of Work to comply with such Change in Law.</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3.8</w:t>
        <w:tab/>
      </w:r>
      <w:r>
        <w:rPr>
          <w:rFonts w:cs="Times New Roman" w:ascii="Times New Roman" w:hAnsi="Times New Roman"/>
          <w:color w:val="000080"/>
          <w:sz w:val="22"/>
          <w:u w:val="single"/>
        </w:rPr>
        <w:t>Purchaser Review of Vendors</w:t>
      </w:r>
      <w:r>
        <w:fldChar w:fldCharType="begin"/>
      </w:r>
      <w:r>
        <w:rPr/>
        <w:instrText xml:space="preserve"> TC "3.8</w:instrText>
        <w:tab/>
        <w:instrText xml:space="preserve">Purchaser Review of Vendors" \l 2 </w:instrText>
      </w:r>
      <w:r>
        <w:rPr/>
        <w:fldChar w:fldCharType="separate"/>
      </w:r>
      <w:r>
        <w:rPr/>
      </w:r>
      <w:r>
        <w:rPr/>
        <w:fldChar w:fldCharType="end"/>
      </w:r>
      <w:bookmarkStart w:id="16" w:name="__RefHeading___Toc498441727"/>
      <w:bookmarkEnd w:id="16"/>
      <w:r>
        <w:rPr>
          <w:rFonts w:cs="Times New Roman" w:ascii="Times New Roman" w:hAnsi="Times New Roman"/>
          <w:color w:val="000080"/>
          <w:sz w:val="22"/>
        </w:rPr>
        <w:t>.  Seller will notify Purchaser as to the Vendors to be used in performance of the Scope of Work for any major component of a Unit or performance of a significant portion of the Scope of Work.  Purchaser shall have the right to object to any Vendor proposed by Seller for an item of Equipment; provided, however that such objection must be given promptly and may not be unreasonable.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3.9</w:t>
        <w:tab/>
      </w:r>
      <w:r>
        <w:rPr>
          <w:rFonts w:cs="Times New Roman" w:ascii="Times New Roman" w:hAnsi="Times New Roman"/>
          <w:color w:val="000080"/>
          <w:sz w:val="22"/>
          <w:u w:val="single"/>
        </w:rPr>
        <w:t>Financing Assistance</w:t>
      </w:r>
      <w:r>
        <w:fldChar w:fldCharType="begin"/>
      </w:r>
      <w:r>
        <w:rPr/>
        <w:instrText xml:space="preserve"> TC "3.9</w:instrText>
        <w:tab/>
        <w:instrText xml:space="preserve">Financing Assistance" \l 2 </w:instrText>
      </w:r>
      <w:r>
        <w:rPr/>
        <w:fldChar w:fldCharType="separate"/>
      </w:r>
      <w:r>
        <w:rPr/>
      </w:r>
      <w:r>
        <w:rPr/>
        <w:fldChar w:fldCharType="end"/>
      </w:r>
      <w:bookmarkStart w:id="17" w:name="__RefHeading___Toc498441728"/>
      <w:bookmarkEnd w:id="17"/>
      <w:r>
        <w:rPr>
          <w:rFonts w:cs="Times New Roman" w:ascii="Times New Roman" w:hAnsi="Times New Roman"/>
          <w:color w:val="000080"/>
          <w:sz w:val="22"/>
        </w:rPr>
        <w:t xml:space="preserve">.  Seller shall provide such information as Purchaser may reasonably request in connection with Purchaser's obtaining financing for the Facility including without limitation providing information related to design, engineering and status of the completion of the Scope of Work and Seller’s credentials and experience, and as required perform reasonable travel.  In the event Seller determines that a request by Purchaser for information in accordance with this Section 3.9 is unreasonable, Seller shall promptly notify Purchaser of this determination.  Purchaser shall reimburse Seller for all costs including travel at commercially reasonable rates for its time in providing information in accordance with this Section 3.9.  Lender and the Lender's engineers and consultants shall have the right to participate in all inspections conducted by Purchaser under this Agreement and to attend all tests of the Equipment that Purchaser is entitled to attend pursuant to this Agreement. At Purchaser's request, Seller shall furnish to Purchaser and/or Lender copies of notices given to Purchaser hereunder.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3.10</w:t>
        <w:tab/>
      </w:r>
      <w:r>
        <w:rPr>
          <w:rFonts w:cs="Times New Roman" w:ascii="Times New Roman" w:hAnsi="Times New Roman"/>
          <w:color w:val="000080"/>
          <w:sz w:val="22"/>
          <w:u w:val="single"/>
        </w:rPr>
        <w:t>Purchaser Permit Support</w:t>
      </w:r>
      <w:r>
        <w:fldChar w:fldCharType="begin"/>
      </w:r>
      <w:r>
        <w:rPr/>
        <w:instrText xml:space="preserve"> TC "3.10</w:instrText>
        <w:tab/>
        <w:instrText xml:space="preserve">Purchaser Permit Support" \l 2 </w:instrText>
      </w:r>
      <w:r>
        <w:rPr/>
        <w:fldChar w:fldCharType="separate"/>
      </w:r>
      <w:r>
        <w:rPr/>
      </w:r>
      <w:r>
        <w:rPr/>
        <w:fldChar w:fldCharType="end"/>
      </w:r>
      <w:bookmarkStart w:id="18" w:name="__RefHeading___Toc498441729"/>
      <w:bookmarkEnd w:id="18"/>
      <w:r>
        <w:rPr>
          <w:rFonts w:cs="Times New Roman" w:ascii="Times New Roman" w:hAnsi="Times New Roman"/>
          <w:color w:val="000080"/>
          <w:sz w:val="22"/>
        </w:rPr>
        <w:t xml:space="preserve">.  (a) Seller shall provide all information, data and documents in a timely fashion that Purchaser may reasonably request for Purchaser to obtain applicable permits for operation of the Direct FuelCell® Power Plants.  Purchaser shall from time to time keep Seller apprised of the status of key permitting activities as such activities for the Facilities relate to the Final Specifications and Performance Standards of the Units.  At some point in the permitting process, Purchaser shall provide Seller with a conceptual layout of the Site and Seller shall review such layout solely for accuracy of access and location of Equipment.  Once such layout has been reviewed and approved by Seller, Seller shall incorporate the access and location of the Equipment used in such layout into the Final Specifications.  Seller’s approval of the layout shall not constitute a review or approval of any other information on such conceptual layout.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(b)</w:t>
        <w:tab/>
        <w:t xml:space="preserve">If (i) Purchaser becomes aware of a permitting issue related specifically to the level of the Performance Standards of a Unit and (ii) after exercising commercially reasonable efforts to resolve such issue, Purchaser reasonably determines that a permit allowing the Unit or Units to operate at maximum unit capacity for a minimum of [8,760] hours per year is unlikely to be obtained, Purchaser at its sole discretion can issue a Permit Notice to Seller. This Permit Notice will detail the specific nature of the permitting problem and the change needed to the Performance Standards to resolve the problem.  Along with the Permit Notice, Purchaser shall supply all relevant documentation received from permitting agencies supporting the proposed change to the Performance Standard. The parties shall have the earlier of (i) thirty (30) days from Seller's receipt of such Permit Notice; or (ii) one hundred eighty (180) days from the Release Date, to mutually agree to amend this Agreement for the new Performance Standard.  If such amendment does not occur within such period, Purchaser shall have the right to terminate the Release and/or this Agreement pursuant to Section 17.7.  If such right to terminate is exercised, within ninety (90) days of the date of the applicable Release, Purchaser shall have no obligation to pay Seller the Purchase Amount. If such right to terminate is exercised (x) more than ninety (90) days after the applicable Release Date, Purchaser shall pay Seller $7,290,000; (y) more than one hundred twenty (120) days after the applicable Release Date, Purchaser shall pay Seller $7,990,000; and (z) more than one hundred fifty (150) days after the applicable Release Date but less than one hundred eighty (180) days after the applicable Release Date, Purchaser shall pay Seller $8,690,000.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3.11</w:t>
        <w:tab/>
      </w:r>
      <w:r>
        <w:rPr>
          <w:rFonts w:cs="Times New Roman" w:ascii="Times New Roman" w:hAnsi="Times New Roman"/>
          <w:color w:val="000080"/>
          <w:sz w:val="22"/>
          <w:u w:val="single"/>
        </w:rPr>
        <w:t>Spare Parts</w:t>
      </w:r>
      <w:r>
        <w:fldChar w:fldCharType="begin"/>
      </w:r>
      <w:r>
        <w:rPr/>
        <w:instrText xml:space="preserve"> TC "3.11</w:instrText>
        <w:tab/>
        <w:instrText xml:space="preserve">Spare Parts" \l 2 </w:instrText>
      </w:r>
      <w:r>
        <w:rPr/>
        <w:fldChar w:fldCharType="separate"/>
      </w:r>
      <w:r>
        <w:rPr/>
      </w:r>
      <w:r>
        <w:rPr/>
        <w:fldChar w:fldCharType="end"/>
      </w:r>
      <w:bookmarkStart w:id="19" w:name="__RefHeading___Toc498441730"/>
      <w:bookmarkEnd w:id="19"/>
      <w:r>
        <w:rPr>
          <w:rFonts w:cs="Times New Roman" w:ascii="Times New Roman" w:hAnsi="Times New Roman"/>
          <w:color w:val="000080"/>
          <w:sz w:val="22"/>
        </w:rPr>
        <w:t xml:space="preserve">.  The Purchase Amount includes (i) all spare parts necessary to achieve installation, start up, commissioning, and (ii) all installation and maintenance tools that are not normally found available in the market place.  Seller will provide a list of recommended Spare Parts required to support operations and maintenance program for a period of two (2) years ("O&amp;M Spare Parts") for each Site four (4) months before the Expected Delivery Date.  Such list shall include pricing which shall remain in effect for a twelve (12) month period.  In the event Purchaser purchases such O&amp;M Spare Parts hereunder, the transaction shall be accomplished by a Change Order pursuant to the provisions of this Agreement or by separate agreement issued by Purchaser.  The value of such O&amp;M Spare Parts purchase shall be known as the “O&amp;M Spare Parts Amount.”  A conceptual list of the O&amp;M Spare Parts is attached hereto as Exhibit G.  Purchaser acknowledges that this list is subject to change and is merely intended to be illustrative of the nature of the O &amp; M Spare Parts.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pacing w:val="-2"/>
          <w:sz w:val="22"/>
        </w:rPr>
      </w:pPr>
      <w:r>
        <w:rPr>
          <w:rFonts w:cs="Times New Roman" w:ascii="Times New Roman" w:hAnsi="Times New Roman"/>
          <w:color w:val="000080"/>
          <w:sz w:val="22"/>
        </w:rPr>
        <w:t>3.12</w:t>
        <w:tab/>
      </w:r>
      <w:r>
        <w:rPr>
          <w:rFonts w:cs="Times New Roman" w:ascii="Times New Roman" w:hAnsi="Times New Roman"/>
          <w:color w:val="000080"/>
          <w:sz w:val="22"/>
          <w:u w:val="single"/>
        </w:rPr>
        <w:t>Key Personnel</w:t>
      </w:r>
      <w:r>
        <w:fldChar w:fldCharType="begin"/>
      </w:r>
      <w:r>
        <w:rPr/>
        <w:instrText xml:space="preserve"> TC "3.12</w:instrText>
        <w:tab/>
        <w:instrText xml:space="preserve">Key Personnel" \l 2 </w:instrText>
      </w:r>
      <w:r>
        <w:rPr/>
        <w:fldChar w:fldCharType="separate"/>
      </w:r>
      <w:r>
        <w:rPr/>
      </w:r>
      <w:r>
        <w:rPr/>
        <w:fldChar w:fldCharType="end"/>
      </w:r>
      <w:bookmarkStart w:id="20" w:name="__RefHeading___Toc498441731"/>
      <w:bookmarkEnd w:id="20"/>
      <w:r>
        <w:rPr>
          <w:rFonts w:cs="Times New Roman" w:ascii="Times New Roman" w:hAnsi="Times New Roman"/>
          <w:color w:val="000080"/>
          <w:sz w:val="22"/>
        </w:rPr>
        <w:t>.  Seller shall provide Purchaser with resumes for each Project Manager.  If, in the reasonable opinion of Purchaser, Purchaser determines such a key person is not adequately performing, Purchaser shall provide Seller with notice detailing the nature of the inadequate performance.  If Seller has not resolved the performance problem within thirty (30) days of receipt of such notice, Purchaser may require Seller to remove such person from work on the Scope of Work under this Agreement and replace such person with a satisfactory replacement.</w:t>
      </w:r>
    </w:p>
    <w:p>
      <w:pPr>
        <w:pStyle w:val="Normal"/>
        <w:widowControl/>
        <w:rPr>
          <w:rFonts w:ascii="Times New Roman" w:hAnsi="Times New Roman" w:cs="Times New Roman"/>
          <w:color w:val="000080"/>
          <w:spacing w:val="-2"/>
          <w:sz w:val="22"/>
        </w:rPr>
      </w:pPr>
      <w:r>
        <w:rPr>
          <w:rFonts w:cs="Times New Roman" w:ascii="Times New Roman" w:hAnsi="Times New Roman"/>
          <w:color w:val="000080"/>
          <w:spacing w:val="-2"/>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IV.  </w:t>
      </w:r>
      <w:r>
        <w:rPr>
          <w:rFonts w:cs="Times New Roman" w:ascii="Times New Roman" w:hAnsi="Times New Roman"/>
          <w:color w:val="000080"/>
          <w:sz w:val="22"/>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21" w:name="__RefHeading___Toc498441732"/>
      <w:bookmarkEnd w:id="21"/>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4.1</w:t>
        <w:tab/>
      </w:r>
      <w:r>
        <w:rPr>
          <w:rFonts w:cs="Times New Roman" w:ascii="Times New Roman" w:hAnsi="Times New Roman"/>
          <w:color w:val="000080"/>
          <w:sz w:val="22"/>
          <w:u w:val="single"/>
        </w:rPr>
        <w:t>Representations and Warranties of Purchaser</w:t>
      </w:r>
      <w:r>
        <w:fldChar w:fldCharType="begin"/>
      </w:r>
      <w:r>
        <w:rPr/>
        <w:instrText xml:space="preserve"> TC "4.1</w:instrText>
        <w:tab/>
        <w:instrText xml:space="preserve">Representations and Warranties of Purchaser" \l 2 </w:instrText>
      </w:r>
      <w:r>
        <w:rPr/>
        <w:fldChar w:fldCharType="separate"/>
      </w:r>
      <w:r>
        <w:rPr/>
      </w:r>
      <w:r>
        <w:rPr/>
        <w:fldChar w:fldCharType="end"/>
      </w:r>
      <w:bookmarkStart w:id="22" w:name="__RefHeading___Toc498441733"/>
      <w:bookmarkEnd w:id="22"/>
      <w:r>
        <w:rPr>
          <w:rFonts w:cs="Times New Roman" w:ascii="Times New Roman" w:hAnsi="Times New Roman"/>
          <w:color w:val="000080"/>
          <w:sz w:val="22"/>
        </w:rPr>
        <w:t xml:space="preserve">.  </w:t>
      </w:r>
      <w:r>
        <w:rPr>
          <w:rFonts w:cs="Times New Roman" w:ascii="Times New Roman" w:hAnsi="Times New Roman"/>
          <w:color w:val="000080"/>
          <w:spacing w:val="-2"/>
          <w:sz w:val="22"/>
        </w:rPr>
        <w:t>Purchaser</w:t>
      </w:r>
      <w:r>
        <w:rPr>
          <w:rFonts w:cs="Times New Roman" w:ascii="Times New Roman" w:hAnsi="Times New Roman"/>
          <w:color w:val="000080"/>
          <w:sz w:val="22"/>
        </w:rPr>
        <w:t xml:space="preserve"> makes the following representations and warranties to Seller, each of which is true and correct on the date hereof: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Purchaser's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Purchaser's legal, valid, and binding obligation;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Purchaser is not in breach of, in default under, or in violation of, any Applicable Laws,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4.2</w:t>
        <w:tab/>
      </w:r>
      <w:r>
        <w:rPr>
          <w:rFonts w:cs="Times New Roman" w:ascii="Times New Roman" w:hAnsi="Times New Roman"/>
          <w:color w:val="000080"/>
          <w:sz w:val="22"/>
          <w:u w:val="single"/>
        </w:rPr>
        <w:t>Purchaser Supplied Information</w:t>
      </w:r>
      <w:r>
        <w:fldChar w:fldCharType="begin"/>
      </w:r>
      <w:r>
        <w:rPr/>
        <w:instrText xml:space="preserve"> TC "4.2</w:instrText>
        <w:tab/>
        <w:instrText xml:space="preserve">Purchaser Supplied Information" \l 2 </w:instrText>
      </w:r>
      <w:r>
        <w:rPr/>
        <w:fldChar w:fldCharType="separate"/>
      </w:r>
      <w:r>
        <w:rPr/>
      </w:r>
      <w:r>
        <w:rPr/>
        <w:fldChar w:fldCharType="end"/>
      </w:r>
      <w:bookmarkStart w:id="23" w:name="__RefHeading___Toc498441734"/>
      <w:bookmarkEnd w:id="23"/>
      <w:r>
        <w:rPr>
          <w:rFonts w:cs="Times New Roman" w:ascii="Times New Roman" w:hAnsi="Times New Roman"/>
          <w:color w:val="000080"/>
          <w:sz w:val="22"/>
        </w:rPr>
        <w:t xml:space="preserve">. Except to the extent that the information provided by Purchaser to Seller is in the form of a specification or performance requirement specifically called out in this Agreement, it is Purchaser’s responsibility to ensure that the information provided to Seller by Purchaser is accurate, correct, complete and fit for the particular purpose(s) for which Seller may utilize it.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4.3</w:t>
        <w:tab/>
      </w:r>
      <w:r>
        <w:rPr>
          <w:rFonts w:cs="Times New Roman" w:ascii="Times New Roman" w:hAnsi="Times New Roman"/>
          <w:color w:val="000080"/>
          <w:sz w:val="22"/>
          <w:u w:val="single"/>
        </w:rPr>
        <w:t>Representations and Warranties of Seller</w:t>
      </w:r>
      <w:r>
        <w:fldChar w:fldCharType="begin"/>
      </w:r>
      <w:r>
        <w:rPr/>
        <w:instrText xml:space="preserve"> TC "4.3</w:instrText>
        <w:tab/>
        <w:instrText xml:space="preserve">Representations and Warranties of Seller" \l 2 </w:instrText>
      </w:r>
      <w:r>
        <w:rPr/>
        <w:fldChar w:fldCharType="separate"/>
      </w:r>
      <w:r>
        <w:rPr/>
      </w:r>
      <w:r>
        <w:rPr/>
        <w:fldChar w:fldCharType="end"/>
      </w:r>
      <w:bookmarkStart w:id="24" w:name="__RefHeading___Toc498441735"/>
      <w:bookmarkEnd w:id="24"/>
      <w:r>
        <w:rPr>
          <w:rFonts w:cs="Times New Roman" w:ascii="Times New Roman" w:hAnsi="Times New Roman"/>
          <w:color w:val="000080"/>
          <w:sz w:val="22"/>
        </w:rPr>
        <w:t>.  Seller makes the following representations and warranties to Purchaser, each of which is true and correct on the date hereof: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It is duly organized, existing and in good standing under the laws of the State of Delaware;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Seller is not in breach of, in default under, or in violation of, any Applicable Law or the provisions of  its articles of incorporation or by</w:t>
        <w:noBreakHyphen/>
        <w:t xml:space="preserve">laws or any franchise or license, or in breach of, in default under, or in violation of, any provision of any indenture or any evidence of indebtedness or security,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(e)</w:t>
        <w:tab/>
        <w:t xml:space="preserve">Seller has the right and authority to convey and grant all the rights of ownership in the Equipment;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(f)</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(1)</w:t>
        <w:tab/>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ind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(2)</w:t>
        <w:tab/>
        <w:t>respond to and process two digit year input without creating any ambiguity as to the century; and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(g)</w:t>
        <w:tab/>
        <w:t>Seller has or will have the manufacturing capacity to meet the requirements of this Agreement and a Release thereunder, and shall identify manufacturing schedule for any Equipment ordered in accordance with the terms of this Agreement and the Project Management Plan, and will devote commercially reasonable resources to meet the requirements of this Agreement, including the Project Schedule.</w:t>
      </w:r>
      <w:r>
        <w:br w:type="page"/>
      </w:r>
    </w:p>
    <w:p>
      <w:pPr>
        <w:pStyle w:val="Normal"/>
        <w:widowControl/>
        <w:tabs>
          <w:tab w:val="clear" w:pos="720"/>
          <w:tab w:val="left" w:pos="-1440" w:leader="none"/>
        </w:tabs>
        <w:spacing w:lineRule="auto" w:line="300"/>
        <w:ind w:hanging="720" w:start="1440" w:end="0"/>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V.  </w:t>
      </w:r>
      <w:r>
        <w:rPr>
          <w:rFonts w:cs="Times New Roman" w:ascii="Times New Roman" w:hAnsi="Times New Roman"/>
          <w:color w:val="000080"/>
          <w:sz w:val="22"/>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25" w:name="__RefHeading___Toc498441736"/>
      <w:bookmarkEnd w:id="25"/>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5.1</w:t>
        <w:tab/>
      </w:r>
      <w:r>
        <w:rPr>
          <w:rFonts w:cs="Times New Roman" w:ascii="Times New Roman" w:hAnsi="Times New Roman"/>
          <w:color w:val="000080"/>
          <w:sz w:val="22"/>
          <w:u w:val="single"/>
        </w:rPr>
        <w:t>Purchase Amount</w:t>
      </w:r>
      <w:r>
        <w:fldChar w:fldCharType="begin"/>
      </w:r>
      <w:r>
        <w:rPr/>
        <w:instrText xml:space="preserve"> TC "5.1</w:instrText>
        <w:tab/>
        <w:instrText xml:space="preserve">Purchase Amount" \l 2 </w:instrText>
      </w:r>
      <w:r>
        <w:rPr/>
        <w:fldChar w:fldCharType="separate"/>
      </w:r>
      <w:r>
        <w:rPr/>
      </w:r>
      <w:r>
        <w:rPr/>
        <w:fldChar w:fldCharType="end"/>
      </w:r>
      <w:bookmarkStart w:id="26" w:name="__RefHeading___Toc498441737"/>
      <w:bookmarkEnd w:id="26"/>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5.1.1</w:t>
        <w:tab/>
      </w:r>
      <w:r>
        <w:rPr>
          <w:rFonts w:cs="Times New Roman" w:ascii="Times New Roman" w:hAnsi="Times New Roman"/>
          <w:color w:val="000080"/>
          <w:sz w:val="22"/>
          <w:u w:val="single"/>
        </w:rPr>
        <w:t>Purchase Amount</w:t>
      </w:r>
      <w:r>
        <w:fldChar w:fldCharType="begin"/>
      </w:r>
      <w:r>
        <w:rPr/>
        <w:instrText xml:space="preserve"> TC "5.1.1</w:instrText>
        <w:tab/>
        <w:instrText xml:space="preserve">Purchase Amount" \l 3 </w:instrText>
      </w:r>
      <w:r>
        <w:rPr/>
        <w:fldChar w:fldCharType="separate"/>
      </w:r>
      <w:r>
        <w:rPr/>
      </w:r>
      <w:r>
        <w:rPr/>
        <w:fldChar w:fldCharType="end"/>
      </w:r>
      <w:bookmarkStart w:id="27" w:name="__RefHeading___Toc498441738"/>
      <w:bookmarkEnd w:id="27"/>
      <w:r>
        <w:rPr>
          <w:rFonts w:cs="Times New Roman" w:ascii="Times New Roman" w:hAnsi="Times New Roman"/>
          <w:color w:val="000080"/>
          <w:sz w:val="22"/>
        </w:rPr>
        <w:t>.  The purchase amount for Units shall be as stated in Exhibit A (the "Purchase Amount"), which is fixed and not subject to escalation for any Release submitted prior to March 1, 2001. The Purchase Amount for any Release submitted after March 1, 2001 shall be as mutually agreed at or before the time of the Release. The Purchase Amount shall be complete compensation for manufacture, delivery and installation of the Units but shall not include the cost of any replacement modules under Section 14.3, shipping charges, Change Orders, financing assistance or any other miscellaneous services.  Shipping charges shall be invoiced at the lesser of the actual cost or $87,000 per Unit (“Shipping Charge”).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5.2</w:t>
        <w:tab/>
      </w:r>
      <w:r>
        <w:rPr>
          <w:rFonts w:cs="Times New Roman" w:ascii="Times New Roman" w:hAnsi="Times New Roman"/>
          <w:color w:val="000080"/>
          <w:sz w:val="22"/>
          <w:u w:val="single"/>
        </w:rPr>
        <w:t>Taxes and Contributions</w:t>
      </w:r>
      <w:r>
        <w:fldChar w:fldCharType="begin"/>
      </w:r>
      <w:r>
        <w:rPr/>
        <w:instrText xml:space="preserve"> TC "5.2</w:instrText>
        <w:tab/>
        <w:instrText xml:space="preserve">Taxes and Contributions" \l 2 </w:instrText>
      </w:r>
      <w:r>
        <w:rPr/>
        <w:fldChar w:fldCharType="separate"/>
      </w:r>
      <w:r>
        <w:rPr/>
      </w:r>
      <w:r>
        <w:rPr/>
        <w:fldChar w:fldCharType="end"/>
      </w:r>
      <w:bookmarkStart w:id="28" w:name="__RefHeading___Toc498441739"/>
      <w:bookmarkEnd w:id="28"/>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5.2.1</w:t>
        <w:tab/>
      </w:r>
      <w:r>
        <w:rPr>
          <w:rFonts w:cs="Times New Roman" w:ascii="Times New Roman" w:hAnsi="Times New Roman"/>
          <w:color w:val="000080"/>
          <w:sz w:val="22"/>
          <w:u w:val="single"/>
        </w:rPr>
        <w:t>Seller’s Responsibility for Personnel Taxes</w:t>
      </w:r>
      <w:r>
        <w:fldChar w:fldCharType="begin"/>
      </w:r>
      <w:r>
        <w:rPr/>
        <w:instrText xml:space="preserve"> TC "5.2.1</w:instrText>
        <w:tab/>
        <w:instrText xml:space="preserve">Seller’s Responsibility for Personnel Taxes" \l 3 </w:instrText>
      </w:r>
      <w:r>
        <w:rPr/>
        <w:fldChar w:fldCharType="separate"/>
      </w:r>
      <w:r>
        <w:rPr/>
      </w:r>
      <w:r>
        <w:rPr/>
        <w:fldChar w:fldCharType="end"/>
      </w:r>
      <w:bookmarkStart w:id="29" w:name="__RefHeading___Toc498441740"/>
      <w:bookmarkEnd w:id="29"/>
      <w:r>
        <w:rPr>
          <w:rFonts w:cs="Times New Roman" w:ascii="Times New Roman" w:hAnsi="Times New Roman"/>
          <w:color w:val="000080"/>
          <w:sz w:val="22"/>
        </w:rPr>
        <w:t xml:space="preserve">.  Seller assumes full responsibility for and agrees to pay all contributions and taxes payable under all Applicable Laws pertaining to social security laws, unemployment compensation laws and income tax laws as they apply to Seller’s employees engaged in the performance of the Scope of Work and the warranty provided in Article XIV.  Seller acknowledges that Purchaser has no responsibility for such taxes as they apply to Seller, Seller’s employees or the employees of Vendors.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5.2.2</w:t>
        <w:tab/>
      </w:r>
      <w:r>
        <w:rPr>
          <w:rFonts w:cs="Times New Roman" w:ascii="Times New Roman" w:hAnsi="Times New Roman"/>
          <w:color w:val="000080"/>
          <w:sz w:val="22"/>
          <w:u w:val="single"/>
        </w:rPr>
        <w:t>Seller’s Responsibility for Taxes</w:t>
      </w:r>
      <w:r>
        <w:fldChar w:fldCharType="begin"/>
      </w:r>
      <w:r>
        <w:rPr/>
        <w:instrText xml:space="preserve"> TC "5.2.2</w:instrText>
        <w:tab/>
        <w:instrText xml:space="preserve">Seller’s Responsibility for Taxes" \l 3 </w:instrText>
      </w:r>
      <w:r>
        <w:rPr/>
        <w:fldChar w:fldCharType="separate"/>
      </w:r>
      <w:r>
        <w:rPr/>
      </w:r>
      <w:r>
        <w:rPr/>
        <w:fldChar w:fldCharType="end"/>
      </w:r>
      <w:bookmarkStart w:id="30" w:name="__RefHeading___Toc498441741"/>
      <w:bookmarkEnd w:id="30"/>
      <w:r>
        <w:rPr>
          <w:rFonts w:cs="Times New Roman" w:ascii="Times New Roman" w:hAnsi="Times New Roman"/>
          <w:color w:val="000080"/>
          <w:sz w:val="22"/>
        </w:rPr>
        <w:t>.  Except as set forth herein, Seller is responsible for taxes arising out of its performance of the Work including import duties (if any), harbor taxes, personal and corporate taxes.  The Purchase Amount and Stack Purchase Amount excludes any US federal, state or local jurisdiction imposed property,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pay any such taxes when due or reimburse Seller within twenty-five (25) days after the date of Seller’s invoice to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5.2.3</w:t>
        <w:tab/>
      </w:r>
      <w:r>
        <w:rPr>
          <w:rFonts w:cs="Times New Roman" w:ascii="Times New Roman" w:hAnsi="Times New Roman"/>
          <w:color w:val="000080"/>
          <w:sz w:val="22"/>
          <w:u w:val="single"/>
        </w:rPr>
        <w:t>Tax Penalties</w:t>
      </w:r>
      <w:r>
        <w:fldChar w:fldCharType="begin"/>
      </w:r>
      <w:r>
        <w:rPr/>
        <w:instrText xml:space="preserve"> TC "5.2.3</w:instrText>
        <w:tab/>
        <w:instrText xml:space="preserve">Tax Penalties" \l 3 </w:instrText>
      </w:r>
      <w:r>
        <w:rPr/>
        <w:fldChar w:fldCharType="separate"/>
      </w:r>
      <w:r>
        <w:rPr/>
      </w:r>
      <w:r>
        <w:rPr/>
        <w:fldChar w:fldCharType="end"/>
      </w:r>
      <w:bookmarkStart w:id="31" w:name="__RefHeading___Toc498441742"/>
      <w:bookmarkEnd w:id="31"/>
      <w:r>
        <w:rPr>
          <w:rFonts w:cs="Times New Roman" w:ascii="Times New Roman" w:hAnsi="Times New Roman"/>
          <w:color w:val="000080"/>
          <w:sz w:val="22"/>
        </w:rPr>
        <w:t>. Each party agrees to timely pay any tax, interest, penalty, fines, costs, losses and expenses (including, without limitation, court costs and attorney’s fees) of whatever kind, which said party is required to pay in accordance with this Agreement. Each party shall indemnity the other for any such tax, interest, penalty, fines, costs, losses and expenses which the other party may incur , be required by law to pay, or be liable for as a result of, arising from, in connection with, related to or based on any failure to withhold any amounts from any payments made or any amounts which the responsible party  fails to pay in connection with, as a result of, arising from or based on the Scope of Work  or otherwise comply with this Article V.</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5.3</w:t>
        <w:tab/>
      </w:r>
      <w:r>
        <w:rPr>
          <w:rFonts w:cs="Times New Roman" w:ascii="Times New Roman" w:hAnsi="Times New Roman"/>
          <w:color w:val="000080"/>
          <w:sz w:val="22"/>
          <w:u w:val="single"/>
        </w:rPr>
        <w:t>Increases to the Purchase Amount</w:t>
      </w:r>
      <w:r>
        <w:fldChar w:fldCharType="begin"/>
      </w:r>
      <w:r>
        <w:rPr/>
        <w:instrText xml:space="preserve"> TC "5.3</w:instrText>
        <w:tab/>
        <w:instrText xml:space="preserve">Increases to the Purchase Amount" \l 2 </w:instrText>
      </w:r>
      <w:r>
        <w:rPr/>
        <w:fldChar w:fldCharType="separate"/>
      </w:r>
      <w:r>
        <w:rPr/>
      </w:r>
      <w:r>
        <w:rPr/>
        <w:fldChar w:fldCharType="end"/>
      </w:r>
      <w:bookmarkStart w:id="32" w:name="__RefHeading___Toc498441743"/>
      <w:bookmarkEnd w:id="32"/>
      <w:r>
        <w:rPr>
          <w:rFonts w:cs="Times New Roman" w:ascii="Times New Roman" w:hAnsi="Times New Roman"/>
          <w:color w:val="000080"/>
          <w:sz w:val="22"/>
        </w:rPr>
        <w:t>.  After Release, the Purchase Amount may only be increased by Change Order pursuant to Article XI. Seller’s entitlement to an increase in the Purchase Amount shall be conditional upon: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numPr>
          <w:ilvl w:val="0"/>
          <w:numId w:val="4"/>
        </w:numPr>
        <w:tabs>
          <w:tab w:val="clear" w:pos="720"/>
          <w:tab w:val="left" w:pos="-1440"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Seller having used commercially reasonable efforts to mitigate the increase in Purchase Amount (except for Purchaser’s exercise of options);</w:t>
      </w:r>
    </w:p>
    <w:p>
      <w:pPr>
        <w:pStyle w:val="Normal"/>
        <w:widowControl/>
        <w:numPr>
          <w:ilvl w:val="0"/>
          <w:numId w:val="4"/>
        </w:numPr>
        <w:tabs>
          <w:tab w:val="clear" w:pos="720"/>
          <w:tab w:val="left" w:pos="-1440"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Seller having given notice in accordance with the terms of this Agreement; and</w:t>
      </w:r>
    </w:p>
    <w:p>
      <w:pPr>
        <w:pStyle w:val="Normal"/>
        <w:widowControl/>
        <w:numPr>
          <w:ilvl w:val="0"/>
          <w:numId w:val="4"/>
        </w:numPr>
        <w:tabs>
          <w:tab w:val="clear" w:pos="720"/>
          <w:tab w:val="left" w:pos="-1440"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the cost increase not being attributable to an Event of Seller Default.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5.4</w:t>
        <w:tab/>
      </w:r>
      <w:r>
        <w:rPr>
          <w:rFonts w:cs="Times New Roman" w:ascii="Times New Roman" w:hAnsi="Times New Roman"/>
          <w:color w:val="000080"/>
          <w:sz w:val="22"/>
          <w:u w:val="single"/>
        </w:rPr>
        <w:t>Termination</w:t>
      </w:r>
      <w:r>
        <w:fldChar w:fldCharType="begin"/>
      </w:r>
      <w:r>
        <w:rPr/>
        <w:instrText xml:space="preserve"> TC "5.4</w:instrText>
        <w:tab/>
        <w:instrText xml:space="preserve">Termination" \l 2 </w:instrText>
      </w:r>
      <w:r>
        <w:rPr/>
        <w:fldChar w:fldCharType="separate"/>
      </w:r>
      <w:r>
        <w:rPr/>
      </w:r>
      <w:r>
        <w:rPr/>
        <w:fldChar w:fldCharType="end"/>
      </w:r>
      <w:bookmarkStart w:id="33" w:name="__RefHeading___Toc498441744"/>
      <w:bookmarkEnd w:id="33"/>
      <w:r>
        <w:rPr>
          <w:rFonts w:cs="Times New Roman" w:ascii="Times New Roman" w:hAnsi="Times New Roman"/>
          <w:color w:val="000080"/>
          <w:sz w:val="22"/>
        </w:rPr>
        <w:t xml:space="preserve">.  Once a Unit has been included in a Release, neither party may terminate such Release for convenience.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BodyText"/>
        <w:spacing w:lineRule="auto" w:line="240"/>
        <w:jc w:val="start"/>
        <w:rPr>
          <w:rFonts w:ascii="Times New Roman" w:hAnsi="Times New Roman" w:cs="Times New Roman"/>
          <w:color w:val="000080"/>
          <w:sz w:val="22"/>
        </w:rPr>
      </w:pPr>
      <w:r>
        <w:rPr>
          <w:rFonts w:cs="Times New Roman" w:ascii="Times New Roman" w:hAnsi="Times New Roman"/>
          <w:color w:val="000080"/>
          <w:sz w:val="22"/>
        </w:rPr>
      </w:r>
      <w:r>
        <w:br w:type="page"/>
      </w:r>
    </w:p>
    <w:p>
      <w:pPr>
        <w:pStyle w:val="BodyText"/>
        <w:spacing w:lineRule="auto" w:line="240"/>
        <w:jc w:val="start"/>
        <w:rPr>
          <w:rFonts w:ascii="Times New Roman" w:hAnsi="Times New Roman" w:cs="Times New Roman"/>
          <w:color w:val="000080"/>
        </w:rPr>
      </w:pPr>
      <w:r>
        <w:rPr>
          <w:rFonts w:cs="Times New Roman" w:ascii="Times New Roman" w:hAnsi="Times New Roman"/>
          <w:color w:val="000080"/>
        </w:rPr>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VI.  </w:t>
      </w:r>
      <w:r>
        <w:rPr>
          <w:rFonts w:cs="Times New Roman" w:ascii="Times New Roman" w:hAnsi="Times New Roman"/>
          <w:color w:val="000080"/>
          <w:sz w:val="22"/>
          <w:u w:val="single"/>
        </w:rPr>
        <w:t>PAYMENT TERMS</w:t>
      </w:r>
      <w:r>
        <w:fldChar w:fldCharType="begin"/>
      </w:r>
      <w:r>
        <w:rPr/>
        <w:instrText xml:space="preserve"> TC "ARTICLE VI.  PAYMENT TERMS" \l 1 </w:instrText>
      </w:r>
      <w:r>
        <w:rPr/>
        <w:fldChar w:fldCharType="separate"/>
      </w:r>
      <w:r>
        <w:rPr/>
      </w:r>
      <w:r>
        <w:rPr/>
        <w:fldChar w:fldCharType="end"/>
      </w:r>
      <w:bookmarkStart w:id="34" w:name="__RefHeading___Toc498441745"/>
      <w:bookmarkEnd w:id="34"/>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6.1</w:t>
        <w:tab/>
      </w:r>
      <w:r>
        <w:rPr>
          <w:rFonts w:cs="Times New Roman" w:ascii="Times New Roman" w:hAnsi="Times New Roman"/>
          <w:color w:val="000080"/>
          <w:sz w:val="22"/>
          <w:u w:val="single"/>
        </w:rPr>
        <w:t>Payment of Purchase Amount</w:t>
      </w:r>
      <w:r>
        <w:fldChar w:fldCharType="begin"/>
      </w:r>
      <w:r>
        <w:rPr/>
        <w:instrText xml:space="preserve"> TC "6.1</w:instrText>
        <w:tab/>
        <w:instrText xml:space="preserve">Payment of Purchase Amount" \l 2 </w:instrText>
      </w:r>
      <w:r>
        <w:rPr/>
        <w:fldChar w:fldCharType="separate"/>
      </w:r>
      <w:r>
        <w:rPr/>
      </w:r>
      <w:r>
        <w:rPr/>
        <w:fldChar w:fldCharType="end"/>
      </w:r>
      <w:bookmarkStart w:id="35" w:name="__RefHeading___Toc498441746"/>
      <w:bookmarkEnd w:id="35"/>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6.1.1</w:t>
        <w:tab/>
      </w:r>
      <w:r>
        <w:rPr>
          <w:rFonts w:cs="Times New Roman" w:ascii="Times New Roman" w:hAnsi="Times New Roman"/>
          <w:color w:val="000080"/>
          <w:sz w:val="22"/>
          <w:u w:val="single"/>
        </w:rPr>
        <w:t>Payment</w:t>
      </w:r>
      <w:r>
        <w:fldChar w:fldCharType="begin"/>
      </w:r>
      <w:r>
        <w:rPr/>
        <w:instrText xml:space="preserve"> TC "6.1.1</w:instrText>
        <w:tab/>
        <w:instrText xml:space="preserve">Payment" \l 3 </w:instrText>
      </w:r>
      <w:r>
        <w:rPr/>
        <w:fldChar w:fldCharType="separate"/>
      </w:r>
      <w:r>
        <w:rPr/>
      </w:r>
      <w:r>
        <w:rPr/>
        <w:fldChar w:fldCharType="end"/>
      </w:r>
      <w:bookmarkStart w:id="36" w:name="__RefHeading___Toc498441747"/>
      <w:bookmarkEnd w:id="36"/>
      <w:r>
        <w:rPr>
          <w:rFonts w:cs="Times New Roman" w:ascii="Times New Roman" w:hAnsi="Times New Roman"/>
          <w:color w:val="000080"/>
          <w:sz w:val="22"/>
        </w:rPr>
        <w:t>.  Upon Acceptance of a Unit, Seller shall invoice Purchaser for the Purchase Amount, Shipping Charge and/or Stack Purchase Amount (in accordance with Section 14.3) related to that Unit, including any approved Change Orders. Payment of the Purchase Amount for the Unit shall be due within three (3) days of receipt of the invoice.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6.1.2</w:t>
        <w:tab/>
      </w:r>
      <w:r>
        <w:rPr>
          <w:rFonts w:cs="Times New Roman" w:ascii="Times New Roman" w:hAnsi="Times New Roman"/>
          <w:color w:val="000080"/>
          <w:sz w:val="22"/>
          <w:u w:val="single"/>
        </w:rPr>
        <w:t>Payment for Spare Parts</w:t>
      </w:r>
      <w:r>
        <w:fldChar w:fldCharType="begin"/>
      </w:r>
      <w:r>
        <w:rPr/>
        <w:instrText xml:space="preserve"> TC "6.1.2</w:instrText>
        <w:tab/>
        <w:instrText xml:space="preserve">Payment for Spare Parts" \l 3 </w:instrText>
      </w:r>
      <w:r>
        <w:rPr/>
        <w:fldChar w:fldCharType="separate"/>
      </w:r>
      <w:r>
        <w:rPr/>
      </w:r>
      <w:r>
        <w:rPr/>
        <w:fldChar w:fldCharType="end"/>
      </w:r>
      <w:bookmarkStart w:id="37" w:name="__RefHeading___Toc498441748"/>
      <w:bookmarkEnd w:id="37"/>
      <w:r>
        <w:rPr>
          <w:rFonts w:cs="Times New Roman" w:ascii="Times New Roman" w:hAnsi="Times New Roman"/>
          <w:color w:val="000080"/>
          <w:sz w:val="22"/>
          <w:u w:val="single"/>
        </w:rPr>
        <w:t>.</w:t>
      </w:r>
      <w:r>
        <w:rPr>
          <w:rFonts w:cs="Times New Roman" w:ascii="Times New Roman" w:hAnsi="Times New Roman"/>
          <w:color w:val="000080"/>
          <w:sz w:val="22"/>
        </w:rPr>
        <w:t xml:space="preserve">  Payment of the O&amp;M Spare Parts Amount, to the extent Purchaser orders O&amp;M Spare Parts, shall be due and payable by Purchaser to Seller within thirty (30) days 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Seller’s delivery of such O&amp;M Spare Parts to the Delivery Point in accordance with terms of the Change Order; and</w:t>
      </w:r>
    </w:p>
    <w:p>
      <w:pPr>
        <w:pStyle w:val="Normal"/>
        <w:widowControl/>
        <w:tabs>
          <w:tab w:val="clear" w:pos="720"/>
          <w:tab w:val="left" w:pos="-1440" w:leader="none"/>
        </w:tabs>
        <w:spacing w:lineRule="auto" w:line="300"/>
        <w:ind w:hanging="1440" w:start="2160" w:end="0"/>
        <w:rPr>
          <w:rFonts w:ascii="Times New Roman" w:hAnsi="Times New Roman" w:cs="Times New Roman"/>
          <w:color w:val="000080"/>
          <w:sz w:val="22"/>
        </w:rPr>
      </w:pPr>
      <w:r>
        <w:rPr>
          <w:rFonts w:cs="Times New Roman" w:ascii="Times New Roman" w:hAnsi="Times New Roman"/>
          <w:color w:val="000080"/>
          <w:sz w:val="22"/>
        </w:rPr>
        <w:t>(ii)</w:t>
        <w:tab/>
        <w:t>Purchaser's receipt of a properly prepared invoice for such O&amp;M Spare Parts Amount.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6.2</w:t>
        <w:tab/>
      </w:r>
      <w:r>
        <w:rPr>
          <w:rFonts w:cs="Times New Roman" w:ascii="Times New Roman" w:hAnsi="Times New Roman"/>
          <w:color w:val="000080"/>
          <w:sz w:val="22"/>
          <w:u w:val="single"/>
        </w:rPr>
        <w:t>Payment Disputes</w:t>
      </w:r>
      <w:r>
        <w:fldChar w:fldCharType="begin"/>
      </w:r>
      <w:r>
        <w:rPr/>
        <w:instrText xml:space="preserve"> TC "6.2</w:instrText>
        <w:tab/>
        <w:instrText xml:space="preserve">Payment Disputes" \l 2 </w:instrText>
      </w:r>
      <w:r>
        <w:rPr/>
        <w:fldChar w:fldCharType="separate"/>
      </w:r>
      <w:r>
        <w:rPr/>
      </w:r>
      <w:r>
        <w:rPr/>
        <w:fldChar w:fldCharType="end"/>
      </w:r>
      <w:bookmarkStart w:id="38" w:name="__RefHeading___Toc498441749"/>
      <w:bookmarkEnd w:id="38"/>
      <w:r>
        <w:rPr>
          <w:rFonts w:cs="Times New Roman" w:ascii="Times New Roman" w:hAnsi="Times New Roman"/>
          <w:color w:val="000080"/>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reasonable efforts to resolve all disputed amounts as soon as practicable.  Any undisputed amounts not paid when due shall bear interest at the Interest Rate.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6.3</w:t>
        <w:tab/>
      </w:r>
      <w:r>
        <w:rPr>
          <w:rFonts w:cs="Times New Roman" w:ascii="Times New Roman" w:hAnsi="Times New Roman"/>
          <w:color w:val="000080"/>
          <w:sz w:val="22"/>
          <w:u w:val="single"/>
        </w:rPr>
        <w:t>Payment of Vendors</w:t>
      </w:r>
      <w:r>
        <w:fldChar w:fldCharType="begin"/>
      </w:r>
      <w:r>
        <w:rPr/>
        <w:instrText xml:space="preserve"> TC "6.3</w:instrText>
        <w:tab/>
        <w:instrText xml:space="preserve">Payment of Vendors" \l 2 </w:instrText>
      </w:r>
      <w:r>
        <w:rPr/>
        <w:fldChar w:fldCharType="separate"/>
      </w:r>
      <w:r>
        <w:rPr/>
      </w:r>
      <w:r>
        <w:rPr/>
        <w:fldChar w:fldCharType="end"/>
      </w:r>
      <w:bookmarkStart w:id="39" w:name="__RefHeading___Toc498441750"/>
      <w:bookmarkEnd w:id="39"/>
      <w:r>
        <w:rPr>
          <w:rFonts w:cs="Times New Roman" w:ascii="Times New Roman" w:hAnsi="Times New Roman"/>
          <w:color w:val="000080"/>
          <w:sz w:val="22"/>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6.4</w:t>
        <w:tab/>
      </w:r>
      <w:r>
        <w:rPr>
          <w:rFonts w:cs="Times New Roman" w:ascii="Times New Roman" w:hAnsi="Times New Roman"/>
          <w:color w:val="000080"/>
          <w:sz w:val="22"/>
          <w:u w:val="single"/>
        </w:rPr>
        <w:t>Purchaser Delay; Payment</w:t>
      </w:r>
      <w:r>
        <w:fldChar w:fldCharType="begin"/>
      </w:r>
      <w:r>
        <w:rPr/>
        <w:instrText xml:space="preserve"> TC "6.4</w:instrText>
        <w:tab/>
        <w:instrText xml:space="preserve">Purchaser Delay; Payment" \l 2 </w:instrText>
      </w:r>
      <w:r>
        <w:rPr/>
        <w:fldChar w:fldCharType="separate"/>
      </w:r>
      <w:r>
        <w:rPr/>
      </w:r>
      <w:r>
        <w:rPr/>
        <w:fldChar w:fldCharType="end"/>
      </w:r>
      <w:bookmarkStart w:id="40" w:name="__RefHeading___Toc498441751"/>
      <w:bookmarkEnd w:id="40"/>
      <w:r>
        <w:rPr>
          <w:rFonts w:cs="Times New Roman" w:ascii="Times New Roman" w:hAnsi="Times New Roman"/>
          <w:color w:val="000080"/>
          <w:sz w:val="22"/>
        </w:rPr>
        <w:t xml:space="preserve">.  The following shall constitute an event or act of delay by Purchaser (each a “Purchaser Delay”): (i) failing to make the Site available as of the latest date allowed under this Agreement and the Final Project Schedule, assuming Seller has given notice of readiness to ship in accordance with this Agreement, (ii) changing the site to which a Unit is to be delivered after the latest time for making the change has passed, (iii) failing to commence the Performance Tests within fourteen (14) days of Installation Completion, and Purchaser’s receipt of proper notice thereof, or (iv) Purchaser failing to complete its obligations in accordance with the Final Project Schedule, so long as Seller has delivered the major components to the Site in accordance with said Final Project Schedule.  Notwithstanding the foregoing subsection (iv), Seller shall have no obligation to deliver the major components to the Site if Purchaser’s delay or failure to meet its obligations results in a situation where Seller is unable to deliver to the Site.  In such case, Purchaser’s failure shall be considered an event of Purchaser Delay regardless of whether the major components have been delivered to the Site.  Seller shall be entitled to an extension in the Final Project Schedule (including the termination dates referenced in Section 17.1(d)) for any Units for which a Purchaser Delay directly causes the Acceptance of a Unit to be delayed, so long as Seller is in compliance with the Final Project Schedule.  The failure to obtain necessary permits shall not constitute an event of Purchaser Delay so long as (a) Purchaser has initiated the permitting process within ninety (90) days of the Release Date or (b) the Performance Standards are not acceptable to the authority issuing the permit and the procedures set forth in Section 3.10 have been utilized without resolution of the issue.  If an event or act of Purchaser Delay continues for one hundred and five (105) days from the Expected Delivery Date, Purchaser shall pay Seller the Purchase Amount for the affected Unit regardless of whether such Unit has gone through Acceptance.  If a Purchaser's Delay continues for more than 150 days from the Expected Delivery Date Purchaser shall also pay Seller for any additional cost beyond the Purchase Amount for storage, warranty coverage, mobilization and demobilization that Seller incurs to fulfill its obligations after the delay. Seller’s right to receive payment shall be contingent upon Seller providing five (5) days Notice to Purchaser of actual delay caused by the above.  Notwithstanding the foregoing, if a delay continues for more than 510 days from the Expected Delivery Date, Seller shall have the option to terminate this Agreement together with any and obligations of Seller hereunder including, without limitation, warranty obligations.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6.5</w:t>
        <w:tab/>
      </w:r>
      <w:r>
        <w:rPr>
          <w:rFonts w:cs="Times New Roman" w:ascii="Times New Roman" w:hAnsi="Times New Roman"/>
          <w:color w:val="000080"/>
          <w:sz w:val="22"/>
          <w:u w:val="single"/>
        </w:rPr>
        <w:t>Notices of Nonpayment</w:t>
      </w:r>
      <w:r>
        <w:fldChar w:fldCharType="begin"/>
      </w:r>
      <w:r>
        <w:rPr/>
        <w:instrText xml:space="preserve"> TC "6.5</w:instrText>
        <w:tab/>
        <w:instrText xml:space="preserve">Notices of Nonpayment" \l 2 </w:instrText>
      </w:r>
      <w:r>
        <w:rPr/>
        <w:fldChar w:fldCharType="separate"/>
      </w:r>
      <w:r>
        <w:rPr/>
      </w:r>
      <w:r>
        <w:rPr/>
        <w:fldChar w:fldCharType="end"/>
      </w:r>
      <w:bookmarkStart w:id="41" w:name="__RefHeading___Toc498441752"/>
      <w:bookmarkEnd w:id="41"/>
      <w:r>
        <w:rPr>
          <w:rFonts w:cs="Times New Roman" w:ascii="Times New Roman" w:hAnsi="Times New Roman"/>
          <w:color w:val="000080"/>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(a) written notice from such Vendor that such amount has been paid in full by Seller; or (b) evidence from Seller that such amount has been paid in full.</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6.6</w:t>
        <w:tab/>
      </w:r>
      <w:r>
        <w:rPr>
          <w:rFonts w:cs="Times New Roman" w:ascii="Times New Roman" w:hAnsi="Times New Roman"/>
          <w:color w:val="000080"/>
          <w:sz w:val="22"/>
          <w:u w:val="single"/>
        </w:rPr>
        <w:t>Lien Release</w:t>
      </w:r>
      <w:r>
        <w:fldChar w:fldCharType="begin"/>
      </w:r>
      <w:r>
        <w:rPr/>
        <w:instrText xml:space="preserve"> TC "6.6</w:instrText>
        <w:tab/>
        <w:instrText xml:space="preserve">Lien Release" \l 2 </w:instrText>
      </w:r>
      <w:r>
        <w:rPr/>
        <w:fldChar w:fldCharType="separate"/>
      </w:r>
      <w:r>
        <w:rPr/>
      </w:r>
      <w:r>
        <w:rPr/>
        <w:fldChar w:fldCharType="end"/>
      </w:r>
      <w:bookmarkStart w:id="42" w:name="__RefHeading___Toc498441753"/>
      <w:bookmarkEnd w:id="42"/>
      <w:r>
        <w:rPr>
          <w:rFonts w:cs="Times New Roman" w:ascii="Times New Roman" w:hAnsi="Times New Roman"/>
          <w:color w:val="000080"/>
          <w:sz w:val="22"/>
        </w:rPr>
        <w:t xml:space="preserve">.  Seller represents that all services, equipment, materials and information for which Seller seeks payment are free and clear of liens, claims, security interests and encumbrances arising in favor of Vendors.  Seller shall maintain a lien on any Units or Equipment that have not been paid for by Purchaser in full.  Immediately upon receipt of the Purchase Amount for all of the Units at a given Site, Seller shall provide Purchaser with a Lien Release in substantially the form set forth in Exhibit F.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6.7</w:t>
        <w:tab/>
      </w:r>
      <w:r>
        <w:rPr>
          <w:rFonts w:cs="Times New Roman" w:ascii="Times New Roman" w:hAnsi="Times New Roman"/>
          <w:color w:val="000080"/>
          <w:sz w:val="22"/>
          <w:u w:val="single"/>
        </w:rPr>
        <w:t>Invoices</w:t>
      </w:r>
      <w:r>
        <w:fldChar w:fldCharType="begin"/>
      </w:r>
      <w:r>
        <w:rPr/>
        <w:instrText xml:space="preserve"> TC "6.7</w:instrText>
        <w:tab/>
        <w:instrText xml:space="preserve">Invoices" \l 2 </w:instrText>
      </w:r>
      <w:r>
        <w:rPr/>
        <w:fldChar w:fldCharType="separate"/>
      </w:r>
      <w:r>
        <w:rPr/>
      </w:r>
      <w:r>
        <w:rPr/>
        <w:fldChar w:fldCharType="end"/>
      </w:r>
      <w:bookmarkStart w:id="43" w:name="__RefHeading___Toc498441754"/>
      <w:bookmarkEnd w:id="43"/>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6.7.1</w:t>
        <w:tab/>
      </w:r>
      <w:r>
        <w:rPr>
          <w:rFonts w:cs="Times New Roman" w:ascii="Times New Roman" w:hAnsi="Times New Roman"/>
          <w:color w:val="000080"/>
          <w:sz w:val="22"/>
          <w:u w:val="single"/>
        </w:rPr>
        <w:t>Contract Reference</w:t>
      </w:r>
      <w:r>
        <w:fldChar w:fldCharType="begin"/>
      </w:r>
      <w:r>
        <w:rPr/>
        <w:instrText xml:space="preserve"> TC "6.7.1</w:instrText>
        <w:tab/>
        <w:instrText xml:space="preserve">Contract Reference" \l 3 </w:instrText>
      </w:r>
      <w:r>
        <w:rPr/>
        <w:fldChar w:fldCharType="separate"/>
      </w:r>
      <w:r>
        <w:rPr/>
      </w:r>
      <w:r>
        <w:rPr/>
        <w:fldChar w:fldCharType="end"/>
      </w:r>
      <w:bookmarkStart w:id="44" w:name="__RefHeading___Toc498441755"/>
      <w:bookmarkEnd w:id="44"/>
      <w:r>
        <w:rPr>
          <w:rFonts w:cs="Times New Roman" w:ascii="Times New Roman" w:hAnsi="Times New Roman"/>
          <w:color w:val="000080"/>
          <w:sz w:val="22"/>
        </w:rPr>
        <w:t>.  Each invoice will reference CONTRACT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6.7.2</w:t>
        <w:tab/>
      </w:r>
      <w:r>
        <w:rPr>
          <w:rFonts w:cs="Times New Roman" w:ascii="Times New Roman" w:hAnsi="Times New Roman"/>
          <w:color w:val="000080"/>
          <w:sz w:val="22"/>
          <w:u w:val="single"/>
        </w:rPr>
        <w:t>Address for Invoices</w:t>
      </w:r>
      <w:r>
        <w:fldChar w:fldCharType="begin"/>
      </w:r>
      <w:r>
        <w:rPr/>
        <w:instrText xml:space="preserve"> TC "6.7.2</w:instrText>
        <w:tab/>
        <w:instrText xml:space="preserve">Address for Invoices" \l 3 </w:instrText>
      </w:r>
      <w:r>
        <w:rPr/>
        <w:fldChar w:fldCharType="separate"/>
      </w:r>
      <w:r>
        <w:rPr/>
      </w:r>
      <w:r>
        <w:rPr/>
        <w:fldChar w:fldCharType="end"/>
      </w:r>
      <w:bookmarkStart w:id="45" w:name="__RefHeading___Toc498441756"/>
      <w:bookmarkEnd w:id="45"/>
      <w:r>
        <w:rPr>
          <w:rFonts w:cs="Times New Roman" w:ascii="Times New Roman" w:hAnsi="Times New Roman"/>
          <w:color w:val="000080"/>
          <w:sz w:val="22"/>
        </w:rPr>
        <w:t>.  Invoices will be mailed or hand carried to:</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ab/>
        <w:t>[Enron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tab/>
        <w:t>Houston, Texas  77002</w:t>
      </w:r>
    </w:p>
    <w:p>
      <w:pPr>
        <w:pStyle w:val="Normal"/>
        <w:widowControl/>
        <w:rPr>
          <w:rFonts w:ascii="Times New Roman" w:hAnsi="Times New Roman" w:cs="Times New Roman"/>
          <w:color w:val="000080"/>
          <w:sz w:val="22"/>
        </w:rPr>
      </w:pPr>
      <w:r>
        <w:rPr>
          <w:rFonts w:cs="Times New Roman" w:ascii="Times New Roman" w:hAnsi="Times New Roman"/>
          <w:color w:val="000080"/>
          <w:sz w:val="22"/>
        </w:rPr>
        <w:tab/>
        <w:t xml:space="preserve">Attn: ]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 xml:space="preserve">Purchaser anticipates that this address may change, and will notify Seller of such change, prior to the change.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6.7.3</w:t>
        <w:tab/>
      </w:r>
      <w:r>
        <w:rPr>
          <w:rFonts w:cs="Times New Roman" w:ascii="Times New Roman" w:hAnsi="Times New Roman"/>
          <w:color w:val="000080"/>
          <w:sz w:val="22"/>
          <w:u w:val="single"/>
        </w:rPr>
        <w:t>Date of Receipt</w:t>
      </w:r>
      <w:r>
        <w:fldChar w:fldCharType="begin"/>
      </w:r>
      <w:r>
        <w:rPr/>
        <w:instrText xml:space="preserve"> TC "6.7.3</w:instrText>
        <w:tab/>
        <w:instrText xml:space="preserve">Date of Receipt" \l 3 </w:instrText>
      </w:r>
      <w:r>
        <w:rPr/>
        <w:fldChar w:fldCharType="separate"/>
      </w:r>
      <w:r>
        <w:rPr/>
      </w:r>
      <w:r>
        <w:rPr/>
        <w:fldChar w:fldCharType="end"/>
      </w:r>
      <w:bookmarkStart w:id="46" w:name="__RefHeading___Toc498441757"/>
      <w:bookmarkEnd w:id="46"/>
      <w:r>
        <w:rPr>
          <w:rFonts w:cs="Times New Roman" w:ascii="Times New Roman" w:hAnsi="Times New Roman"/>
          <w:color w:val="000080"/>
          <w:sz w:val="22"/>
        </w:rPr>
        <w:t>.  Date of receipt of invoice by Purchaser will be evidenced by date stamp, or other generally accepted date receipting system.</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6.8</w:t>
        <w:tab/>
      </w:r>
      <w:r>
        <w:rPr>
          <w:rFonts w:cs="Times New Roman" w:ascii="Times New Roman" w:hAnsi="Times New Roman"/>
          <w:color w:val="000080"/>
          <w:sz w:val="22"/>
          <w:u w:val="single"/>
        </w:rPr>
        <w:t>Method of Payment</w:t>
      </w:r>
      <w:r>
        <w:fldChar w:fldCharType="begin"/>
      </w:r>
      <w:r>
        <w:rPr/>
        <w:instrText xml:space="preserve"> TC "6.8</w:instrText>
        <w:tab/>
        <w:instrText xml:space="preserve">Method of Payment" \l 2 </w:instrText>
      </w:r>
      <w:r>
        <w:rPr/>
        <w:fldChar w:fldCharType="separate"/>
      </w:r>
      <w:r>
        <w:rPr/>
      </w:r>
      <w:r>
        <w:rPr/>
        <w:fldChar w:fldCharType="end"/>
      </w:r>
      <w:bookmarkStart w:id="47" w:name="__RefHeading___Toc498441758"/>
      <w:bookmarkEnd w:id="47"/>
      <w:r>
        <w:rPr>
          <w:rFonts w:cs="Times New Roman" w:ascii="Times New Roman" w:hAnsi="Times New Roman"/>
          <w:color w:val="000080"/>
          <w:sz w:val="22"/>
        </w:rPr>
        <w:t>.  Payment will be made by wire transfer unless otherwise requested by Seller.  Payments to the Seller shall be made to the following address: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ab/>
        <w: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6.9</w:t>
        <w:tab/>
      </w:r>
      <w:r>
        <w:rPr>
          <w:rFonts w:cs="Times New Roman" w:ascii="Times New Roman" w:hAnsi="Times New Roman"/>
          <w:color w:val="000080"/>
          <w:sz w:val="22"/>
          <w:u w:val="single"/>
        </w:rPr>
        <w:t>Payments Not Acceptance of Work</w:t>
      </w:r>
      <w:r>
        <w:fldChar w:fldCharType="begin"/>
      </w:r>
      <w:r>
        <w:rPr/>
        <w:instrText xml:space="preserve"> TC "6.9</w:instrText>
        <w:tab/>
        <w:instrText xml:space="preserve">Payments Not Acceptance of Work" \l 2 </w:instrText>
      </w:r>
      <w:r>
        <w:rPr/>
        <w:fldChar w:fldCharType="separate"/>
      </w:r>
      <w:r>
        <w:rPr/>
      </w:r>
      <w:r>
        <w:rPr/>
        <w:fldChar w:fldCharType="end"/>
      </w:r>
      <w:bookmarkStart w:id="48" w:name="__RefHeading___Toc498441759"/>
      <w:bookmarkEnd w:id="48"/>
      <w:r>
        <w:rPr>
          <w:rFonts w:cs="Times New Roman" w:ascii="Times New Roman" w:hAnsi="Times New Roman"/>
          <w:color w:val="000080"/>
          <w:sz w:val="22"/>
        </w:rPr>
        <w:t>.  Purchaser waives no rights under this Agreement by making payment hereunder.</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6.10</w:t>
        <w:tab/>
      </w:r>
      <w:r>
        <w:rPr>
          <w:rFonts w:cs="Times New Roman" w:ascii="Times New Roman" w:hAnsi="Times New Roman"/>
          <w:color w:val="000080"/>
          <w:sz w:val="22"/>
          <w:u w:val="single"/>
        </w:rPr>
        <w:t>Punchlist</w:t>
      </w:r>
      <w:r>
        <w:fldChar w:fldCharType="begin"/>
      </w:r>
      <w:r>
        <w:rPr/>
        <w:instrText xml:space="preserve"> TC "6.10</w:instrText>
        <w:tab/>
        <w:instrText xml:space="preserve">Punchlist" \l 2 </w:instrText>
      </w:r>
      <w:r>
        <w:rPr/>
        <w:fldChar w:fldCharType="separate"/>
      </w:r>
      <w:r>
        <w:rPr/>
      </w:r>
      <w:r>
        <w:rPr/>
        <w:fldChar w:fldCharType="end"/>
      </w:r>
      <w:bookmarkStart w:id="49" w:name="__RefHeading___Toc498441760"/>
      <w:bookmarkEnd w:id="49"/>
      <w:r>
        <w:rPr>
          <w:rFonts w:cs="Times New Roman" w:ascii="Times New Roman" w:hAnsi="Times New Roman"/>
          <w:color w:val="000080"/>
          <w:sz w:val="22"/>
        </w:rPr>
        <w:t xml:space="preserve">.  (a) Purchaser shall develop the Punchlist for each Site starting with delivery of the first Unit to a Site and provide such Punchlist to and associated updates to Seller.  Seller shall complete such Punchlist in a commercially reasonable and timely manner.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numPr>
          <w:ilvl w:val="0"/>
          <w:numId w:val="7"/>
        </w:numPr>
        <w:tabs>
          <w:tab w:val="clear" w:pos="720"/>
          <w:tab w:val="left" w:pos="0" w:leader="none"/>
        </w:tabs>
        <w:spacing w:lineRule="auto" w:line="300"/>
        <w:ind w:firstLine="720" w:start="0" w:end="0"/>
        <w:rPr>
          <w:rFonts w:ascii="Times New Roman" w:hAnsi="Times New Roman" w:cs="Times New Roman"/>
          <w:color w:val="000080"/>
          <w:sz w:val="22"/>
        </w:rPr>
      </w:pPr>
      <w:r>
        <w:rPr>
          <w:rFonts w:cs="Times New Roman" w:ascii="Times New Roman" w:hAnsi="Times New Roman"/>
          <w:color w:val="000080"/>
          <w:sz w:val="22"/>
        </w:rPr>
        <w:t xml:space="preserve">Purchaser may withhold from payment of the Purchase Amount on the final Unit at a Site, the amount that the parties reasonably determine is equivalent to the value of completion of the items of the Punchlist created for such Site.  The payout of such withheld funds shall be made as such Punchlist items are completed by Seller.    </w:t>
      </w:r>
      <w:r>
        <w:br w:type="page"/>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VII.  </w:t>
      </w:r>
      <w:r>
        <w:rPr>
          <w:rFonts w:cs="Times New Roman" w:ascii="Times New Roman" w:hAnsi="Times New Roman"/>
          <w:color w:val="000080"/>
          <w:sz w:val="22"/>
          <w:u w:val="single"/>
        </w:rPr>
        <w:t>RELEASE</w:t>
      </w:r>
      <w:r>
        <w:fldChar w:fldCharType="begin"/>
      </w:r>
      <w:r>
        <w:rPr/>
        <w:instrText xml:space="preserve"> TC "ARTICLE VII.  RELEASE" \l 1 </w:instrText>
      </w:r>
      <w:r>
        <w:rPr/>
        <w:fldChar w:fldCharType="separate"/>
      </w:r>
      <w:r>
        <w:rPr/>
      </w:r>
      <w:r>
        <w:rPr/>
        <w:fldChar w:fldCharType="end"/>
      </w:r>
      <w:bookmarkStart w:id="50" w:name="__RefHeading___Toc498441761"/>
      <w:bookmarkEnd w:id="50"/>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7.1</w:t>
        <w:tab/>
      </w:r>
      <w:r>
        <w:rPr>
          <w:rFonts w:cs="Times New Roman" w:ascii="Times New Roman" w:hAnsi="Times New Roman"/>
          <w:color w:val="000080"/>
          <w:sz w:val="22"/>
          <w:u w:val="single"/>
        </w:rPr>
        <w:t>Effective Period for Submitting Release</w:t>
      </w:r>
      <w:r>
        <w:fldChar w:fldCharType="begin"/>
      </w:r>
      <w:r>
        <w:rPr/>
        <w:instrText xml:space="preserve"> TC "7.1</w:instrText>
        <w:tab/>
        <w:instrText xml:space="preserve">Effective Period for Submitting Release" \l 2 </w:instrText>
      </w:r>
      <w:r>
        <w:rPr/>
        <w:fldChar w:fldCharType="separate"/>
      </w:r>
      <w:r>
        <w:rPr/>
      </w:r>
      <w:r>
        <w:rPr/>
        <w:fldChar w:fldCharType="end"/>
      </w:r>
      <w:bookmarkStart w:id="51" w:name="__RefHeading___Toc498441762"/>
      <w:bookmarkEnd w:id="51"/>
      <w:r>
        <w:rPr>
          <w:rFonts w:cs="Times New Roman" w:ascii="Times New Roman" w:hAnsi="Times New Roman"/>
          <w:color w:val="000080"/>
          <w:sz w:val="22"/>
        </w:rPr>
        <w:t>.  This Agreement shall terminate one year after the Effective Date if Purchaser has not submitted a Release (as defined below) by that date.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7.2</w:t>
        <w:tab/>
      </w:r>
      <w:r>
        <w:rPr>
          <w:rFonts w:cs="Times New Roman" w:ascii="Times New Roman" w:hAnsi="Times New Roman"/>
          <w:color w:val="000080"/>
          <w:sz w:val="22"/>
          <w:u w:val="single"/>
        </w:rPr>
        <w:t>Release</w:t>
      </w:r>
      <w:r>
        <w:fldChar w:fldCharType="begin"/>
      </w:r>
      <w:r>
        <w:rPr/>
        <w:instrText xml:space="preserve"> TC "7.2</w:instrText>
        <w:tab/>
        <w:instrText xml:space="preserve">Release" \l 2 </w:instrText>
      </w:r>
      <w:r>
        <w:rPr/>
        <w:fldChar w:fldCharType="separate"/>
      </w:r>
      <w:r>
        <w:rPr/>
      </w:r>
      <w:r>
        <w:rPr/>
        <w:fldChar w:fldCharType="end"/>
      </w:r>
      <w:bookmarkStart w:id="52" w:name="__RefHeading___Toc498441763"/>
      <w:bookmarkEnd w:id="52"/>
      <w:r>
        <w:rPr>
          <w:rFonts w:cs="Times New Roman" w:ascii="Times New Roman" w:hAnsi="Times New Roman"/>
          <w:color w:val="000080"/>
          <w:sz w:val="22"/>
        </w:rPr>
        <w:t xml:space="preserve">.  Should Purchaser desire to place an order for Units, it shall submit a release to Seller (a "Release").  The date the Release is submitted shall be the Release Date. Such Release shall specify the type and number of Units, Guaranteed Acceptance Date, Expected Delivery Date, and Purchase Amount all as based on Exhibit A.  Such dates may be adjusted in accordance with the terms of this Agreement.  Each Release shall also specify the Delivery Point for each Unit; provided, however that such Delivery Point may be subject to change by Purchaser upon ten (10) days notice until six (6) months prior to the Expected Delivery Date for the Unit.  Seller shall be required to perform under a Release only if all of the terms of such Release comply with this Agreement and particularly, with the provisions of Exhibit A.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VIII.  </w:t>
      </w:r>
      <w:r>
        <w:rPr>
          <w:rFonts w:cs="Times New Roman" w:ascii="Times New Roman" w:hAnsi="Times New Roman"/>
          <w:color w:val="000080"/>
          <w:sz w:val="22"/>
          <w:u w:val="single"/>
        </w:rPr>
        <w:t>PROJECT DOCUMENTS</w:t>
      </w:r>
      <w:r>
        <w:fldChar w:fldCharType="begin"/>
      </w:r>
      <w:r>
        <w:rPr/>
        <w:instrText xml:space="preserve"> TC "ARTICLE VIII.  PROJECT DOCUMENTS" \l 1 </w:instrText>
      </w:r>
      <w:r>
        <w:rPr/>
        <w:fldChar w:fldCharType="separate"/>
      </w:r>
      <w:r>
        <w:rPr/>
      </w:r>
      <w:r>
        <w:rPr/>
        <w:fldChar w:fldCharType="end"/>
      </w:r>
      <w:bookmarkStart w:id="53" w:name="__RefHeading___Toc498441764"/>
      <w:bookmarkEnd w:id="53"/>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8.1</w:t>
        <w:tab/>
      </w:r>
      <w:r>
        <w:rPr>
          <w:rFonts w:cs="Times New Roman" w:ascii="Times New Roman" w:hAnsi="Times New Roman"/>
          <w:color w:val="000080"/>
          <w:sz w:val="22"/>
          <w:u w:val="single"/>
        </w:rPr>
        <w:t>Project Management Plan</w:t>
      </w:r>
      <w:r>
        <w:fldChar w:fldCharType="begin"/>
      </w:r>
      <w:r>
        <w:rPr/>
        <w:instrText xml:space="preserve"> TC "8.1</w:instrText>
        <w:tab/>
        <w:instrText xml:space="preserve">Project Management Plan" \l 2 </w:instrText>
      </w:r>
      <w:r>
        <w:rPr/>
        <w:fldChar w:fldCharType="separate"/>
      </w:r>
      <w:r>
        <w:rPr/>
      </w:r>
      <w:r>
        <w:rPr/>
        <w:fldChar w:fldCharType="end"/>
      </w:r>
      <w:bookmarkStart w:id="54" w:name="__RefHeading___Toc498441765"/>
      <w:bookmarkEnd w:id="54"/>
      <w:r>
        <w:rPr>
          <w:rFonts w:cs="Times New Roman" w:ascii="Times New Roman" w:hAnsi="Times New Roman"/>
          <w:color w:val="000080"/>
          <w:sz w:val="22"/>
        </w:rPr>
        <w:t>.  Within thirty days of the Release Date the Seller shall submit a proposed project management plan which shall include the project schedule for manufacturing, shipping and installation of each Unit, a staffing plan, a quality control plan, a subcontracting plan, technical interface, and other matters required to successfully manage the project to conclusion (the “Project Management Plan”).  Six months following the Release Date, Seller and Purchaser shall agree to the initial project schedule contained in the Project Management Plan, which shall set forth the critical path for each Unit to achieve Acceptance prior to the termination dates under Section 17.1(d) related to such Unit.  Seller shall provide an updated Project Management Plan, including a transportation plan, document review schedule, and a draft Acceptance and Performance Evaluation Testing Protocol.</w:t>
      </w:r>
    </w:p>
    <w:p>
      <w:pPr>
        <w:pStyle w:val="Normal"/>
        <w:widowControl/>
        <w:tabs>
          <w:tab w:val="clear" w:pos="720"/>
          <w:tab w:val="left" w:pos="-1440" w:leader="none"/>
          <w:tab w:val="left" w:pos="0" w:leader="none"/>
          <w:tab w:val="left" w:pos="18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8.2</w:t>
        <w:tab/>
      </w:r>
      <w:r>
        <w:rPr>
          <w:rFonts w:cs="Times New Roman" w:ascii="Times New Roman" w:hAnsi="Times New Roman"/>
          <w:color w:val="000080"/>
          <w:sz w:val="22"/>
          <w:u w:val="single"/>
        </w:rPr>
        <w:t>Monthly Reports</w:t>
      </w:r>
      <w:r>
        <w:fldChar w:fldCharType="begin"/>
      </w:r>
      <w:r>
        <w:rPr/>
        <w:instrText xml:space="preserve"> TC "8.2</w:instrText>
        <w:tab/>
        <w:instrText xml:space="preserve">Monthly Reports" \l 2 </w:instrText>
      </w:r>
      <w:r>
        <w:rPr/>
        <w:fldChar w:fldCharType="separate"/>
      </w:r>
      <w:r>
        <w:rPr/>
      </w:r>
      <w:r>
        <w:rPr/>
        <w:fldChar w:fldCharType="end"/>
      </w:r>
      <w:bookmarkStart w:id="55" w:name="__RefHeading___Toc498441766"/>
      <w:bookmarkEnd w:id="55"/>
      <w:r>
        <w:rPr>
          <w:rFonts w:cs="Times New Roman" w:ascii="Times New Roman" w:hAnsi="Times New Roman"/>
          <w:color w:val="000080"/>
          <w:sz w:val="22"/>
          <w:u w:val="single"/>
        </w:rPr>
        <w:t>.</w:t>
      </w:r>
      <w:r>
        <w:rPr>
          <w:rFonts w:cs="Times New Roman" w:ascii="Times New Roman" w:hAnsi="Times New Roman"/>
          <w:color w:val="000080"/>
          <w:sz w:val="22"/>
        </w:rPr>
        <w:t xml:space="preserve">  Seller shall provide monthly reports to Purchaser, providing a narrative status update as well as updates to the project schedule.</w:t>
      </w:r>
    </w:p>
    <w:p>
      <w:pPr>
        <w:pStyle w:val="Normal"/>
        <w:widowControl/>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8.3</w:t>
        <w:tab/>
      </w:r>
      <w:r>
        <w:rPr>
          <w:rFonts w:cs="Times New Roman" w:ascii="Times New Roman" w:hAnsi="Times New Roman"/>
          <w:color w:val="000080"/>
          <w:sz w:val="22"/>
          <w:u w:val="single"/>
        </w:rPr>
        <w:t>Design Drawings</w:t>
      </w:r>
      <w:r>
        <w:fldChar w:fldCharType="begin"/>
      </w:r>
      <w:r>
        <w:rPr/>
        <w:instrText xml:space="preserve"> TC "8.3</w:instrText>
        <w:tab/>
        <w:instrText xml:space="preserve">Design Drawings" \l 2 </w:instrText>
      </w:r>
      <w:r>
        <w:rPr/>
        <w:fldChar w:fldCharType="separate"/>
      </w:r>
      <w:r>
        <w:rPr/>
      </w:r>
      <w:r>
        <w:rPr/>
        <w:fldChar w:fldCharType="end"/>
      </w:r>
      <w:bookmarkStart w:id="56" w:name="__RefHeading___Toc498441767"/>
      <w:bookmarkEnd w:id="56"/>
      <w:r>
        <w:rPr>
          <w:rFonts w:cs="Times New Roman" w:ascii="Times New Roman" w:hAnsi="Times New Roman"/>
          <w:color w:val="000080"/>
          <w:sz w:val="22"/>
        </w:rPr>
        <w:t>.  No later than eight (8) months after the Release Date, Seller shall provide Purchaser with Seller’s approved design engineering drawings.  Purchaser shall have fourteen (14) days to review such drawings and provide comments.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8.4</w:t>
        <w:tab/>
      </w:r>
      <w:r>
        <w:rPr>
          <w:rFonts w:cs="Times New Roman" w:ascii="Times New Roman" w:hAnsi="Times New Roman"/>
          <w:color w:val="000080"/>
          <w:sz w:val="22"/>
          <w:u w:val="single"/>
        </w:rPr>
        <w:t>Specifications</w:t>
      </w:r>
      <w:r>
        <w:fldChar w:fldCharType="begin"/>
      </w:r>
      <w:r>
        <w:rPr/>
        <w:instrText xml:space="preserve"> TC "8.4</w:instrText>
        <w:tab/>
        <w:instrText xml:space="preserve">Specifications" \l 2 </w:instrText>
      </w:r>
      <w:r>
        <w:rPr/>
        <w:fldChar w:fldCharType="separate"/>
      </w:r>
      <w:r>
        <w:rPr/>
      </w:r>
      <w:r>
        <w:rPr/>
        <w:fldChar w:fldCharType="end"/>
      </w:r>
      <w:bookmarkStart w:id="57" w:name="__RefHeading___Toc498441768"/>
      <w:bookmarkEnd w:id="57"/>
      <w:r>
        <w:rPr>
          <w:rFonts w:cs="Times New Roman" w:ascii="Times New Roman" w:hAnsi="Times New Roman"/>
          <w:color w:val="000080"/>
          <w:sz w:val="22"/>
        </w:rPr>
        <w:t xml:space="preserve">.  Exhibit B-1 contains the Preliminary Specifications for the Units.  No later than twelve (12) months after the Release Date, Seller shall submit Final Specifications to Purchaser, which shall be in general conformity with the Preliminary Specifications; provided, however that those items listed on Exhibit C shall be incorporated into both the Preliminary Specifications and the Final Specifications.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IX.  </w:t>
      </w:r>
      <w:r>
        <w:rPr>
          <w:rFonts w:cs="Times New Roman" w:ascii="Times New Roman" w:hAnsi="Times New Roman"/>
          <w:color w:val="000080"/>
          <w:sz w:val="22"/>
          <w:u w:val="single"/>
        </w:rPr>
        <w:t xml:space="preserve">INSPECTION AND CORRECTION OF WORK </w:t>
      </w:r>
      <w:r>
        <w:fldChar w:fldCharType="begin"/>
      </w:r>
      <w:r>
        <w:rPr/>
        <w:instrText xml:space="preserve"> TC "ARTICLE IX.  INSPECTION AND CORRECTION OF WORK" \l 1 </w:instrText>
      </w:r>
      <w:r>
        <w:rPr/>
        <w:fldChar w:fldCharType="separate"/>
      </w:r>
      <w:r>
        <w:rPr/>
      </w:r>
      <w:r>
        <w:rPr/>
        <w:fldChar w:fldCharType="end"/>
      </w:r>
      <w:bookmarkStart w:id="58" w:name="__RefHeading___Toc498441769"/>
      <w:bookmarkEnd w:id="58"/>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9.1</w:t>
        <w:tab/>
      </w:r>
      <w:r>
        <w:rPr>
          <w:rFonts w:cs="Times New Roman" w:ascii="Times New Roman" w:hAnsi="Times New Roman"/>
          <w:color w:val="000080"/>
          <w:sz w:val="22"/>
          <w:u w:val="single"/>
        </w:rPr>
        <w:t>Inspections</w:t>
      </w:r>
      <w:r>
        <w:fldChar w:fldCharType="begin"/>
      </w:r>
      <w:r>
        <w:rPr/>
        <w:instrText xml:space="preserve"> TC "9.1</w:instrText>
        <w:tab/>
        <w:instrText xml:space="preserve">Inspections" \l 2 </w:instrText>
      </w:r>
      <w:r>
        <w:rPr/>
        <w:fldChar w:fldCharType="separate"/>
      </w:r>
      <w:r>
        <w:rPr/>
      </w:r>
      <w:r>
        <w:rPr/>
        <w:fldChar w:fldCharType="end"/>
      </w:r>
      <w:bookmarkStart w:id="59" w:name="__RefHeading___Toc498441770"/>
      <w:bookmarkEnd w:id="59"/>
      <w:r>
        <w:rPr>
          <w:rFonts w:cs="Times New Roman" w:ascii="Times New Roman" w:hAnsi="Times New Roman"/>
          <w:color w:val="000080"/>
          <w:sz w:val="22"/>
        </w:rPr>
        <w:t>.  Purchaser or its designated representatives, shall have the right from time to time during this Agreement and during normal business hours to review Seller’s performance of this Agreement; provided, however that Purchaser has provided Seller with seven (7) days notice of such desire to observe Seller’s performance.   Purchaser's rights to inspect under this Section 9.1 shall include those actions reasonably necessary to verify that the Equipment conforms to the specified requirements of this Agreement (including the Final Specifications and Project Schedule), is being produced in accordance with the manufacturing schedules, and that Seller is acting in conformity with its quality plan. These inspection and observation rights may include but not be limited to the right to review manufacturing schedules and observe certain agreed production inspections and tests of Equipment at Seller’s workplace or those of its Vendors.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Final Specifications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9.2</w:t>
        <w:tab/>
      </w:r>
      <w:r>
        <w:rPr>
          <w:rFonts w:cs="Times New Roman" w:ascii="Times New Roman" w:hAnsi="Times New Roman"/>
          <w:color w:val="000080"/>
          <w:sz w:val="22"/>
          <w:u w:val="single"/>
        </w:rPr>
        <w:t>Resident Facilities</w:t>
      </w:r>
      <w:r>
        <w:fldChar w:fldCharType="begin"/>
      </w:r>
      <w:r>
        <w:rPr/>
        <w:instrText xml:space="preserve"> TC "9.2</w:instrText>
        <w:tab/>
        <w:instrText xml:space="preserve">Resident Facilities" \l 2 </w:instrText>
      </w:r>
      <w:r>
        <w:rPr/>
        <w:fldChar w:fldCharType="separate"/>
      </w:r>
      <w:r>
        <w:rPr/>
      </w:r>
      <w:r>
        <w:rPr/>
        <w:fldChar w:fldCharType="end"/>
      </w:r>
      <w:bookmarkStart w:id="60" w:name="__RefHeading___Toc498441771"/>
      <w:bookmarkEnd w:id="60"/>
      <w:r>
        <w:rPr>
          <w:rFonts w:cs="Times New Roman" w:ascii="Times New Roman" w:hAnsi="Times New Roman"/>
          <w:color w:val="000080"/>
          <w:sz w:val="22"/>
        </w:rPr>
        <w:t xml:space="preserve">.  If reasonably requested by Purchaser, Seller shall act in a commercially reasonable manner to accommodate Purchaser’s request to have a quality representative resident at Seller’s facilities and the Site.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9.3</w:t>
        <w:tab/>
      </w:r>
      <w:r>
        <w:rPr>
          <w:rFonts w:cs="Times New Roman" w:ascii="Times New Roman" w:hAnsi="Times New Roman"/>
          <w:color w:val="000080"/>
          <w:sz w:val="22"/>
          <w:u w:val="single"/>
        </w:rPr>
        <w:t>Quality Plan</w:t>
      </w:r>
      <w:r>
        <w:fldChar w:fldCharType="begin"/>
      </w:r>
      <w:r>
        <w:rPr/>
        <w:instrText xml:space="preserve"> TC "9.3</w:instrText>
        <w:tab/>
        <w:instrText xml:space="preserve">Quality Plan" \l 2 </w:instrText>
      </w:r>
      <w:r>
        <w:rPr/>
        <w:fldChar w:fldCharType="separate"/>
      </w:r>
      <w:r>
        <w:rPr/>
      </w:r>
      <w:r>
        <w:rPr/>
        <w:fldChar w:fldCharType="end"/>
      </w:r>
      <w:bookmarkStart w:id="61" w:name="__RefHeading___Toc498441772"/>
      <w:bookmarkEnd w:id="61"/>
      <w:r>
        <w:rPr>
          <w:rFonts w:cs="Times New Roman" w:ascii="Times New Roman" w:hAnsi="Times New Roman"/>
          <w:color w:val="000080"/>
          <w:sz w:val="22"/>
        </w:rPr>
        <w:t>.  Seller shall maintain a quality plan compliant with ISO 9001/2000, in general conformity with the Project Management Plan, detailing:</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specific authorities and responsibilities;</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 xml:space="preserve">procedures, methods and work instructions; </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inspection and test plans;</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ab/>
        <w:t>(iv)</w:t>
        <w:tab/>
        <w:t xml:space="preserve">vendor qualification procedure.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In the event of a conflict between the Project Management Plan and ISO 9001/2000, the higher standard shall prevail.</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9.4</w:t>
        <w:tab/>
      </w:r>
      <w:r>
        <w:rPr>
          <w:rFonts w:cs="Times New Roman" w:ascii="Times New Roman" w:hAnsi="Times New Roman"/>
          <w:color w:val="000080"/>
          <w:sz w:val="22"/>
          <w:u w:val="single"/>
        </w:rPr>
        <w:t>Notice of Witness Points</w:t>
      </w:r>
      <w:r>
        <w:fldChar w:fldCharType="begin"/>
      </w:r>
      <w:r>
        <w:rPr/>
        <w:instrText xml:space="preserve"> TC "9.4</w:instrText>
        <w:tab/>
        <w:instrText xml:space="preserve">Notice of Witness Points" \l 2 </w:instrText>
      </w:r>
      <w:r>
        <w:rPr/>
        <w:fldChar w:fldCharType="separate"/>
      </w:r>
      <w:r>
        <w:rPr/>
      </w:r>
      <w:r>
        <w:rPr/>
        <w:fldChar w:fldCharType="end"/>
      </w:r>
      <w:bookmarkStart w:id="62" w:name="__RefHeading___Toc498441773"/>
      <w:bookmarkEnd w:id="62"/>
      <w:r>
        <w:rPr>
          <w:rFonts w:cs="Times New Roman" w:ascii="Times New Roman" w:hAnsi="Times New Roman"/>
          <w:color w:val="000080"/>
          <w:sz w:val="22"/>
        </w:rPr>
        <w:t xml:space="preserve">.  In establishing the Project Management Plan the parties shall agree on witness points and factory acceptance tests. Seller shall provide not less than fourteen (14) days notice prior to any of the witness or hold points as set forth in the Project Management Plan.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within ten (10) days of receipt of such Notice, Purchaser shall be deemed to have waived the right to witness the test.  Witnessing a test (or waiving the right to witness such test) does not constitute an acceptance of any work, or waiver of any rights under this Agreement.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9.5</w:t>
        <w:tab/>
      </w:r>
      <w:r>
        <w:rPr>
          <w:rFonts w:cs="Times New Roman" w:ascii="Times New Roman" w:hAnsi="Times New Roman"/>
          <w:color w:val="000080"/>
          <w:sz w:val="22"/>
          <w:u w:val="single"/>
        </w:rPr>
        <w:t>Correction of Equipment</w:t>
      </w:r>
      <w:r>
        <w:fldChar w:fldCharType="begin"/>
      </w:r>
      <w:r>
        <w:rPr/>
        <w:instrText xml:space="preserve"> TC "9.5</w:instrText>
        <w:tab/>
        <w:instrText xml:space="preserve">Correction of Equipment" \l 2 </w:instrText>
      </w:r>
      <w:r>
        <w:rPr/>
        <w:fldChar w:fldCharType="separate"/>
      </w:r>
      <w:r>
        <w:rPr/>
      </w:r>
      <w:r>
        <w:rPr/>
        <w:fldChar w:fldCharType="end"/>
      </w:r>
      <w:bookmarkStart w:id="63" w:name="__RefHeading___Toc498441774"/>
      <w:bookmarkEnd w:id="63"/>
      <w:r>
        <w:rPr>
          <w:rFonts w:cs="Times New Roman" w:ascii="Times New Roman" w:hAnsi="Times New Roman"/>
          <w:color w:val="000080"/>
          <w:sz w:val="22"/>
        </w:rPr>
        <w:t>.  Prior to Acceptance, Seller shall, at its sole cost and risk, promptly correct any part of the Equipment which, in Seller's determination, fails to comply with the Final Specifications,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Final Specifications.  Seller may repair (making an item functional, but not necessarily conforming the work to its original specification) the Equipment or a portion of the Equipment only with Purchaser's written consent, which will not be unreasonably withheld.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X.  </w:t>
      </w:r>
      <w:r>
        <w:rPr>
          <w:rFonts w:cs="Times New Roman" w:ascii="Times New Roman" w:hAnsi="Times New Roman"/>
          <w:color w:val="000080"/>
          <w:sz w:val="22"/>
          <w:u w:val="single"/>
        </w:rPr>
        <w:t>PERFORMANCE GUARANTEES AND ACCEPTANCE</w:t>
      </w:r>
      <w:r>
        <w:fldChar w:fldCharType="begin"/>
      </w:r>
      <w:r>
        <w:rPr/>
        <w:instrText xml:space="preserve"> TC "ARTICLE X.  PERFORMANCE GUARANTEES AND ACCEPTANCE" \l 1 </w:instrText>
      </w:r>
      <w:r>
        <w:rPr/>
        <w:fldChar w:fldCharType="separate"/>
      </w:r>
      <w:r>
        <w:rPr/>
      </w:r>
      <w:r>
        <w:rPr/>
        <w:fldChar w:fldCharType="end"/>
      </w:r>
      <w:bookmarkStart w:id="64" w:name="__RefHeading___Toc498441775"/>
      <w:bookmarkEnd w:id="64"/>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szCs w:val="22"/>
        </w:rPr>
        <w:t>10.1</w:t>
        <w:tab/>
      </w:r>
      <w:r>
        <w:rPr>
          <w:rFonts w:cs="Times New Roman" w:ascii="Times New Roman" w:hAnsi="Times New Roman"/>
          <w:color w:val="000080"/>
          <w:sz w:val="22"/>
          <w:szCs w:val="22"/>
          <w:u w:val="single"/>
        </w:rPr>
        <w:t>Performance Guarantees</w:t>
      </w:r>
      <w:r>
        <w:fldChar w:fldCharType="begin"/>
      </w:r>
      <w:r>
        <w:rPr/>
        <w:instrText xml:space="preserve"> TC "10.1</w:instrText>
        <w:tab/>
        <w:instrText xml:space="preserve">Performance Guarantees" \l 2 </w:instrText>
      </w:r>
      <w:r>
        <w:rPr/>
        <w:fldChar w:fldCharType="separate"/>
      </w:r>
      <w:r>
        <w:rPr/>
      </w:r>
      <w:r>
        <w:rPr/>
        <w:fldChar w:fldCharType="end"/>
      </w:r>
      <w:bookmarkStart w:id="65" w:name="__RefHeading___Toc498441776"/>
      <w:bookmarkEnd w:id="65"/>
      <w:r>
        <w:rPr>
          <w:rFonts w:cs="Times New Roman" w:ascii="Times New Roman" w:hAnsi="Times New Roman"/>
          <w:color w:val="000080"/>
          <w:sz w:val="22"/>
          <w:szCs w:val="22"/>
          <w:u w:val="single"/>
        </w:rPr>
        <w:t>.</w:t>
      </w:r>
      <w:r>
        <w:rPr>
          <w:rFonts w:cs="Times New Roman" w:ascii="Times New Roman" w:hAnsi="Times New Roman"/>
          <w:color w:val="000080"/>
          <w:sz w:val="22"/>
          <w:szCs w:val="22"/>
        </w:rPr>
        <w:t xml:space="preserve">  Seller guarantees that each Unit, including Units subject to stack replacements under Section 14.3, will meet the applicable performance standards for Heat Rate, Maximum Unit Output, emissions, water consumption, sound and endurance as set forth in Sections 10.2 and 10.3 (the “Performance Standards”), when Performance Tests are conducted in accordance with the Acceptance and Performance Evaluation Testing Protocol (as defined below).</w:t>
      </w:r>
    </w:p>
    <w:p>
      <w:pPr>
        <w:pStyle w:val="Normal"/>
        <w:widowControl/>
        <w:autoSpaceDE w:val="false"/>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pPr>
      <w:r>
        <w:rPr>
          <w:rFonts w:cs="Times New Roman" w:ascii="Times New Roman" w:hAnsi="Times New Roman"/>
          <w:color w:val="000080"/>
          <w:sz w:val="22"/>
          <w:szCs w:val="22"/>
        </w:rPr>
        <w:t>10.2</w:t>
        <w:tab/>
      </w:r>
      <w:r>
        <w:rPr>
          <w:rFonts w:cs="Times New Roman" w:ascii="Times New Roman" w:hAnsi="Times New Roman"/>
          <w:color w:val="000080"/>
          <w:sz w:val="22"/>
          <w:szCs w:val="22"/>
          <w:u w:val="single"/>
        </w:rPr>
        <w:t>Performance Standards</w:t>
      </w:r>
      <w:r>
        <w:fldChar w:fldCharType="begin"/>
      </w:r>
      <w:r>
        <w:rPr/>
        <w:instrText xml:space="preserve"> TC "10.2</w:instrText>
        <w:tab/>
        <w:instrText xml:space="preserve">Performance Standards" \l 2 </w:instrText>
      </w:r>
      <w:r>
        <w:rPr/>
        <w:fldChar w:fldCharType="separate"/>
      </w:r>
      <w:r>
        <w:rPr/>
      </w:r>
      <w:r>
        <w:rPr/>
        <w:fldChar w:fldCharType="end"/>
      </w:r>
      <w:bookmarkStart w:id="66" w:name="__RefHeading___Toc498441777"/>
      <w:bookmarkEnd w:id="66"/>
      <w:r>
        <w:rPr>
          <w:rFonts w:cs="Times New Roman" w:ascii="Times New Roman" w:hAnsi="Times New Roman"/>
          <w:color w:val="000080"/>
          <w:sz w:val="22"/>
          <w:szCs w:val="22"/>
        </w:rPr>
        <w:t>.  Each Unit shall meet the applicable Performance Standards for that model as described in this Article X and as set forth in the following table below in order to achieve Acceptance:</w:t>
      </w:r>
    </w:p>
    <w:p>
      <w:pPr>
        <w:pStyle w:val="Normal"/>
        <w:widowControl/>
        <w:autoSpaceDE w:val="false"/>
        <w:rPr>
          <w:rFonts w:ascii="Times New Roman" w:hAnsi="Times New Roman" w:cs="Times New Roman"/>
          <w:color w:val="000080"/>
          <w:sz w:val="22"/>
          <w:szCs w:val="22"/>
        </w:rPr>
      </w:pPr>
      <w:r>
        <w:rPr>
          <w:rFonts w:cs="Times New Roman" w:ascii="Times New Roman" w:hAnsi="Times New Roman"/>
          <w:color w:val="000080"/>
          <w:sz w:val="22"/>
          <w:szCs w:val="22"/>
        </w:rPr>
      </w:r>
    </w:p>
    <w:tbl>
      <w:tblPr>
        <w:tblW w:w="10120" w:type="dxa"/>
        <w:jc w:val="start"/>
        <w:tblInd w:w="40" w:type="dxa"/>
        <w:tblLayout w:type="fixed"/>
        <w:tblCellMar>
          <w:top w:w="0" w:type="dxa"/>
          <w:start w:w="40" w:type="dxa"/>
          <w:bottom w:w="0" w:type="dxa"/>
          <w:end w:w="40" w:type="dxa"/>
        </w:tblCellMar>
      </w:tblPr>
      <w:tblGrid>
        <w:gridCol w:w="2486"/>
        <w:gridCol w:w="1810"/>
        <w:gridCol w:w="2092"/>
        <w:gridCol w:w="1866"/>
        <w:gridCol w:w="1866"/>
      </w:tblGrid>
      <w:tr>
        <w:trPr/>
        <w:tc>
          <w:tcPr>
            <w:tcW w:w="2486" w:type="dxa"/>
            <w:tcBorders/>
          </w:tcPr>
          <w:p>
            <w:pPr>
              <w:pStyle w:val="Normal"/>
              <w:widowControl/>
              <w:autoSpaceDE w:val="false"/>
              <w:snapToGrid w:val="false"/>
              <w:ind w:start="105" w:end="105"/>
              <w:jc w:val="both"/>
              <w:rPr>
                <w:rFonts w:ascii="Times New Roman" w:hAnsi="Times New Roman" w:cs="Times New Roman"/>
                <w:color w:val="000080"/>
                <w:sz w:val="22"/>
                <w:szCs w:val="22"/>
              </w:rPr>
            </w:pPr>
            <w:r>
              <w:rPr>
                <w:rFonts w:cs="Times New Roman" w:ascii="Times New Roman" w:hAnsi="Times New Roman"/>
                <w:color w:val="000080"/>
                <w:sz w:val="22"/>
                <w:szCs w:val="22"/>
              </w:rPr>
            </w:r>
          </w:p>
        </w:tc>
        <w:tc>
          <w:tcPr>
            <w:tcW w:w="1810" w:type="dxa"/>
            <w:tcBorders/>
          </w:tcPr>
          <w:p>
            <w:pPr>
              <w:pStyle w:val="Normal"/>
              <w:widowControl/>
              <w:autoSpaceDE w:val="false"/>
              <w:ind w:start="116" w:end="116"/>
              <w:rPr>
                <w:rFonts w:ascii="Times New Roman" w:hAnsi="Times New Roman" w:cs="Times New Roman"/>
                <w:b/>
                <w:bCs/>
                <w:color w:val="000080"/>
                <w:sz w:val="22"/>
                <w:szCs w:val="22"/>
              </w:rPr>
            </w:pPr>
            <w:r>
              <w:rPr>
                <w:rFonts w:cs="Times New Roman" w:ascii="Times New Roman" w:hAnsi="Times New Roman"/>
                <w:b/>
                <w:bCs/>
                <w:color w:val="000080"/>
                <w:sz w:val="22"/>
                <w:szCs w:val="22"/>
              </w:rPr>
              <w:t>2MW Units</w:t>
            </w:r>
          </w:p>
        </w:tc>
        <w:tc>
          <w:tcPr>
            <w:tcW w:w="2092" w:type="dxa"/>
            <w:tcBorders/>
          </w:tcPr>
          <w:p>
            <w:pPr>
              <w:pStyle w:val="Normal"/>
              <w:widowControl/>
              <w:autoSpaceDE w:val="false"/>
              <w:ind w:start="47" w:end="118"/>
              <w:rPr>
                <w:rFonts w:ascii="Times New Roman" w:hAnsi="Times New Roman" w:cs="Times New Roman"/>
                <w:b/>
                <w:bCs/>
                <w:color w:val="000080"/>
                <w:sz w:val="22"/>
                <w:szCs w:val="22"/>
              </w:rPr>
            </w:pPr>
            <w:r>
              <w:rPr>
                <w:rFonts w:cs="Times New Roman" w:ascii="Times New Roman" w:hAnsi="Times New Roman"/>
                <w:b/>
                <w:bCs/>
                <w:color w:val="000080"/>
                <w:sz w:val="22"/>
                <w:szCs w:val="22"/>
              </w:rPr>
              <w:t>2MW Unit with Replacement Module(s)</w:t>
            </w:r>
          </w:p>
        </w:tc>
        <w:tc>
          <w:tcPr>
            <w:tcW w:w="1866" w:type="dxa"/>
            <w:tcBorders/>
          </w:tcPr>
          <w:p>
            <w:pPr>
              <w:pStyle w:val="Normal"/>
              <w:widowControl/>
              <w:autoSpaceDE w:val="false"/>
              <w:ind w:start="47" w:end="118"/>
              <w:rPr>
                <w:rFonts w:ascii="Times New Roman" w:hAnsi="Times New Roman" w:cs="Times New Roman"/>
                <w:b/>
                <w:bCs/>
                <w:color w:val="000080"/>
                <w:sz w:val="22"/>
                <w:szCs w:val="22"/>
              </w:rPr>
            </w:pPr>
            <w:r>
              <w:rPr>
                <w:rFonts w:cs="Times New Roman" w:ascii="Times New Roman" w:hAnsi="Times New Roman"/>
                <w:b/>
                <w:bCs/>
                <w:color w:val="000080"/>
                <w:sz w:val="22"/>
                <w:szCs w:val="22"/>
              </w:rPr>
              <w:t>2.4MW Units</w:t>
            </w:r>
          </w:p>
        </w:tc>
        <w:tc>
          <w:tcPr>
            <w:tcW w:w="1866" w:type="dxa"/>
            <w:tcBorders/>
          </w:tcPr>
          <w:p>
            <w:pPr>
              <w:pStyle w:val="Normal"/>
              <w:widowControl/>
              <w:autoSpaceDE w:val="false"/>
              <w:ind w:start="47" w:end="118"/>
              <w:rPr>
                <w:rFonts w:ascii="Times New Roman" w:hAnsi="Times New Roman" w:cs="Times New Roman"/>
                <w:b/>
                <w:bCs/>
                <w:color w:val="000080"/>
                <w:sz w:val="22"/>
                <w:szCs w:val="22"/>
              </w:rPr>
            </w:pPr>
            <w:r>
              <w:rPr>
                <w:rFonts w:cs="Times New Roman" w:ascii="Times New Roman" w:hAnsi="Times New Roman"/>
                <w:b/>
                <w:bCs/>
                <w:color w:val="000080"/>
                <w:sz w:val="22"/>
                <w:szCs w:val="22"/>
              </w:rPr>
              <w:t>2.4MW Unit with Replacement Module(s)</w:t>
            </w:r>
          </w:p>
        </w:tc>
      </w:tr>
      <w:tr>
        <w:trPr/>
        <w:tc>
          <w:tcPr>
            <w:tcW w:w="2486" w:type="dxa"/>
            <w:tcBorders/>
          </w:tcPr>
          <w:p>
            <w:pPr>
              <w:pStyle w:val="Normal"/>
              <w:widowControl/>
              <w:autoSpaceDE w:val="false"/>
              <w:ind w:start="105" w:end="20"/>
              <w:rPr>
                <w:rFonts w:ascii="Times New Roman" w:hAnsi="Times New Roman" w:cs="Times New Roman"/>
                <w:color w:val="000080"/>
                <w:sz w:val="22"/>
                <w:szCs w:val="22"/>
              </w:rPr>
            </w:pPr>
            <w:r>
              <w:rPr>
                <w:rFonts w:cs="Times New Roman" w:ascii="Times New Roman" w:hAnsi="Times New Roman"/>
                <w:color w:val="000080"/>
                <w:sz w:val="22"/>
                <w:szCs w:val="22"/>
              </w:rPr>
              <w:t>Maximum Unit Output, kW</w:t>
            </w:r>
          </w:p>
        </w:tc>
        <w:tc>
          <w:tcPr>
            <w:tcW w:w="1810" w:type="dxa"/>
            <w:tcBorders/>
          </w:tcPr>
          <w:p>
            <w:pPr>
              <w:pStyle w:val="Normal"/>
              <w:widowControl/>
              <w:autoSpaceDE w:val="false"/>
              <w:ind w:start="116" w:end="116"/>
              <w:rPr>
                <w:rFonts w:ascii="Times New Roman" w:hAnsi="Times New Roman" w:cs="Times New Roman"/>
                <w:color w:val="000080"/>
                <w:sz w:val="22"/>
                <w:szCs w:val="22"/>
              </w:rPr>
            </w:pPr>
            <w:r>
              <w:rPr>
                <w:rFonts w:cs="Times New Roman" w:ascii="Times New Roman" w:hAnsi="Times New Roman"/>
                <w:color w:val="000080"/>
                <w:sz w:val="22"/>
                <w:szCs w:val="22"/>
              </w:rPr>
              <w:t>2000 kW</w:t>
            </w:r>
          </w:p>
        </w:tc>
        <w:tc>
          <w:tcPr>
            <w:tcW w:w="2092" w:type="dxa"/>
            <w:tcBorders/>
          </w:tcPr>
          <w:p>
            <w:pPr>
              <w:pStyle w:val="Normal"/>
              <w:widowControl/>
              <w:autoSpaceDE w:val="false"/>
              <w:ind w:start="116" w:end="116"/>
              <w:rPr>
                <w:rFonts w:ascii="Times New Roman" w:hAnsi="Times New Roman" w:cs="Times New Roman"/>
                <w:color w:val="000080"/>
                <w:sz w:val="22"/>
                <w:szCs w:val="22"/>
              </w:rPr>
            </w:pPr>
            <w:r>
              <w:rPr>
                <w:rFonts w:cs="Times New Roman" w:ascii="Times New Roman" w:hAnsi="Times New Roman"/>
                <w:color w:val="000080"/>
                <w:sz w:val="22"/>
                <w:szCs w:val="22"/>
              </w:rPr>
              <w:t>2000 kW</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2400 kW</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2400 kW</w:t>
            </w:r>
          </w:p>
        </w:tc>
      </w:tr>
      <w:tr>
        <w:trPr/>
        <w:tc>
          <w:tcPr>
            <w:tcW w:w="2486" w:type="dxa"/>
            <w:tcBorders/>
          </w:tcPr>
          <w:p>
            <w:pPr>
              <w:pStyle w:val="Normal"/>
              <w:widowControl/>
              <w:autoSpaceDE w:val="false"/>
              <w:ind w:start="52" w:end="52"/>
              <w:jc w:val="both"/>
              <w:rPr>
                <w:rFonts w:ascii="Times New Roman" w:hAnsi="Times New Roman" w:cs="Times New Roman"/>
                <w:color w:val="000080"/>
                <w:sz w:val="22"/>
                <w:szCs w:val="22"/>
              </w:rPr>
            </w:pPr>
            <w:r>
              <w:rPr>
                <w:rFonts w:cs="Times New Roman" w:ascii="Times New Roman" w:hAnsi="Times New Roman"/>
                <w:color w:val="000080"/>
                <w:sz w:val="22"/>
                <w:szCs w:val="22"/>
              </w:rPr>
              <w:t>Heat Rate (LHV)</w:t>
            </w:r>
          </w:p>
        </w:tc>
        <w:tc>
          <w:tcPr>
            <w:tcW w:w="1810"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7,108 BTU/kWh</w:t>
            </w:r>
          </w:p>
        </w:tc>
        <w:tc>
          <w:tcPr>
            <w:tcW w:w="2092"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7,108 BTU/kWh</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7,108 BTU/kWh</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7,108 BTU/kWh</w:t>
            </w:r>
          </w:p>
        </w:tc>
      </w:tr>
      <w:tr>
        <w:trPr/>
        <w:tc>
          <w:tcPr>
            <w:tcW w:w="2486" w:type="dxa"/>
            <w:tcBorders/>
          </w:tcPr>
          <w:p>
            <w:pPr>
              <w:pStyle w:val="Normal"/>
              <w:widowControl/>
              <w:autoSpaceDE w:val="false"/>
              <w:ind w:start="52" w:end="52"/>
              <w:jc w:val="both"/>
              <w:rPr>
                <w:rFonts w:ascii="Times New Roman" w:hAnsi="Times New Roman" w:cs="Times New Roman"/>
                <w:color w:val="000080"/>
                <w:sz w:val="22"/>
                <w:szCs w:val="22"/>
              </w:rPr>
            </w:pPr>
            <w:r>
              <w:rPr>
                <w:rFonts w:cs="Times New Roman" w:ascii="Times New Roman" w:hAnsi="Times New Roman"/>
                <w:color w:val="000080"/>
                <w:sz w:val="22"/>
                <w:szCs w:val="22"/>
              </w:rPr>
              <w:t>Water Consumption</w:t>
            </w:r>
          </w:p>
        </w:tc>
        <w:tc>
          <w:tcPr>
            <w:tcW w:w="1810"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600 gal/h</w:t>
            </w:r>
          </w:p>
        </w:tc>
        <w:tc>
          <w:tcPr>
            <w:tcW w:w="2092"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600 gal/h</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620 gal/h</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620 gal/h</w:t>
            </w:r>
          </w:p>
        </w:tc>
      </w:tr>
      <w:tr>
        <w:trPr/>
        <w:tc>
          <w:tcPr>
            <w:tcW w:w="2486" w:type="dxa"/>
            <w:tcBorders/>
          </w:tcPr>
          <w:p>
            <w:pPr>
              <w:pStyle w:val="Normal"/>
              <w:widowControl/>
              <w:autoSpaceDE w:val="false"/>
              <w:ind w:start="52" w:end="52"/>
              <w:jc w:val="both"/>
              <w:rPr>
                <w:rFonts w:ascii="Times New Roman" w:hAnsi="Times New Roman" w:cs="Times New Roman"/>
                <w:color w:val="000080"/>
                <w:sz w:val="22"/>
                <w:szCs w:val="22"/>
              </w:rPr>
            </w:pPr>
            <w:r>
              <w:rPr>
                <w:rFonts w:cs="Times New Roman" w:ascii="Times New Roman" w:hAnsi="Times New Roman"/>
                <w:color w:val="000080"/>
                <w:sz w:val="22"/>
                <w:szCs w:val="22"/>
              </w:rPr>
              <w:t>Water Discharge</w:t>
            </w:r>
          </w:p>
        </w:tc>
        <w:tc>
          <w:tcPr>
            <w:tcW w:w="1810"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450 gal/h</w:t>
            </w:r>
          </w:p>
        </w:tc>
        <w:tc>
          <w:tcPr>
            <w:tcW w:w="2092"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450 gal/h</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460 gal/h</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460 gal/h</w:t>
            </w:r>
          </w:p>
        </w:tc>
      </w:tr>
      <w:tr>
        <w:trPr/>
        <w:tc>
          <w:tcPr>
            <w:tcW w:w="2486" w:type="dxa"/>
            <w:tcBorders/>
          </w:tcPr>
          <w:p>
            <w:pPr>
              <w:pStyle w:val="Normal"/>
              <w:widowControl/>
              <w:autoSpaceDE w:val="false"/>
              <w:ind w:start="52" w:end="52"/>
              <w:jc w:val="both"/>
              <w:rPr>
                <w:rFonts w:ascii="Times New Roman" w:hAnsi="Times New Roman" w:cs="Times New Roman"/>
                <w:color w:val="000080"/>
                <w:sz w:val="22"/>
                <w:szCs w:val="22"/>
              </w:rPr>
            </w:pPr>
            <w:r>
              <w:rPr>
                <w:rFonts w:cs="Times New Roman" w:ascii="Times New Roman" w:hAnsi="Times New Roman"/>
                <w:color w:val="000080"/>
                <w:sz w:val="22"/>
                <w:szCs w:val="22"/>
              </w:rPr>
              <w:t>Sound level</w:t>
            </w:r>
          </w:p>
        </w:tc>
        <w:tc>
          <w:tcPr>
            <w:tcW w:w="1810" w:type="dxa"/>
            <w:tcBorders/>
          </w:tcPr>
          <w:p>
            <w:pPr>
              <w:pStyle w:val="Normal"/>
              <w:widowControl/>
              <w:autoSpaceDE w:val="false"/>
              <w:ind w:start="46" w:end="46"/>
              <w:rPr/>
            </w:pPr>
            <w:r>
              <w:rPr>
                <w:rFonts w:cs="Times New Roman" w:ascii="Times New Roman" w:hAnsi="Times New Roman"/>
                <w:b/>
                <w:bCs/>
                <w:color w:val="000080"/>
                <w:sz w:val="22"/>
                <w:szCs w:val="22"/>
              </w:rPr>
              <w:t>[65]</w:t>
            </w:r>
            <w:r>
              <w:rPr>
                <w:rFonts w:cs="Times New Roman" w:ascii="Times New Roman" w:hAnsi="Times New Roman"/>
                <w:color w:val="000080"/>
                <w:sz w:val="22"/>
                <w:szCs w:val="22"/>
              </w:rPr>
              <w:t xml:space="preserve"> dB(A) at 100 feet</w:t>
            </w:r>
          </w:p>
        </w:tc>
        <w:tc>
          <w:tcPr>
            <w:tcW w:w="2092" w:type="dxa"/>
            <w:tcBorders/>
          </w:tcPr>
          <w:p>
            <w:pPr>
              <w:pStyle w:val="Normal"/>
              <w:widowControl/>
              <w:autoSpaceDE w:val="false"/>
              <w:ind w:start="46" w:end="46"/>
              <w:rPr/>
            </w:pPr>
            <w:r>
              <w:rPr>
                <w:rFonts w:cs="Times New Roman" w:ascii="Times New Roman" w:hAnsi="Times New Roman"/>
                <w:b/>
                <w:bCs/>
                <w:color w:val="000080"/>
                <w:sz w:val="22"/>
                <w:szCs w:val="22"/>
              </w:rPr>
              <w:t>[65]</w:t>
            </w:r>
            <w:r>
              <w:rPr>
                <w:rFonts w:cs="Times New Roman" w:ascii="Times New Roman" w:hAnsi="Times New Roman"/>
                <w:color w:val="000080"/>
                <w:sz w:val="22"/>
                <w:szCs w:val="22"/>
              </w:rPr>
              <w:t xml:space="preserve"> dB(A) at 100 feet</w:t>
            </w:r>
          </w:p>
        </w:tc>
        <w:tc>
          <w:tcPr>
            <w:tcW w:w="1866" w:type="dxa"/>
            <w:tcBorders/>
          </w:tcPr>
          <w:p>
            <w:pPr>
              <w:pStyle w:val="Normal"/>
              <w:widowControl/>
              <w:autoSpaceDE w:val="false"/>
              <w:ind w:start="118" w:end="118"/>
              <w:rPr/>
            </w:pPr>
            <w:r>
              <w:rPr>
                <w:rFonts w:cs="Times New Roman" w:ascii="Times New Roman" w:hAnsi="Times New Roman"/>
                <w:b/>
                <w:bCs/>
                <w:color w:val="000080"/>
                <w:sz w:val="22"/>
                <w:szCs w:val="22"/>
              </w:rPr>
              <w:t>[65]</w:t>
            </w:r>
            <w:r>
              <w:rPr>
                <w:rFonts w:cs="Times New Roman" w:ascii="Times New Roman" w:hAnsi="Times New Roman"/>
                <w:color w:val="000080"/>
                <w:sz w:val="22"/>
                <w:szCs w:val="22"/>
              </w:rPr>
              <w:t xml:space="preserve"> dB(A) at 100 feet</w:t>
            </w:r>
          </w:p>
        </w:tc>
        <w:tc>
          <w:tcPr>
            <w:tcW w:w="1866" w:type="dxa"/>
            <w:tcBorders/>
          </w:tcPr>
          <w:p>
            <w:pPr>
              <w:pStyle w:val="Normal"/>
              <w:widowControl/>
              <w:autoSpaceDE w:val="false"/>
              <w:ind w:start="118" w:end="118"/>
              <w:rPr/>
            </w:pPr>
            <w:r>
              <w:rPr>
                <w:rFonts w:cs="Times New Roman" w:ascii="Times New Roman" w:hAnsi="Times New Roman"/>
                <w:b/>
                <w:bCs/>
                <w:color w:val="000080"/>
                <w:sz w:val="22"/>
                <w:szCs w:val="22"/>
              </w:rPr>
              <w:t>[65]</w:t>
            </w:r>
            <w:r>
              <w:rPr>
                <w:rFonts w:cs="Times New Roman" w:ascii="Times New Roman" w:hAnsi="Times New Roman"/>
                <w:color w:val="000080"/>
                <w:sz w:val="22"/>
                <w:szCs w:val="22"/>
              </w:rPr>
              <w:t xml:space="preserve"> dB(A) at 100 feet</w:t>
            </w:r>
          </w:p>
        </w:tc>
      </w:tr>
      <w:tr>
        <w:trPr/>
        <w:tc>
          <w:tcPr>
            <w:tcW w:w="2486" w:type="dxa"/>
            <w:tcBorders/>
          </w:tcPr>
          <w:p>
            <w:pPr>
              <w:pStyle w:val="Normal"/>
              <w:widowControl/>
              <w:autoSpaceDE w:val="false"/>
              <w:ind w:start="52" w:end="52"/>
              <w:jc w:val="both"/>
              <w:rPr>
                <w:rFonts w:ascii="Times New Roman" w:hAnsi="Times New Roman" w:cs="Times New Roman"/>
                <w:color w:val="000080"/>
                <w:sz w:val="22"/>
                <w:szCs w:val="22"/>
              </w:rPr>
            </w:pPr>
            <w:r>
              <w:rPr>
                <w:rFonts w:cs="Times New Roman" w:ascii="Times New Roman" w:hAnsi="Times New Roman"/>
                <w:color w:val="000080"/>
                <w:sz w:val="22"/>
                <w:szCs w:val="22"/>
              </w:rPr>
              <w:t>Emissions</w:t>
            </w:r>
          </w:p>
        </w:tc>
        <w:tc>
          <w:tcPr>
            <w:tcW w:w="1810" w:type="dxa"/>
            <w:tcBorders/>
          </w:tcPr>
          <w:p>
            <w:pPr>
              <w:pStyle w:val="Normal"/>
              <w:widowControl/>
              <w:autoSpaceDE w:val="false"/>
              <w:snapToGrid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r>
          </w:p>
        </w:tc>
        <w:tc>
          <w:tcPr>
            <w:tcW w:w="2092" w:type="dxa"/>
            <w:tcBorders/>
          </w:tcPr>
          <w:p>
            <w:pPr>
              <w:pStyle w:val="Normal"/>
              <w:widowControl/>
              <w:autoSpaceDE w:val="false"/>
              <w:snapToGrid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r>
          </w:p>
        </w:tc>
        <w:tc>
          <w:tcPr>
            <w:tcW w:w="1866" w:type="dxa"/>
            <w:tcBorders/>
          </w:tcPr>
          <w:p>
            <w:pPr>
              <w:pStyle w:val="Normal"/>
              <w:widowControl/>
              <w:autoSpaceDE w:val="false"/>
              <w:snapToGrid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r>
          </w:p>
        </w:tc>
        <w:tc>
          <w:tcPr>
            <w:tcW w:w="1866" w:type="dxa"/>
            <w:tcBorders/>
          </w:tcPr>
          <w:p>
            <w:pPr>
              <w:pStyle w:val="Normal"/>
              <w:widowControl/>
              <w:autoSpaceDE w:val="false"/>
              <w:snapToGrid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r>
          </w:p>
        </w:tc>
      </w:tr>
      <w:tr>
        <w:trPr/>
        <w:tc>
          <w:tcPr>
            <w:tcW w:w="2486" w:type="dxa"/>
            <w:tcBorders/>
          </w:tcPr>
          <w:p>
            <w:pPr>
              <w:pStyle w:val="Normal"/>
              <w:widowControl/>
              <w:autoSpaceDE w:val="false"/>
              <w:ind w:start="183" w:end="52"/>
              <w:jc w:val="both"/>
              <w:rPr>
                <w:rFonts w:ascii="Times New Roman" w:hAnsi="Times New Roman" w:cs="Times New Roman"/>
                <w:color w:val="000080"/>
                <w:sz w:val="22"/>
                <w:szCs w:val="22"/>
              </w:rPr>
            </w:pPr>
            <w:r>
              <w:rPr>
                <w:rFonts w:cs="Times New Roman" w:ascii="Times New Roman" w:hAnsi="Times New Roman"/>
                <w:color w:val="000080"/>
                <w:sz w:val="22"/>
                <w:szCs w:val="22"/>
              </w:rPr>
              <w:t>Nox</w:t>
            </w:r>
          </w:p>
        </w:tc>
        <w:tc>
          <w:tcPr>
            <w:tcW w:w="1810"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&lt;1 ppmv</w:t>
            </w:r>
          </w:p>
        </w:tc>
        <w:tc>
          <w:tcPr>
            <w:tcW w:w="2092"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&lt;1 ppmv</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&lt;1 ppmv</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&lt;1 ppmv</w:t>
            </w:r>
          </w:p>
        </w:tc>
      </w:tr>
      <w:tr>
        <w:trPr/>
        <w:tc>
          <w:tcPr>
            <w:tcW w:w="2486" w:type="dxa"/>
            <w:tcBorders/>
          </w:tcPr>
          <w:p>
            <w:pPr>
              <w:pStyle w:val="Normal"/>
              <w:widowControl/>
              <w:autoSpaceDE w:val="false"/>
              <w:ind w:start="183" w:end="52"/>
              <w:jc w:val="both"/>
              <w:rPr>
                <w:rFonts w:ascii="Times New Roman" w:hAnsi="Times New Roman" w:cs="Times New Roman"/>
                <w:color w:val="000080"/>
                <w:sz w:val="22"/>
                <w:szCs w:val="22"/>
              </w:rPr>
            </w:pPr>
            <w:r>
              <w:rPr>
                <w:rFonts w:cs="Times New Roman" w:ascii="Times New Roman" w:hAnsi="Times New Roman"/>
                <w:color w:val="000080"/>
                <w:sz w:val="22"/>
                <w:szCs w:val="22"/>
              </w:rPr>
              <w:t>Sox</w:t>
            </w:r>
          </w:p>
        </w:tc>
        <w:tc>
          <w:tcPr>
            <w:tcW w:w="1810"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&lt;0.1 ppmv</w:t>
            </w:r>
          </w:p>
        </w:tc>
        <w:tc>
          <w:tcPr>
            <w:tcW w:w="2092"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&lt;0.1 ppmv</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&lt;0.1 ppmv</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&lt;0.1 ppmv</w:t>
            </w:r>
          </w:p>
        </w:tc>
      </w:tr>
      <w:tr>
        <w:trPr/>
        <w:tc>
          <w:tcPr>
            <w:tcW w:w="2486" w:type="dxa"/>
            <w:tcBorders/>
          </w:tcPr>
          <w:p>
            <w:pPr>
              <w:pStyle w:val="Normal"/>
              <w:widowControl/>
              <w:autoSpaceDE w:val="false"/>
              <w:ind w:start="183" w:end="52"/>
              <w:jc w:val="both"/>
              <w:rPr>
                <w:rFonts w:ascii="Times New Roman" w:hAnsi="Times New Roman" w:cs="Times New Roman"/>
                <w:color w:val="000080"/>
                <w:sz w:val="22"/>
                <w:szCs w:val="22"/>
              </w:rPr>
            </w:pPr>
            <w:r>
              <w:rPr>
                <w:rFonts w:cs="Times New Roman" w:ascii="Times New Roman" w:hAnsi="Times New Roman"/>
                <w:color w:val="000080"/>
                <w:sz w:val="22"/>
                <w:szCs w:val="22"/>
              </w:rPr>
              <w:t>CO</w:t>
            </w:r>
          </w:p>
        </w:tc>
        <w:tc>
          <w:tcPr>
            <w:tcW w:w="1810"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&lt;20 ppmv</w:t>
            </w:r>
          </w:p>
        </w:tc>
        <w:tc>
          <w:tcPr>
            <w:tcW w:w="2092"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&lt;20 ppmv</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&lt;20 ppmv</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&lt;20 ppmv</w:t>
            </w:r>
          </w:p>
        </w:tc>
      </w:tr>
      <w:tr>
        <w:trPr/>
        <w:tc>
          <w:tcPr>
            <w:tcW w:w="2486" w:type="dxa"/>
            <w:tcBorders/>
          </w:tcPr>
          <w:p>
            <w:pPr>
              <w:pStyle w:val="Normal"/>
              <w:widowControl/>
              <w:autoSpaceDE w:val="false"/>
              <w:ind w:start="183" w:end="52"/>
              <w:jc w:val="both"/>
              <w:rPr>
                <w:rFonts w:ascii="Times New Roman" w:hAnsi="Times New Roman" w:cs="Times New Roman"/>
                <w:color w:val="000080"/>
                <w:sz w:val="22"/>
                <w:szCs w:val="22"/>
              </w:rPr>
            </w:pPr>
            <w:r>
              <w:rPr>
                <w:rFonts w:cs="Times New Roman" w:ascii="Times New Roman" w:hAnsi="Times New Roman"/>
                <w:color w:val="000080"/>
                <w:sz w:val="22"/>
                <w:szCs w:val="22"/>
              </w:rPr>
              <w:t>VOC</w:t>
            </w:r>
          </w:p>
        </w:tc>
        <w:tc>
          <w:tcPr>
            <w:tcW w:w="1810"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&lt;20 ppmv</w:t>
            </w:r>
          </w:p>
        </w:tc>
        <w:tc>
          <w:tcPr>
            <w:tcW w:w="2092" w:type="dxa"/>
            <w:tcBorders/>
          </w:tcPr>
          <w:p>
            <w:pPr>
              <w:pStyle w:val="Normal"/>
              <w:widowControl/>
              <w:autoSpaceDE w:val="false"/>
              <w:ind w:start="46" w:end="46"/>
              <w:rPr>
                <w:rFonts w:ascii="Times New Roman" w:hAnsi="Times New Roman" w:cs="Times New Roman"/>
                <w:color w:val="000080"/>
                <w:sz w:val="22"/>
                <w:szCs w:val="22"/>
              </w:rPr>
            </w:pPr>
            <w:r>
              <w:rPr>
                <w:rFonts w:cs="Times New Roman" w:ascii="Times New Roman" w:hAnsi="Times New Roman"/>
                <w:color w:val="000080"/>
                <w:sz w:val="22"/>
                <w:szCs w:val="22"/>
              </w:rPr>
              <w:t>&lt;20 ppmv</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&lt;20 ppmv</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&lt;20 ppmv</w:t>
            </w:r>
          </w:p>
        </w:tc>
      </w:tr>
      <w:tr>
        <w:trPr/>
        <w:tc>
          <w:tcPr>
            <w:tcW w:w="2486" w:type="dxa"/>
            <w:tcBorders/>
          </w:tcPr>
          <w:p>
            <w:pPr>
              <w:pStyle w:val="Normal"/>
              <w:widowControl/>
              <w:autoSpaceDE w:val="false"/>
              <w:ind w:end="105"/>
              <w:jc w:val="both"/>
              <w:rPr>
                <w:rFonts w:ascii="Times New Roman" w:hAnsi="Times New Roman" w:cs="Times New Roman"/>
                <w:color w:val="000080"/>
                <w:sz w:val="22"/>
                <w:szCs w:val="22"/>
              </w:rPr>
            </w:pPr>
            <w:r>
              <w:rPr>
                <w:rFonts w:cs="Times New Roman" w:ascii="Times New Roman" w:hAnsi="Times New Roman"/>
                <w:color w:val="000080"/>
                <w:sz w:val="22"/>
                <w:szCs w:val="22"/>
              </w:rPr>
              <w:t xml:space="preserve">       </w:t>
            </w:r>
            <w:r>
              <w:rPr>
                <w:rFonts w:cs="Times New Roman" w:ascii="Times New Roman" w:hAnsi="Times New Roman"/>
                <w:color w:val="000080"/>
                <w:sz w:val="22"/>
                <w:szCs w:val="22"/>
              </w:rPr>
              <w:t>Particulates (PM10)</w:t>
            </w:r>
          </w:p>
        </w:tc>
        <w:tc>
          <w:tcPr>
            <w:tcW w:w="1810" w:type="dxa"/>
            <w:tcBorders/>
          </w:tcPr>
          <w:p>
            <w:pPr>
              <w:pStyle w:val="Normal"/>
              <w:widowControl/>
              <w:autoSpaceDE w:val="false"/>
              <w:ind w:start="116" w:end="116"/>
              <w:rPr>
                <w:rFonts w:ascii="Times New Roman" w:hAnsi="Times New Roman" w:cs="Times New Roman"/>
                <w:color w:val="000080"/>
                <w:sz w:val="22"/>
                <w:szCs w:val="22"/>
              </w:rPr>
            </w:pPr>
            <w:r>
              <w:rPr>
                <w:rFonts w:cs="Times New Roman" w:ascii="Times New Roman" w:hAnsi="Times New Roman"/>
                <w:color w:val="000080"/>
                <w:sz w:val="22"/>
                <w:szCs w:val="22"/>
              </w:rPr>
              <w:t>&lt;20 mg/m3</w:t>
            </w:r>
          </w:p>
        </w:tc>
        <w:tc>
          <w:tcPr>
            <w:tcW w:w="2092" w:type="dxa"/>
            <w:tcBorders/>
          </w:tcPr>
          <w:p>
            <w:pPr>
              <w:pStyle w:val="Normal"/>
              <w:widowControl/>
              <w:autoSpaceDE w:val="false"/>
              <w:ind w:start="116" w:end="116"/>
              <w:rPr>
                <w:rFonts w:ascii="Times New Roman" w:hAnsi="Times New Roman" w:cs="Times New Roman"/>
                <w:color w:val="000080"/>
                <w:sz w:val="22"/>
                <w:szCs w:val="22"/>
              </w:rPr>
            </w:pPr>
            <w:r>
              <w:rPr>
                <w:rFonts w:cs="Times New Roman" w:ascii="Times New Roman" w:hAnsi="Times New Roman"/>
                <w:color w:val="000080"/>
                <w:sz w:val="22"/>
                <w:szCs w:val="22"/>
              </w:rPr>
              <w:t>&lt;20 mg/m3</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&lt;20 mg/m3</w:t>
            </w:r>
          </w:p>
        </w:tc>
        <w:tc>
          <w:tcPr>
            <w:tcW w:w="1866" w:type="dxa"/>
            <w:tcBorders/>
          </w:tcPr>
          <w:p>
            <w:pPr>
              <w:pStyle w:val="Normal"/>
              <w:widowControl/>
              <w:autoSpaceDE w:val="false"/>
              <w:ind w:start="118" w:end="118"/>
              <w:rPr>
                <w:rFonts w:ascii="Times New Roman" w:hAnsi="Times New Roman" w:cs="Times New Roman"/>
                <w:color w:val="000080"/>
                <w:sz w:val="22"/>
                <w:szCs w:val="22"/>
              </w:rPr>
            </w:pPr>
            <w:r>
              <w:rPr>
                <w:rFonts w:cs="Times New Roman" w:ascii="Times New Roman" w:hAnsi="Times New Roman"/>
                <w:color w:val="000080"/>
                <w:sz w:val="22"/>
                <w:szCs w:val="22"/>
              </w:rPr>
              <w:t>&lt;20 mg/m3</w:t>
            </w:r>
          </w:p>
        </w:tc>
      </w:tr>
    </w:tbl>
    <w:p>
      <w:pPr>
        <w:pStyle w:val="Normal"/>
        <w:widowControl/>
        <w:autoSpaceDE w:val="false"/>
        <w:jc w:val="both"/>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autoSpaceDE w:val="false"/>
        <w:jc w:val="both"/>
        <w:rPr>
          <w:rFonts w:ascii="Times New Roman" w:hAnsi="Times New Roman" w:cs="Times New Roman"/>
          <w:b/>
          <w:bCs/>
          <w:color w:val="000080"/>
          <w:sz w:val="22"/>
          <w:szCs w:val="22"/>
        </w:rPr>
      </w:pPr>
      <w:r>
        <w:rPr>
          <w:rFonts w:cs="Times New Roman" w:ascii="Times New Roman" w:hAnsi="Times New Roman"/>
          <w:b/>
          <w:bCs/>
          <w:color w:val="000080"/>
          <w:sz w:val="22"/>
          <w:szCs w:val="22"/>
        </w:rPr>
        <w:t>[Enron to provide detail on sound requirements]</w:t>
      </w:r>
    </w:p>
    <w:p>
      <w:pPr>
        <w:pStyle w:val="Normal"/>
        <w:widowControl/>
        <w:autoSpaceDE w:val="false"/>
        <w:rPr>
          <w:rFonts w:ascii="Times New Roman" w:hAnsi="Times New Roman" w:cs="Times New Roman"/>
          <w:b/>
          <w:bCs/>
          <w:color w:val="000080"/>
          <w:sz w:val="22"/>
          <w:szCs w:val="22"/>
        </w:rPr>
      </w:pPr>
      <w:r>
        <w:rPr>
          <w:rFonts w:cs="Times New Roman" w:ascii="Times New Roman" w:hAnsi="Times New Roman"/>
          <w:b/>
          <w:bCs/>
          <w:color w:val="000080"/>
          <w:sz w:val="22"/>
          <w:szCs w:val="22"/>
        </w:rPr>
      </w:r>
    </w:p>
    <w:p>
      <w:pPr>
        <w:pStyle w:val="Normal"/>
        <w:widowControl/>
        <w:spacing w:lineRule="auto" w:line="300"/>
        <w:rPr/>
      </w:pPr>
      <w:r>
        <w:rPr>
          <w:rFonts w:cs="Times New Roman" w:ascii="Times New Roman" w:hAnsi="Times New Roman"/>
          <w:color w:val="000080"/>
          <w:sz w:val="22"/>
          <w:szCs w:val="22"/>
        </w:rPr>
        <w:t>10.3</w:t>
        <w:tab/>
      </w:r>
      <w:r>
        <w:rPr>
          <w:rFonts w:cs="Times New Roman" w:ascii="Times New Roman" w:hAnsi="Times New Roman"/>
          <w:color w:val="000080"/>
          <w:sz w:val="22"/>
          <w:szCs w:val="22"/>
          <w:u w:val="single"/>
        </w:rPr>
        <w:t>Endurance</w:t>
      </w:r>
      <w:r>
        <w:fldChar w:fldCharType="begin"/>
      </w:r>
      <w:r>
        <w:rPr/>
        <w:instrText xml:space="preserve"> TC "10.3</w:instrText>
        <w:tab/>
        <w:instrText xml:space="preserve">Endurance" \l 2 </w:instrText>
      </w:r>
      <w:r>
        <w:rPr/>
        <w:fldChar w:fldCharType="separate"/>
      </w:r>
      <w:r>
        <w:rPr/>
      </w:r>
      <w:r>
        <w:rPr/>
        <w:fldChar w:fldCharType="end"/>
      </w:r>
      <w:bookmarkStart w:id="67" w:name="__RefHeading___Toc498441778"/>
      <w:bookmarkEnd w:id="67"/>
      <w:r>
        <w:rPr>
          <w:rFonts w:cs="Times New Roman" w:ascii="Times New Roman" w:hAnsi="Times New Roman"/>
          <w:color w:val="000080"/>
          <w:sz w:val="22"/>
          <w:szCs w:val="22"/>
          <w:u w:val="single"/>
        </w:rPr>
        <w:t>.</w:t>
      </w:r>
      <w:r>
        <w:rPr>
          <w:rFonts w:cs="Times New Roman" w:ascii="Times New Roman" w:hAnsi="Times New Roman"/>
          <w:color w:val="000080"/>
          <w:sz w:val="22"/>
          <w:szCs w:val="22"/>
        </w:rPr>
        <w:t xml:space="preserve">  Seller guarantees that each Unit will pass an </w:t>
      </w:r>
      <w:r>
        <w:rPr>
          <w:rFonts w:cs="Times New Roman" w:ascii="Times New Roman" w:hAnsi="Times New Roman"/>
          <w:color w:val="000080"/>
          <w:sz w:val="22"/>
        </w:rPr>
        <w:t>endurance</w:t>
      </w:r>
      <w:r>
        <w:rPr>
          <w:rFonts w:cs="Times New Roman" w:ascii="Times New Roman" w:hAnsi="Times New Roman"/>
          <w:color w:val="000080"/>
          <w:sz w:val="22"/>
          <w:szCs w:val="22"/>
        </w:rPr>
        <w:t xml:space="preserve"> test by operating at Maximum Unit Output for seventy-two (72) consecutive hours without unplanned outages during the most recent Performance Test conducted in accordance with Section 10.5.</w:t>
      </w:r>
    </w:p>
    <w:p>
      <w:pPr>
        <w:pStyle w:val="Normal"/>
        <w:widowControl/>
        <w:autoSpaceDE w:val="false"/>
        <w:jc w:val="both"/>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pPr>
      <w:r>
        <w:rPr>
          <w:rFonts w:cs="Times New Roman" w:ascii="Times New Roman" w:hAnsi="Times New Roman"/>
          <w:color w:val="000080"/>
          <w:sz w:val="22"/>
          <w:szCs w:val="22"/>
        </w:rPr>
        <w:t>10.4</w:t>
        <w:tab/>
      </w:r>
      <w:r>
        <w:rPr>
          <w:rFonts w:cs="Times New Roman" w:ascii="Times New Roman" w:hAnsi="Times New Roman"/>
          <w:color w:val="000080"/>
          <w:sz w:val="22"/>
          <w:szCs w:val="22"/>
          <w:u w:val="single"/>
        </w:rPr>
        <w:t>Remedy for Failures to Meet Performance Standards</w:t>
      </w:r>
      <w:r>
        <w:fldChar w:fldCharType="begin"/>
      </w:r>
      <w:r>
        <w:rPr/>
        <w:instrText xml:space="preserve"> TC "10.4</w:instrText>
        <w:tab/>
        <w:instrText xml:space="preserve">Remedy for Failures to Meet Performance Standards" \l 2 </w:instrText>
      </w:r>
      <w:r>
        <w:rPr/>
        <w:fldChar w:fldCharType="separate"/>
      </w:r>
      <w:r>
        <w:rPr/>
      </w:r>
      <w:r>
        <w:rPr/>
        <w:fldChar w:fldCharType="end"/>
      </w:r>
      <w:bookmarkStart w:id="68" w:name="__RefHeading___Toc498441779"/>
      <w:bookmarkEnd w:id="68"/>
      <w:r>
        <w:rPr>
          <w:rFonts w:cs="Times New Roman" w:ascii="Times New Roman" w:hAnsi="Times New Roman"/>
          <w:color w:val="000080"/>
          <w:sz w:val="22"/>
          <w:szCs w:val="22"/>
          <w:u w:val="single"/>
        </w:rPr>
        <w:t>.</w:t>
      </w:r>
      <w:r>
        <w:rPr>
          <w:rFonts w:cs="Times New Roman" w:ascii="Times New Roman" w:hAnsi="Times New Roman"/>
          <w:color w:val="000080"/>
          <w:sz w:val="22"/>
          <w:szCs w:val="22"/>
        </w:rPr>
        <w:t xml:space="preserve">  Except as specified in Section 10.7 the failure to achieve the </w:t>
      </w:r>
      <w:r>
        <w:rPr>
          <w:rFonts w:cs="Times New Roman" w:ascii="Times New Roman" w:hAnsi="Times New Roman"/>
          <w:color w:val="000080"/>
          <w:sz w:val="22"/>
        </w:rPr>
        <w:t>Performance</w:t>
      </w:r>
      <w:r>
        <w:rPr>
          <w:rFonts w:cs="Times New Roman" w:ascii="Times New Roman" w:hAnsi="Times New Roman"/>
          <w:color w:val="000080"/>
          <w:sz w:val="22"/>
          <w:szCs w:val="22"/>
        </w:rPr>
        <w:t xml:space="preserve"> Standards by the Guaranteed Acceptance Date as set forth in Section 17.1(d), shall constitute an Event of Seller Default under this Agreement, and Purchaser shall have the remedies specified in Article XVII.</w:t>
      </w:r>
    </w:p>
    <w:p>
      <w:pPr>
        <w:pStyle w:val="Normal"/>
        <w:widowControl/>
        <w:autoSpaceDE w:val="false"/>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pPr>
      <w:r>
        <w:rPr>
          <w:rFonts w:cs="Times New Roman" w:ascii="Times New Roman" w:hAnsi="Times New Roman"/>
          <w:color w:val="000080"/>
          <w:sz w:val="22"/>
          <w:szCs w:val="22"/>
        </w:rPr>
        <w:t>10.5</w:t>
        <w:tab/>
      </w:r>
      <w:r>
        <w:rPr>
          <w:rFonts w:cs="Times New Roman" w:ascii="Times New Roman" w:hAnsi="Times New Roman"/>
          <w:color w:val="000080"/>
          <w:sz w:val="22"/>
          <w:szCs w:val="22"/>
          <w:u w:val="single"/>
        </w:rPr>
        <w:t>Testing</w:t>
      </w:r>
      <w:r>
        <w:fldChar w:fldCharType="begin"/>
      </w:r>
      <w:r>
        <w:rPr/>
        <w:instrText xml:space="preserve"> TC "10.5</w:instrText>
        <w:tab/>
        <w:instrText xml:space="preserve">Testing" \l 2 </w:instrText>
      </w:r>
      <w:r>
        <w:rPr/>
        <w:fldChar w:fldCharType="separate"/>
      </w:r>
      <w:r>
        <w:rPr/>
      </w:r>
      <w:r>
        <w:rPr/>
        <w:fldChar w:fldCharType="end"/>
      </w:r>
      <w:bookmarkStart w:id="69" w:name="__RefHeading___Toc498441780"/>
      <w:bookmarkEnd w:id="69"/>
      <w:r>
        <w:rPr>
          <w:rFonts w:cs="Times New Roman" w:ascii="Times New Roman" w:hAnsi="Times New Roman"/>
          <w:color w:val="000080"/>
          <w:sz w:val="22"/>
          <w:szCs w:val="22"/>
          <w:u w:val="single"/>
        </w:rPr>
        <w:t>.</w:t>
      </w:r>
    </w:p>
    <w:p>
      <w:pPr>
        <w:pStyle w:val="Normal"/>
        <w:widowControl/>
        <w:autoSpaceDE w:val="false"/>
        <w:rPr>
          <w:rFonts w:ascii="Times New Roman" w:hAnsi="Times New Roman" w:cs="Times New Roman"/>
          <w:color w:val="000080"/>
          <w:sz w:val="22"/>
          <w:szCs w:val="22"/>
          <w:u w:val="single"/>
        </w:rPr>
      </w:pPr>
      <w:r>
        <w:rPr>
          <w:rFonts w:cs="Times New Roman" w:ascii="Times New Roman" w:hAnsi="Times New Roman"/>
          <w:color w:val="000080"/>
          <w:sz w:val="22"/>
          <w:szCs w:val="22"/>
          <w:u w:val="single"/>
        </w:rPr>
      </w:r>
    </w:p>
    <w:p>
      <w:pPr>
        <w:pStyle w:val="Normal"/>
        <w:widowControl/>
        <w:spacing w:lineRule="auto" w:line="300"/>
        <w:rPr/>
      </w:pPr>
      <w:r>
        <w:rPr>
          <w:rFonts w:cs="Times New Roman" w:ascii="Times New Roman" w:hAnsi="Times New Roman"/>
          <w:color w:val="000080"/>
          <w:sz w:val="22"/>
          <w:szCs w:val="22"/>
        </w:rPr>
        <w:t>10.5.1</w:t>
        <w:tab/>
      </w:r>
      <w:r>
        <w:rPr>
          <w:rFonts w:cs="Times New Roman" w:ascii="Times New Roman" w:hAnsi="Times New Roman"/>
          <w:color w:val="000080"/>
          <w:sz w:val="22"/>
          <w:szCs w:val="22"/>
          <w:u w:val="single"/>
        </w:rPr>
        <w:t>Notice of Installation Completion; Conducting Tests</w:t>
      </w:r>
      <w:r>
        <w:fldChar w:fldCharType="begin"/>
      </w:r>
      <w:r>
        <w:rPr/>
        <w:instrText xml:space="preserve"> TC "10.5.1</w:instrText>
        <w:tab/>
        <w:instrText xml:space="preserve">Notice of Installation Completion; Conducting Tests" \l 3 </w:instrText>
      </w:r>
      <w:r>
        <w:rPr/>
        <w:fldChar w:fldCharType="separate"/>
      </w:r>
      <w:r>
        <w:rPr/>
      </w:r>
      <w:r>
        <w:rPr/>
        <w:fldChar w:fldCharType="end"/>
      </w:r>
      <w:bookmarkStart w:id="70" w:name="__RefHeading___Toc498441781"/>
      <w:bookmarkEnd w:id="70"/>
      <w:r>
        <w:rPr>
          <w:rFonts w:cs="Times New Roman" w:ascii="Times New Roman" w:hAnsi="Times New Roman"/>
          <w:color w:val="000080"/>
          <w:sz w:val="22"/>
          <w:szCs w:val="22"/>
        </w:rPr>
        <w:t xml:space="preserve">.  Seller shall deliver Notice to Purchaser that a Unit has been installed (“Installation Completion”) so that the Unit is ready to be tested.  Within fourteen (14) days of receipt of this Notice, Purchaser shall perform the Performance Tests in accordance with the test procedures set forth in Exhibit D (the “Acceptance and Performance Evaluation Testing Protocol”); however, Purchaser shall not be required to conduct Performance Tests prior to sixty (60) days from the Expected Delivery Date  or date of actual delivery of all the major components of the Units to the Site, whichever is latest. </w:t>
      </w:r>
      <w:r>
        <w:rPr>
          <w:rFonts w:cs="Times New Roman" w:ascii="Times New Roman" w:hAnsi="Times New Roman"/>
          <w:color w:val="000080"/>
          <w:sz w:val="22"/>
        </w:rPr>
        <w:t>Purchaser</w:t>
      </w:r>
      <w:r>
        <w:rPr>
          <w:rFonts w:cs="Times New Roman" w:ascii="Times New Roman" w:hAnsi="Times New Roman"/>
          <w:color w:val="000080"/>
          <w:sz w:val="22"/>
          <w:szCs w:val="22"/>
        </w:rPr>
        <w:t xml:space="preserve"> shall give Seller five (5) days notice of the time of the Performance Tests. Seller shall be present or to have a representative present at the Performance Tests, shall be provided access to all Units, equipment and measurements, and shall provide technical advice during the tests; however, Purchaser may at its option conduct the test without Seller, assuming notice was properly given in accordance with this section.</w:t>
      </w:r>
    </w:p>
    <w:p>
      <w:pPr>
        <w:pStyle w:val="Normal"/>
        <w:widowControl/>
        <w:autoSpaceDE w:val="false"/>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pPr>
      <w:r>
        <w:rPr>
          <w:rFonts w:cs="Times New Roman" w:ascii="Times New Roman" w:hAnsi="Times New Roman"/>
          <w:color w:val="000080"/>
          <w:sz w:val="22"/>
          <w:szCs w:val="22"/>
        </w:rPr>
        <w:t>10.5.2</w:t>
        <w:tab/>
      </w:r>
      <w:r>
        <w:rPr>
          <w:rFonts w:cs="Times New Roman" w:ascii="Times New Roman" w:hAnsi="Times New Roman"/>
          <w:color w:val="000080"/>
          <w:sz w:val="22"/>
          <w:szCs w:val="22"/>
          <w:u w:val="single"/>
        </w:rPr>
        <w:t>Test Results</w:t>
      </w:r>
      <w:r>
        <w:fldChar w:fldCharType="begin"/>
      </w:r>
      <w:r>
        <w:rPr/>
        <w:instrText xml:space="preserve"> TC "10.5.2</w:instrText>
        <w:tab/>
        <w:instrText xml:space="preserve">Test Results" \l 3 </w:instrText>
      </w:r>
      <w:r>
        <w:rPr/>
        <w:fldChar w:fldCharType="separate"/>
      </w:r>
      <w:r>
        <w:rPr/>
      </w:r>
      <w:r>
        <w:rPr/>
        <w:fldChar w:fldCharType="end"/>
      </w:r>
      <w:bookmarkStart w:id="71" w:name="__RefHeading___Toc498441782"/>
      <w:bookmarkEnd w:id="71"/>
      <w:r>
        <w:rPr>
          <w:rFonts w:cs="Times New Roman" w:ascii="Times New Roman" w:hAnsi="Times New Roman"/>
          <w:color w:val="000080"/>
          <w:sz w:val="22"/>
          <w:szCs w:val="22"/>
        </w:rPr>
        <w:t xml:space="preserve">.  Performance Tests shall be conducted on a Unit-by-Unit basis in strict accordance with the </w:t>
      </w:r>
      <w:r>
        <w:rPr>
          <w:rFonts w:cs="Times New Roman" w:ascii="Times New Roman" w:hAnsi="Times New Roman"/>
          <w:color w:val="000080"/>
          <w:sz w:val="22"/>
        </w:rPr>
        <w:t>Acceptance</w:t>
      </w:r>
      <w:r>
        <w:rPr>
          <w:rFonts w:cs="Times New Roman" w:ascii="Times New Roman" w:hAnsi="Times New Roman"/>
          <w:color w:val="000080"/>
          <w:sz w:val="22"/>
          <w:szCs w:val="22"/>
        </w:rPr>
        <w:t xml:space="preserve"> and Performance Evaluation Testing Protocol.  Upon the completion of a Performance Test for a Unit, Purchaser will issue a Performance Test Certificate setting forth the results achieved during such test.  In the case of multiple Performance Tests on a Unit, performance shall be measured by the most recent Performance Test.</w:t>
      </w:r>
    </w:p>
    <w:p>
      <w:pPr>
        <w:pStyle w:val="Normal"/>
        <w:widowControl/>
        <w:autoSpaceDE w:val="false"/>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pPr>
      <w:r>
        <w:rPr>
          <w:rFonts w:cs="Times New Roman" w:ascii="Times New Roman" w:hAnsi="Times New Roman"/>
          <w:color w:val="000080"/>
          <w:sz w:val="22"/>
          <w:szCs w:val="22"/>
        </w:rPr>
        <w:t>10.5.3</w:t>
        <w:tab/>
      </w:r>
      <w:r>
        <w:rPr>
          <w:rFonts w:cs="Times New Roman" w:ascii="Times New Roman" w:hAnsi="Times New Roman"/>
          <w:color w:val="000080"/>
          <w:sz w:val="22"/>
          <w:szCs w:val="22"/>
          <w:u w:val="single"/>
        </w:rPr>
        <w:t>Costs of Retests</w:t>
      </w:r>
      <w:r>
        <w:fldChar w:fldCharType="begin"/>
      </w:r>
      <w:r>
        <w:rPr/>
        <w:instrText xml:space="preserve"> TC "10.5.3</w:instrText>
        <w:tab/>
        <w:instrText xml:space="preserve">Costs of Retests" \l 3 </w:instrText>
      </w:r>
      <w:r>
        <w:rPr/>
        <w:fldChar w:fldCharType="separate"/>
      </w:r>
      <w:r>
        <w:rPr/>
      </w:r>
      <w:r>
        <w:rPr/>
        <w:fldChar w:fldCharType="end"/>
      </w:r>
      <w:bookmarkStart w:id="72" w:name="__RefHeading___Toc498441783"/>
      <w:bookmarkEnd w:id="72"/>
      <w:r>
        <w:rPr>
          <w:rFonts w:cs="Times New Roman" w:ascii="Times New Roman" w:hAnsi="Times New Roman"/>
          <w:color w:val="000080"/>
          <w:sz w:val="22"/>
          <w:szCs w:val="22"/>
        </w:rPr>
        <w:t xml:space="preserve">.  If additional Performance Tests are required due to the failure of a properly operated Unit to pass a properly administered Performance Test, Seller will bear the </w:t>
      </w:r>
      <w:r>
        <w:rPr>
          <w:rFonts w:cs="Times New Roman" w:ascii="Times New Roman" w:hAnsi="Times New Roman"/>
          <w:color w:val="000080"/>
          <w:sz w:val="22"/>
        </w:rPr>
        <w:t>additional</w:t>
      </w:r>
      <w:r>
        <w:rPr>
          <w:rFonts w:cs="Times New Roman" w:ascii="Times New Roman" w:hAnsi="Times New Roman"/>
          <w:color w:val="000080"/>
          <w:sz w:val="22"/>
          <w:szCs w:val="22"/>
        </w:rPr>
        <w:t xml:space="preserve"> costs (if any) incurred by Purchaser in excess of the costs of fuel, water and operation and maintenance personnel associated with operating the Unit during such additional Performance Tests for the first six (6) such retests. Such additional costs may include, but not be limited to, cost of testing, instrumentation, fuel, consumable spare parts, and additional personnel required to conduct the tests.  Seller shall bear the total costs (if any) incurred by Purchaser in connection with Performance Tests conducted after the first six (6) retests for such Unit. </w:t>
      </w:r>
    </w:p>
    <w:p>
      <w:pPr>
        <w:pStyle w:val="Normal"/>
        <w:widowControl/>
        <w:autoSpaceDE w:val="false"/>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pPr>
      <w:r>
        <w:rPr>
          <w:rFonts w:cs="Times New Roman" w:ascii="Times New Roman" w:hAnsi="Times New Roman"/>
          <w:color w:val="000080"/>
          <w:sz w:val="22"/>
          <w:szCs w:val="22"/>
        </w:rPr>
        <w:t>10.6</w:t>
        <w:tab/>
      </w:r>
      <w:r>
        <w:rPr>
          <w:rFonts w:cs="Times New Roman" w:ascii="Times New Roman" w:hAnsi="Times New Roman"/>
          <w:color w:val="000080"/>
          <w:sz w:val="22"/>
          <w:szCs w:val="22"/>
          <w:u w:val="single"/>
        </w:rPr>
        <w:t>Acceptance</w:t>
      </w:r>
      <w:r>
        <w:fldChar w:fldCharType="begin"/>
      </w:r>
      <w:r>
        <w:rPr/>
        <w:instrText xml:space="preserve"> TC "10.6</w:instrText>
        <w:tab/>
        <w:instrText xml:space="preserve">Acceptance" \l 2 </w:instrText>
      </w:r>
      <w:r>
        <w:rPr/>
        <w:fldChar w:fldCharType="separate"/>
      </w:r>
      <w:r>
        <w:rPr/>
      </w:r>
      <w:r>
        <w:rPr/>
        <w:fldChar w:fldCharType="end"/>
      </w:r>
      <w:bookmarkStart w:id="73" w:name="__RefHeading___Toc498441784"/>
      <w:bookmarkEnd w:id="73"/>
      <w:r>
        <w:rPr>
          <w:rFonts w:cs="Times New Roman" w:ascii="Times New Roman" w:hAnsi="Times New Roman"/>
          <w:color w:val="000080"/>
          <w:sz w:val="22"/>
          <w:szCs w:val="22"/>
        </w:rPr>
        <w:t xml:space="preserve">.  Upon the successful completion of the Performance Test for a Unit, Purchaser shall submit a Performance Test Certificate to Seller certifying that a Unit has achieved the Performance Standards and is accepted.  “Acceptance” for each Unit (and its associated Equipment) shall occur upon: </w:t>
      </w:r>
    </w:p>
    <w:p>
      <w:pPr>
        <w:pStyle w:val="Normal"/>
        <w:widowControl/>
        <w:spacing w:lineRule="auto" w:line="300"/>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numPr>
          <w:ilvl w:val="0"/>
          <w:numId w:val="3"/>
        </w:numPr>
        <w:spacing w:lineRule="auto" w:line="300"/>
        <w:rPr>
          <w:rFonts w:ascii="Times New Roman" w:hAnsi="Times New Roman" w:cs="Times New Roman"/>
          <w:color w:val="000080"/>
          <w:sz w:val="22"/>
          <w:szCs w:val="22"/>
        </w:rPr>
      </w:pPr>
      <w:r>
        <w:rPr>
          <w:rFonts w:cs="Times New Roman" w:ascii="Times New Roman" w:hAnsi="Times New Roman"/>
          <w:color w:val="000080"/>
          <w:sz w:val="22"/>
          <w:szCs w:val="22"/>
        </w:rPr>
        <w:t>the issuance of the Performance Test Certificate by Purchaser as a result of the Unit having met the Performance Standards; and</w:t>
      </w:r>
    </w:p>
    <w:p>
      <w:pPr>
        <w:pStyle w:val="Normal"/>
        <w:widowControl/>
        <w:numPr>
          <w:ilvl w:val="0"/>
          <w:numId w:val="3"/>
        </w:numPr>
        <w:spacing w:lineRule="auto" w:line="300"/>
        <w:rPr>
          <w:rFonts w:ascii="Times New Roman" w:hAnsi="Times New Roman" w:cs="Times New Roman"/>
          <w:color w:val="000080"/>
          <w:sz w:val="22"/>
          <w:szCs w:val="22"/>
        </w:rPr>
      </w:pPr>
      <w:r>
        <w:rPr>
          <w:rFonts w:cs="Times New Roman" w:ascii="Times New Roman" w:hAnsi="Times New Roman"/>
          <w:color w:val="000080"/>
          <w:sz w:val="22"/>
          <w:szCs w:val="22"/>
        </w:rPr>
        <w:t xml:space="preserve">completion of all training and delivery of O &amp; M manual required to be provided by Seller to Purchaser in accordance with the Scope of Work for the first Unit delivered to a given Site.   </w:t>
      </w:r>
    </w:p>
    <w:p>
      <w:pPr>
        <w:pStyle w:val="Normal"/>
        <w:widowControl/>
        <w:autoSpaceDE w:val="false"/>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pPr>
      <w:r>
        <w:rPr>
          <w:rFonts w:cs="Times New Roman" w:ascii="Times New Roman" w:hAnsi="Times New Roman"/>
          <w:color w:val="000080"/>
          <w:sz w:val="22"/>
          <w:szCs w:val="22"/>
        </w:rPr>
        <w:t>10.7</w:t>
        <w:tab/>
      </w:r>
      <w:r>
        <w:rPr>
          <w:rFonts w:cs="Times New Roman" w:ascii="Times New Roman" w:hAnsi="Times New Roman"/>
          <w:color w:val="000080"/>
          <w:sz w:val="22"/>
          <w:szCs w:val="22"/>
          <w:u w:val="single"/>
        </w:rPr>
        <w:t>Reduced Purchase Amount for Failing to Meet Performance Standards</w:t>
      </w:r>
      <w:r>
        <w:fldChar w:fldCharType="begin"/>
      </w:r>
      <w:r>
        <w:rPr/>
        <w:instrText xml:space="preserve"> TC "10.7</w:instrText>
        <w:tab/>
        <w:instrText xml:space="preserve">Reduced Purchase Amount for Failing to Meet Performance Standards" \l 2 </w:instrText>
      </w:r>
      <w:r>
        <w:rPr/>
        <w:fldChar w:fldCharType="separate"/>
      </w:r>
      <w:r>
        <w:rPr/>
      </w:r>
      <w:r>
        <w:rPr/>
        <w:fldChar w:fldCharType="end"/>
      </w:r>
      <w:bookmarkStart w:id="74" w:name="__RefHeading___Toc498441785"/>
      <w:bookmarkEnd w:id="74"/>
      <w:r>
        <w:rPr>
          <w:rFonts w:cs="Times New Roman" w:ascii="Times New Roman" w:hAnsi="Times New Roman"/>
          <w:color w:val="000080"/>
          <w:sz w:val="22"/>
          <w:szCs w:val="22"/>
          <w:u w:val="single"/>
        </w:rPr>
        <w:t>.</w:t>
      </w:r>
      <w:r>
        <w:rPr>
          <w:rFonts w:cs="Times New Roman" w:ascii="Times New Roman" w:hAnsi="Times New Roman"/>
          <w:color w:val="000080"/>
          <w:sz w:val="22"/>
          <w:szCs w:val="22"/>
        </w:rPr>
        <w:t xml:space="preserve">  Should (i) the most recent Performance Test of a Unit demonstrate that the Unit has met the Performance Standards except for the Maximum Unit Output Performance Standard and (ii) during such Performance Test of a Unit, the Unit demonstrates that it has met 90% or greater of the Maximum Unit Output Performance Standard, the Purchase Amount related to that Unit shall be reduced by the percent by which the Unit fails to meet the Maximum Unit Output Performance Standard. Seller shall within 30 days refund any prior payment received for the Unit in excess of the reduced Purchase Amount. </w:t>
      </w:r>
    </w:p>
    <w:p>
      <w:pPr>
        <w:pStyle w:val="Normal"/>
        <w:widowControl/>
        <w:spacing w:lineRule="auto" w:line="300"/>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spacing w:lineRule="auto" w:line="300"/>
        <w:rPr/>
      </w:pPr>
      <w:r>
        <w:rPr>
          <w:rFonts w:cs="Times New Roman" w:ascii="Times New Roman" w:hAnsi="Times New Roman"/>
          <w:color w:val="000080"/>
          <w:sz w:val="22"/>
          <w:szCs w:val="22"/>
        </w:rPr>
        <w:t>10.8</w:t>
        <w:tab/>
      </w:r>
      <w:r>
        <w:rPr>
          <w:rFonts w:cs="Times New Roman" w:ascii="Times New Roman" w:hAnsi="Times New Roman"/>
          <w:color w:val="000080"/>
          <w:sz w:val="22"/>
          <w:szCs w:val="22"/>
          <w:u w:val="single"/>
        </w:rPr>
        <w:t>Improved Performance</w:t>
      </w:r>
      <w:r>
        <w:fldChar w:fldCharType="begin"/>
      </w:r>
      <w:r>
        <w:rPr/>
        <w:instrText xml:space="preserve"> TC "10.8</w:instrText>
        <w:tab/>
        <w:instrText xml:space="preserve">Improved Performance" \l 2 </w:instrText>
      </w:r>
      <w:r>
        <w:rPr/>
        <w:fldChar w:fldCharType="separate"/>
      </w:r>
      <w:r>
        <w:rPr/>
      </w:r>
      <w:r>
        <w:rPr/>
        <w:fldChar w:fldCharType="end"/>
      </w:r>
      <w:bookmarkStart w:id="75" w:name="__RefHeading___Toc498441786"/>
      <w:bookmarkEnd w:id="75"/>
      <w:r>
        <w:rPr>
          <w:rFonts w:cs="Times New Roman" w:ascii="Times New Roman" w:hAnsi="Times New Roman"/>
          <w:color w:val="000080"/>
          <w:sz w:val="22"/>
          <w:szCs w:val="22"/>
        </w:rPr>
        <w:t xml:space="preserve">.  For a period of ninety (90) days following Acceptance, Seller shall use commercially reasonable efforts to achieve Unit performance which improves upon the Performance Standards.  </w:t>
      </w:r>
    </w:p>
    <w:p>
      <w:pPr>
        <w:pStyle w:val="Normal"/>
        <w:widowControl/>
        <w:autoSpaceDE w:val="false"/>
        <w:jc w:val="both"/>
        <w:rPr>
          <w:rFonts w:ascii="Times New Roman" w:hAnsi="Times New Roman" w:cs="Times New Roman"/>
          <w:color w:val="000080"/>
          <w:sz w:val="22"/>
          <w:szCs w:val="22"/>
        </w:rPr>
      </w:pPr>
      <w:r>
        <w:rPr>
          <w:rFonts w:cs="Times New Roman" w:ascii="Times New Roman" w:hAnsi="Times New Roman"/>
          <w:color w:val="000080"/>
          <w:sz w:val="22"/>
          <w:szCs w:val="22"/>
        </w:rPr>
      </w:r>
    </w:p>
    <w:p>
      <w:pPr>
        <w:pStyle w:val="Normal"/>
        <w:widowControl/>
        <w:autoSpaceDE w:val="false"/>
        <w:jc w:val="both"/>
        <w:rPr/>
      </w:pPr>
      <w:r>
        <w:rPr>
          <w:rFonts w:cs="Times New Roman" w:ascii="Times New Roman" w:hAnsi="Times New Roman"/>
          <w:color w:val="000080"/>
          <w:sz w:val="22"/>
        </w:rPr>
        <w:t>10.9</w:t>
        <w:tab/>
      </w:r>
      <w:r>
        <w:rPr>
          <w:rFonts w:cs="Times New Roman" w:ascii="Times New Roman" w:hAnsi="Times New Roman"/>
          <w:color w:val="000080"/>
          <w:sz w:val="22"/>
          <w:u w:val="single"/>
        </w:rPr>
        <w:t>Water Quality</w:t>
      </w:r>
      <w:r>
        <w:fldChar w:fldCharType="begin"/>
      </w:r>
      <w:r>
        <w:rPr/>
        <w:instrText xml:space="preserve"> TC "10.9</w:instrText>
        <w:tab/>
        <w:instrText xml:space="preserve">Water Quality" \l 2 </w:instrText>
      </w:r>
      <w:r>
        <w:rPr/>
        <w:fldChar w:fldCharType="separate"/>
      </w:r>
      <w:r>
        <w:rPr/>
      </w:r>
      <w:r>
        <w:rPr/>
        <w:fldChar w:fldCharType="end"/>
      </w:r>
      <w:bookmarkStart w:id="76" w:name="__RefHeading___Toc498441787"/>
      <w:bookmarkEnd w:id="76"/>
      <w:r>
        <w:rPr>
          <w:rFonts w:cs="Times New Roman" w:ascii="Times New Roman" w:hAnsi="Times New Roman"/>
          <w:color w:val="000080"/>
          <w:sz w:val="22"/>
        </w:rPr>
        <w:t xml:space="preserve">.  Purchaser shall provide Seller with the water quality parameters for all water to be provided to the Units at each Site.  Such parameters will be consistent with the Preliminary Specifications.  Upon receipt of such parameters, Seller shall have fourteen (14) days in which to provide Purchaser with a standard for the quality of water discharged from such Unit.      </w:t>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XI.  </w:t>
      </w:r>
      <w:r>
        <w:rPr>
          <w:rFonts w:cs="Times New Roman" w:ascii="Times New Roman" w:hAnsi="Times New Roman"/>
          <w:color w:val="000080"/>
          <w:sz w:val="22"/>
          <w:u w:val="single"/>
        </w:rPr>
        <w:t>CHANGE ORDER</w:t>
      </w:r>
      <w:r>
        <w:fldChar w:fldCharType="begin"/>
      </w:r>
      <w:r>
        <w:rPr/>
        <w:instrText xml:space="preserve"> TC "ARTICLE XI.  CHANGE ORDER" \l 1 </w:instrText>
      </w:r>
      <w:r>
        <w:rPr/>
        <w:fldChar w:fldCharType="separate"/>
      </w:r>
      <w:r>
        <w:rPr/>
      </w:r>
      <w:r>
        <w:rPr/>
        <w:fldChar w:fldCharType="end"/>
      </w:r>
      <w:bookmarkStart w:id="77" w:name="__RefHeading___Toc498441788"/>
      <w:bookmarkEnd w:id="77"/>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11.1</w:t>
        <w:tab/>
      </w:r>
      <w:r>
        <w:rPr>
          <w:rFonts w:cs="Times New Roman" w:ascii="Times New Roman" w:hAnsi="Times New Roman"/>
          <w:color w:val="000080"/>
          <w:sz w:val="22"/>
          <w:u w:val="single"/>
        </w:rPr>
        <w:t>Adjustment of Purchase Amount</w:t>
      </w:r>
      <w:r>
        <w:fldChar w:fldCharType="begin"/>
      </w:r>
      <w:r>
        <w:rPr/>
        <w:instrText xml:space="preserve"> TC "11.1</w:instrText>
        <w:tab/>
        <w:instrText xml:space="preserve">Adjustment of Purchase Amount" \l 2 </w:instrText>
      </w:r>
      <w:r>
        <w:rPr/>
        <w:fldChar w:fldCharType="separate"/>
      </w:r>
      <w:r>
        <w:rPr/>
      </w:r>
      <w:r>
        <w:rPr/>
        <w:fldChar w:fldCharType="end"/>
      </w:r>
      <w:bookmarkStart w:id="78" w:name="__RefHeading___Toc498441789"/>
      <w:bookmarkEnd w:id="78"/>
      <w:r>
        <w:rPr>
          <w:rFonts w:cs="Times New Roman" w:ascii="Times New Roman" w:hAnsi="Times New Roman"/>
          <w:color w:val="000080"/>
          <w:sz w:val="22"/>
        </w:rPr>
        <w:t>.  The Purchase Amount shall be subject to adjustment in accordance with the terms of this Agreement solely for (a) Purchaser</w:t>
        <w:noBreakHyphen/>
        <w:t>requested or caused changes in the Scope of Work; (b) changes in the Scope of Work proposed by Seller and approved by Purchaser; (c) Change in Law, or (d) an Event of Force Majeure.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11.2</w:t>
        <w:tab/>
      </w:r>
      <w:r>
        <w:rPr>
          <w:rFonts w:cs="Times New Roman" w:ascii="Times New Roman" w:hAnsi="Times New Roman"/>
          <w:color w:val="000080"/>
          <w:sz w:val="22"/>
          <w:u w:val="single"/>
        </w:rPr>
        <w:t>Purchaser Requested Change Order</w:t>
      </w:r>
      <w:r>
        <w:fldChar w:fldCharType="begin"/>
      </w:r>
      <w:r>
        <w:rPr/>
        <w:instrText xml:space="preserve"> TC "11.2</w:instrText>
        <w:tab/>
        <w:instrText xml:space="preserve">Purchaser Requested Change Order" \l 2 </w:instrText>
      </w:r>
      <w:r>
        <w:rPr/>
        <w:fldChar w:fldCharType="separate"/>
      </w:r>
      <w:r>
        <w:rPr/>
      </w:r>
      <w:r>
        <w:rPr/>
        <w:fldChar w:fldCharType="end"/>
      </w:r>
      <w:bookmarkStart w:id="79" w:name="__RefHeading___Toc498441790"/>
      <w:bookmarkEnd w:id="79"/>
      <w:r>
        <w:rPr>
          <w:rFonts w:cs="Times New Roman" w:ascii="Times New Roman" w:hAnsi="Times New Roman"/>
          <w:color w:val="000080"/>
          <w:sz w:val="22"/>
        </w:rPr>
        <w:t>.  If Purchaser desires to make any change in the Scope of Work (a "Change Order") including, without limitation, any alteration in the Scope of Work, (which whether by way of additions, modification or omission does not cover that which a commercially reasonable Seller should have provided as part of the Scope of Work) Purchaser shall advise Seller, and Purchaser and Seller shall consult concerning the estimated cost and impact on the Expected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Expected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Seller shall have no obligation to perform under a Change Order until such Change Order is executed by both parties and effective.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11.3</w:t>
        <w:tab/>
      </w:r>
      <w:r>
        <w:rPr>
          <w:rFonts w:cs="Times New Roman" w:ascii="Times New Roman" w:hAnsi="Times New Roman"/>
          <w:color w:val="000080"/>
          <w:sz w:val="22"/>
          <w:u w:val="single"/>
        </w:rPr>
        <w:t>Seller Requested Change Order</w:t>
      </w:r>
      <w:r>
        <w:fldChar w:fldCharType="begin"/>
      </w:r>
      <w:r>
        <w:rPr/>
        <w:instrText xml:space="preserve"> TC "11.3</w:instrText>
        <w:tab/>
        <w:instrText xml:space="preserve">Seller Requested Change Order" \l 2 </w:instrText>
      </w:r>
      <w:r>
        <w:rPr/>
        <w:fldChar w:fldCharType="separate"/>
      </w:r>
      <w:r>
        <w:rPr/>
      </w:r>
      <w:r>
        <w:rPr/>
        <w:fldChar w:fldCharType="end"/>
      </w:r>
      <w:bookmarkStart w:id="80" w:name="__RefHeading___Toc498441791"/>
      <w:bookmarkEnd w:id="80"/>
      <w:r>
        <w:rPr>
          <w:rFonts w:cs="Times New Roman" w:ascii="Times New Roman" w:hAnsi="Times New Roman"/>
          <w:color w:val="000080"/>
          <w:sz w:val="22"/>
        </w:rPr>
        <w:t>.  If Seller determines that a condition or the occurrence of an event requires a change in the Scope of Work, Seller shall within fifteen (15) days of such determination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Expected Delivery Date and/or the Purchase Amount requested by it.  Following receipt of such request, Purchaser shall determine whether any changes to the Scope of Work, the Expected Delivery Date and/or the Purchase Amount shall be effected, but failure by Purchaser to approve any such changes shall not affect or modify any of Seller’s obligations hereunder or cause an increase in the Purchase Amount and/or extension of the Expected Delivery Date.  If Seller propose changes in the Scope of Work to Purchaser, Seller shall not make such changes without receiving the prior written consent of Purchaser which shall be reflected on a Change Order, in accordance with the procedures as described in Section 11.2.  Seller shall have no obligation to perform under a Change Order until such Change Order is executed by both parties and effective.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11.4</w:t>
        <w:tab/>
      </w:r>
      <w:r>
        <w:rPr>
          <w:rFonts w:cs="Times New Roman" w:ascii="Times New Roman" w:hAnsi="Times New Roman"/>
          <w:color w:val="000080"/>
          <w:sz w:val="22"/>
          <w:u w:val="single"/>
        </w:rPr>
        <w:t>Other Change Order</w:t>
      </w:r>
      <w:r>
        <w:fldChar w:fldCharType="begin"/>
      </w:r>
      <w:r>
        <w:rPr/>
        <w:instrText xml:space="preserve"> TC "11.4</w:instrText>
        <w:tab/>
        <w:instrText xml:space="preserve">Other Change Order" \l 2 </w:instrText>
      </w:r>
      <w:r>
        <w:rPr/>
        <w:fldChar w:fldCharType="separate"/>
      </w:r>
      <w:r>
        <w:rPr/>
      </w:r>
      <w:r>
        <w:rPr/>
        <w:fldChar w:fldCharType="end"/>
      </w:r>
      <w:bookmarkStart w:id="81" w:name="__RefHeading___Toc498441792"/>
      <w:bookmarkEnd w:id="81"/>
      <w:r>
        <w:rPr>
          <w:rFonts w:cs="Times New Roman" w:ascii="Times New Roman" w:hAnsi="Times New Roman"/>
          <w:color w:val="000080"/>
          <w:sz w:val="22"/>
        </w:rPr>
        <w:t>.  Except as otherwise provided by Sections 3.7(c), if after the date of this Agreement there shall be any Change in Law that will require a material change in the Final Specifications, Seller shall prepare a Change Order form in accordance with the provisions of Section 11.3.  Upon Purchaser's consent, which shall not be unreasonably withheld, such Change Order shall be effective.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11.5</w:t>
        <w:tab/>
      </w:r>
      <w:r>
        <w:rPr>
          <w:rFonts w:cs="Times New Roman" w:ascii="Times New Roman" w:hAnsi="Times New Roman"/>
          <w:color w:val="000080"/>
          <w:sz w:val="22"/>
          <w:u w:val="single"/>
        </w:rPr>
        <w:t>Disputes</w:t>
      </w:r>
      <w:r>
        <w:fldChar w:fldCharType="begin"/>
      </w:r>
      <w:r>
        <w:rPr/>
        <w:instrText xml:space="preserve"> TC "11.5</w:instrText>
        <w:tab/>
        <w:instrText xml:space="preserve">Disputes" \l 2 </w:instrText>
      </w:r>
      <w:r>
        <w:rPr/>
        <w:fldChar w:fldCharType="separate"/>
      </w:r>
      <w:r>
        <w:rPr/>
      </w:r>
      <w:r>
        <w:rPr/>
        <w:fldChar w:fldCharType="end"/>
      </w:r>
      <w:bookmarkStart w:id="82" w:name="__RefHeading___Toc498441793"/>
      <w:bookmarkEnd w:id="82"/>
      <w:r>
        <w:rPr>
          <w:rFonts w:cs="Times New Roman" w:ascii="Times New Roman" w:hAnsi="Times New Roman"/>
          <w:color w:val="000080"/>
          <w:sz w:val="22"/>
        </w:rPr>
        <w:t xml:space="preserve">.  In the event of an unresolved dispute regarding a Change Order, the parties agree that the matter shall be submitted to alternative dispute resolution in accordance with Article XXV.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11.6</w:t>
        <w:tab/>
      </w:r>
      <w:r>
        <w:rPr>
          <w:rFonts w:cs="Times New Roman" w:ascii="Times New Roman" w:hAnsi="Times New Roman"/>
          <w:color w:val="000080"/>
          <w:sz w:val="22"/>
          <w:u w:val="single"/>
        </w:rPr>
        <w:t>Change Order Pricing</w:t>
      </w:r>
      <w:r>
        <w:fldChar w:fldCharType="begin"/>
      </w:r>
      <w:r>
        <w:rPr/>
        <w:instrText xml:space="preserve"> TC "11.6</w:instrText>
        <w:tab/>
        <w:instrText xml:space="preserve">Change Order Pricing" \l 2 </w:instrText>
      </w:r>
      <w:r>
        <w:rPr/>
        <w:fldChar w:fldCharType="separate"/>
      </w:r>
      <w:r>
        <w:rPr/>
      </w:r>
      <w:r>
        <w:rPr/>
        <w:fldChar w:fldCharType="end"/>
      </w:r>
      <w:bookmarkStart w:id="83" w:name="__RefHeading___Toc498441794"/>
      <w:bookmarkEnd w:id="83"/>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11.6.1</w:t>
        <w:tab/>
      </w:r>
      <w:r>
        <w:rPr>
          <w:rFonts w:cs="Times New Roman" w:ascii="Times New Roman" w:hAnsi="Times New Roman"/>
          <w:color w:val="000080"/>
          <w:sz w:val="22"/>
          <w:u w:val="single"/>
        </w:rPr>
        <w:t>Method of Pricing</w:t>
      </w:r>
      <w:r>
        <w:fldChar w:fldCharType="begin"/>
      </w:r>
      <w:r>
        <w:rPr/>
        <w:instrText xml:space="preserve"> TC "11.6.1</w:instrText>
        <w:tab/>
        <w:instrText xml:space="preserve">Method of Pricing" \l 3 </w:instrText>
      </w:r>
      <w:r>
        <w:rPr/>
        <w:fldChar w:fldCharType="separate"/>
      </w:r>
      <w:r>
        <w:rPr/>
      </w:r>
      <w:r>
        <w:rPr/>
        <w:fldChar w:fldCharType="end"/>
      </w:r>
      <w:bookmarkStart w:id="84" w:name="__RefHeading___Toc498441795"/>
      <w:bookmarkEnd w:id="84"/>
      <w:r>
        <w:rPr>
          <w:rFonts w:cs="Times New Roman" w:ascii="Times New Roman" w:hAnsi="Times New Roman"/>
          <w:color w:val="000080"/>
          <w:sz w:val="22"/>
        </w:rPr>
        <w:t>.  All Change Orders which impact the Purchase Amount or provide for some other payment shall be either lump sum, or unit price unless neither method can be agreed upon, in which case the additional work shall be paid on a cost plus basis.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11.6.2</w:t>
        <w:tab/>
      </w:r>
      <w:r>
        <w:rPr>
          <w:rFonts w:cs="Times New Roman" w:ascii="Times New Roman" w:hAnsi="Times New Roman"/>
          <w:color w:val="000080"/>
          <w:sz w:val="22"/>
          <w:u w:val="single"/>
        </w:rPr>
        <w:t>Cost Plus Basis</w:t>
      </w:r>
      <w:r>
        <w:fldChar w:fldCharType="begin"/>
      </w:r>
      <w:r>
        <w:rPr/>
        <w:instrText xml:space="preserve"> TC "11.6.2</w:instrText>
        <w:tab/>
        <w:instrText xml:space="preserve">Cost Plus Basis" \l 3 </w:instrText>
      </w:r>
      <w:r>
        <w:rPr/>
        <w:fldChar w:fldCharType="separate"/>
      </w:r>
      <w:r>
        <w:rPr/>
      </w:r>
      <w:r>
        <w:rPr/>
        <w:fldChar w:fldCharType="end"/>
      </w:r>
      <w:bookmarkStart w:id="85" w:name="__RefHeading___Toc498441796"/>
      <w:bookmarkEnd w:id="85"/>
      <w:r>
        <w:rPr>
          <w:rFonts w:cs="Times New Roman" w:ascii="Times New Roman" w:hAnsi="Times New Roman"/>
          <w:color w:val="000080"/>
          <w:sz w:val="22"/>
        </w:rPr>
        <w:t>.  The following procedures will be used for all calculations of cost plus basis Change Orders: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numPr>
          <w:ilvl w:val="0"/>
          <w:numId w:val="6"/>
        </w:numPr>
        <w:spacing w:lineRule="auto" w:line="300"/>
        <w:rPr>
          <w:rFonts w:ascii="Times New Roman" w:hAnsi="Times New Roman" w:cs="Times New Roman"/>
          <w:color w:val="000080"/>
          <w:sz w:val="22"/>
        </w:rPr>
      </w:pPr>
      <w:r>
        <w:rPr>
          <w:rFonts w:cs="Times New Roman" w:ascii="Times New Roman" w:hAnsi="Times New Roman"/>
          <w:color w:val="000080"/>
          <w:sz w:val="22"/>
        </w:rPr>
        <w:t>For all Seller labor directly charging to an in scope Change Order, Seller will be reimbursed in accordance with (c) below; and</w:t>
      </w:r>
    </w:p>
    <w:p>
      <w:pPr>
        <w:pStyle w:val="Normal"/>
        <w:widowControl/>
        <w:numPr>
          <w:ilvl w:val="0"/>
          <w:numId w:val="6"/>
        </w:numPr>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For all Seller direct charges related to in scope Change Order material costs, equipment charges, third party services, or related travel for change work, plus any applicable sales or use taxes assessed and paid in conjunction with such material purchases Seller will be reimbursed in accordance with (c) below.  </w:t>
      </w:r>
    </w:p>
    <w:p>
      <w:pPr>
        <w:pStyle w:val="Normal"/>
        <w:widowControl/>
        <w:numPr>
          <w:ilvl w:val="0"/>
          <w:numId w:val="6"/>
        </w:numPr>
        <w:spacing w:lineRule="auto" w:line="300"/>
        <w:rPr>
          <w:rFonts w:ascii="Times New Roman" w:hAnsi="Times New Roman" w:cs="Times New Roman"/>
          <w:color w:val="000080"/>
          <w:sz w:val="22"/>
        </w:rPr>
      </w:pPr>
      <w:r>
        <w:rPr>
          <w:rFonts w:cs="Times New Roman" w:ascii="Times New Roman" w:hAnsi="Times New Roman"/>
          <w:color w:val="000080"/>
          <w:sz w:val="22"/>
        </w:rPr>
        <w:t>Seller's direct charges for an approved cost plus Change Order may include, but are not limited to the following:</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Hourly labor charges for:</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Outside consultants,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Outside experts,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Technicians,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Engineers,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New and clean materials,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Alternate materials,</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Necessary travel,</w:t>
      </w:r>
    </w:p>
    <w:p>
      <w:pPr>
        <w:pStyle w:val="Normal"/>
        <w:widowControl/>
        <w:spacing w:lineRule="auto" w:line="300"/>
        <w:ind w:firstLine="720" w:start="1440" w:end="0"/>
        <w:rPr>
          <w:rFonts w:ascii="Times New Roman" w:hAnsi="Times New Roman" w:cs="Times New Roman"/>
          <w:color w:val="000080"/>
          <w:sz w:val="22"/>
        </w:rPr>
      </w:pPr>
      <w:r>
        <w:rPr>
          <w:rFonts w:cs="Times New Roman" w:ascii="Times New Roman" w:hAnsi="Times New Roman"/>
          <w:color w:val="000080"/>
          <w:sz w:val="22"/>
        </w:rPr>
        <w:t>Natural Gas and other maintenance or operating materials, and</w:t>
      </w:r>
    </w:p>
    <w:p>
      <w:pPr>
        <w:pStyle w:val="Normal"/>
        <w:widowControl/>
        <w:spacing w:lineRule="auto" w:line="300"/>
        <w:ind w:start="2160" w:end="0"/>
        <w:rPr>
          <w:rFonts w:ascii="Times New Roman" w:hAnsi="Times New Roman" w:cs="Times New Roman"/>
          <w:color w:val="000080"/>
          <w:sz w:val="22"/>
        </w:rPr>
      </w:pPr>
      <w:r>
        <w:rPr>
          <w:rFonts w:cs="Times New Roman" w:ascii="Times New Roman" w:hAnsi="Times New Roman"/>
          <w:color w:val="000080"/>
          <w:sz w:val="22"/>
        </w:rPr>
        <w:t>Yet-unspecified direct charges as mutually agreed by the parties.</w:t>
      </w:r>
    </w:p>
    <w:p>
      <w:pPr>
        <w:pStyle w:val="Normal"/>
        <w:widowControl/>
        <w:spacing w:lineRule="auto" w:line="300"/>
        <w:ind w:start="1440" w:end="0"/>
        <w:rPr>
          <w:rFonts w:ascii="Times New Roman" w:hAnsi="Times New Roman" w:cs="Times New Roman"/>
          <w:color w:val="000080"/>
          <w:sz w:val="22"/>
        </w:rPr>
      </w:pPr>
      <w:r>
        <w:rPr>
          <w:rFonts w:cs="Times New Roman" w:ascii="Times New Roman" w:hAnsi="Times New Roman"/>
          <w:color w:val="000080"/>
          <w:sz w:val="22"/>
        </w:rPr>
        <w:t>Indirect costs shall be based on Seller's Federal Government Approved provisional billing rates in effect as of the time the cost was incurred.  In addition, a twelve percent (12%) fee shall be applied to the total of direct and indirect costs.</w:t>
      </w:r>
    </w:p>
    <w:p>
      <w:pPr>
        <w:pStyle w:val="Normal"/>
        <w:widowControl/>
        <w:ind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numPr>
          <w:ilvl w:val="0"/>
          <w:numId w:val="6"/>
        </w:numPr>
        <w:spacing w:lineRule="auto" w:line="300"/>
        <w:rPr>
          <w:rFonts w:ascii="Times New Roman" w:hAnsi="Times New Roman" w:cs="Times New Roman"/>
          <w:color w:val="000080"/>
          <w:sz w:val="22"/>
        </w:rPr>
      </w:pPr>
      <w:r>
        <w:rPr>
          <w:rFonts w:cs="Times New Roman" w:ascii="Times New Roman" w:hAnsi="Times New Roman"/>
          <w:color w:val="000080"/>
          <w:sz w:val="22"/>
        </w:rPr>
        <w:t>Seller shall submit monthly invoices to Purchaser for all approved cost plus Change Orders, summarizing costs for each Change Order by category within each invoice, including costs incurred for the month and a cumulative total from inception.  Purchaser's Project Manager shall approve each invoice and timely release it for payment within thirty (30) days of receipt.  Upon request, Seller will supply documentation supporting costs submitted.</w:t>
      </w:r>
    </w:p>
    <w:p>
      <w:pPr>
        <w:pStyle w:val="Normal"/>
        <w:widowControl/>
        <w:ind w:firstLine="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11.6.3</w:t>
        <w:tab/>
      </w:r>
      <w:r>
        <w:rPr>
          <w:rFonts w:cs="Times New Roman" w:ascii="Times New Roman" w:hAnsi="Times New Roman"/>
          <w:color w:val="000080"/>
          <w:sz w:val="22"/>
          <w:u w:val="single"/>
        </w:rPr>
        <w:t>Audit Rights</w:t>
      </w:r>
      <w:r>
        <w:fldChar w:fldCharType="begin"/>
      </w:r>
      <w:r>
        <w:rPr/>
        <w:instrText xml:space="preserve"> TC "11.6.3</w:instrText>
        <w:tab/>
        <w:instrText xml:space="preserve">Audit Rights" \l 3 </w:instrText>
      </w:r>
      <w:r>
        <w:rPr/>
        <w:fldChar w:fldCharType="separate"/>
      </w:r>
      <w:r>
        <w:rPr/>
      </w:r>
      <w:r>
        <w:rPr/>
        <w:fldChar w:fldCharType="end"/>
      </w:r>
      <w:bookmarkStart w:id="86" w:name="__RefHeading___Toc498441797"/>
      <w:bookmarkEnd w:id="86"/>
      <w:r>
        <w:rPr>
          <w:rFonts w:cs="Times New Roman" w:ascii="Times New Roman" w:hAnsi="Times New Roman"/>
          <w:color w:val="000080"/>
          <w:sz w:val="22"/>
        </w:rPr>
        <w:t>.  For a period of two (2) years following completion of any cost plus work performed under this Agreement, Purchaser shall have the right to audit all direct and indirect charges related thereto.  Seller shall cooperate with Purchaser in the audit, and upon request of Purchaser and at Purchaser's expense, Seller will promptly supply all information reasonably necessary for Purchaser to conduct the audit.</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XII.  </w:t>
      </w:r>
      <w:r>
        <w:rPr>
          <w:rFonts w:cs="Times New Roman" w:ascii="Times New Roman" w:hAnsi="Times New Roman"/>
          <w:color w:val="000080"/>
          <w:sz w:val="22"/>
          <w:u w:val="single"/>
        </w:rPr>
        <w:t xml:space="preserve"> INTELLECTUAL PROPERTY RIGHTS AND INDEMNITY</w:t>
      </w:r>
      <w:r>
        <w:fldChar w:fldCharType="begin"/>
      </w:r>
      <w:r>
        <w:rPr/>
        <w:instrText xml:space="preserve"> TC "ARTICLE XII.  INTELLECTUAL PROPERTY RIGHTS AND INDEMNITY" \l 1 </w:instrText>
      </w:r>
      <w:r>
        <w:rPr/>
        <w:fldChar w:fldCharType="separate"/>
      </w:r>
      <w:r>
        <w:rPr/>
      </w:r>
      <w:r>
        <w:rPr/>
        <w:fldChar w:fldCharType="end"/>
      </w:r>
      <w:bookmarkStart w:id="87" w:name="__RefHeading___Toc498441798"/>
      <w:bookmarkEnd w:id="87"/>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12.1</w:t>
        <w:tab/>
      </w:r>
      <w:r>
        <w:rPr>
          <w:rFonts w:cs="Times New Roman" w:ascii="Times New Roman" w:hAnsi="Times New Roman"/>
          <w:color w:val="000080"/>
          <w:sz w:val="22"/>
          <w:u w:val="single"/>
        </w:rPr>
        <w:t>Seller’s Drawings for Use by Purchaser</w:t>
      </w:r>
      <w:r>
        <w:fldChar w:fldCharType="begin"/>
      </w:r>
      <w:r>
        <w:rPr/>
        <w:instrText xml:space="preserve"> TC "12.1</w:instrText>
        <w:tab/>
        <w:instrText xml:space="preserve">Seller’s Drawings for Use by Purchaser" \l 2 </w:instrText>
      </w:r>
      <w:r>
        <w:rPr/>
        <w:fldChar w:fldCharType="separate"/>
      </w:r>
      <w:r>
        <w:rPr/>
      </w:r>
      <w:r>
        <w:rPr/>
        <w:fldChar w:fldCharType="end"/>
      </w:r>
      <w:bookmarkStart w:id="88" w:name="__RefHeading___Toc498441799"/>
      <w:bookmarkEnd w:id="88"/>
      <w:r>
        <w:rPr>
          <w:rFonts w:cs="Times New Roman" w:ascii="Times New Roman" w:hAnsi="Times New Roman"/>
          <w:color w:val="000080"/>
          <w:sz w:val="22"/>
        </w:rPr>
        <w: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and repair of the Equipment.  In the event any of the information described in this Section 12.1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rights, license or release to allow Purchaser, Purchaser's operation or subsequent owner to use such information for the purposes stated in the preceding sentence.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12.2</w:t>
        <w:tab/>
      </w:r>
      <w:r>
        <w:rPr>
          <w:rFonts w:cs="Times New Roman" w:ascii="Times New Roman" w:hAnsi="Times New Roman"/>
          <w:color w:val="000080"/>
          <w:sz w:val="22"/>
          <w:u w:val="single"/>
        </w:rPr>
        <w:t>Licensing Procedure</w:t>
      </w:r>
      <w:r>
        <w:fldChar w:fldCharType="begin"/>
      </w:r>
      <w:r>
        <w:rPr/>
        <w:instrText xml:space="preserve"> TC "12.2</w:instrText>
        <w:tab/>
        <w:instrText xml:space="preserve">Licensing Procedure" \l 2 </w:instrText>
      </w:r>
      <w:r>
        <w:rPr/>
        <w:fldChar w:fldCharType="separate"/>
      </w:r>
      <w:r>
        <w:rPr/>
      </w:r>
      <w:r>
        <w:rPr/>
        <w:fldChar w:fldCharType="end"/>
      </w:r>
      <w:bookmarkStart w:id="89" w:name="__RefHeading___Toc498441800"/>
      <w:bookmarkEnd w:id="89"/>
      <w:r>
        <w:rPr>
          <w:rFonts w:cs="Times New Roman" w:ascii="Times New Roman" w:hAnsi="Times New Roman"/>
          <w:color w:val="000080"/>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use reasonable efforts to attempt to obtain such source code for Purchaser.  The non-exclusive license granted herein to Purchaser may transferred by Purchaser (and Purchaser's operator for the sole purpose of operating the Facility), solely to permitted assignees of this Agreement. Purchaser agrees to abide by the terms of any license or release so long as Seller as provided Purchaser with a copy of said license.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12.3</w:t>
        <w:tab/>
      </w:r>
      <w:r>
        <w:rPr>
          <w:rFonts w:cs="Times New Roman" w:ascii="Times New Roman" w:hAnsi="Times New Roman"/>
          <w:color w:val="000080"/>
          <w:sz w:val="22"/>
          <w:u w:val="single"/>
        </w:rPr>
        <w:t>Infringement Cures and Defense</w:t>
      </w:r>
      <w:r>
        <w:fldChar w:fldCharType="begin"/>
      </w:r>
      <w:r>
        <w:rPr/>
        <w:instrText xml:space="preserve"> TC "12.3</w:instrText>
        <w:tab/>
        <w:instrText xml:space="preserve">Infringement Cures and Defense" \l 2 </w:instrText>
      </w:r>
      <w:r>
        <w:rPr/>
        <w:fldChar w:fldCharType="separate"/>
      </w:r>
      <w:r>
        <w:rPr/>
      </w:r>
      <w:r>
        <w:rPr/>
        <w:fldChar w:fldCharType="end"/>
      </w:r>
      <w:bookmarkStart w:id="90" w:name="__RefHeading___Toc498441801"/>
      <w:bookmarkEnd w:id="90"/>
      <w:r>
        <w:rPr>
          <w:rFonts w:cs="Times New Roman" w:ascii="Times New Roman" w:hAnsi="Times New Roman"/>
          <w:color w:val="000080"/>
          <w:sz w:val="22"/>
        </w:rPr>
        <w:t xml:space="preserve">.  </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(a)</w:t>
        <w:tab/>
        <w:t xml:space="preserve">Seller represents and warrants that the design, engineering, manufacture, delivery, installation, training and other services, and equipment, materials and information provided to Purchaser by Seller hereunder will not infringe on any third party's U.S. patent, copyright, trademark, trade secret or other U.S. intellectual property rights.  In the event a suit or proceeding is brought against Purchaser or its affiliates, (the "Patent Indemnitees") for infringement of any patent, copyright, trademark, trade secret or other intellectual property right, Seller shall Indemnify and hold harmless Patent Indemnities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Seller’s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ab/>
        <w:t>(b)</w:t>
        <w:tab/>
        <w:t xml:space="preserve">Nothing herein shall authorize Seller to settle any suit or action as referred to in Section 12.3(a) without prior written authorization from the affected Patent Indemnitee, if by such settlement, the affected Patent Indemnitee shall be obliged to make any monetary payment, part with any property, or grant any licenses or other rights under its intellectual property.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(c)</w:t>
        <w:tab/>
        <w:t>In the event a Patent Indemnitee is as a result of such suit or proceeding prevented from using such alleged infringing Equipment or other deliverables, Seller shall at its option and expense: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obtain the right to continued use of the Equipment or other deliverables under this agreement;</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replace the infringing Equipment or other deliverables under this Agreement with equivalent non-infringing Equipment or other deliverables.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Once Seller has obtained such right, or made such correction or replacement, Seller shall have no obligation to indemnify Patent Indemnitees in accordance with Section 12.3(a) for damages incurred as a result of Patent Indemnitees' continued use of the allegedly infringing intellectual property in a manner that is inconsistent to the resolution of such suit or proceeding.</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THIS SECTION IS AN EXCLUSIVE STATEMENT OF ALL THE DUTIES OF SELLER RELATING TO INTELLECTUAL PROPERTY AND DIRECT OR CONTRIBUTORY INFRINGEMENT OR MISAPPROPRIATION AND OF ALL THE REMEDIES OF PURCHASER RELATING TO ANY CLAIMS, SUITS, OR PROCEEDINGS INVOLVING PATENTS. Compliance with this Section as provided herein shall constitute fulfillment of all liabilities of Seller under the Agreement with respect to patents, copyright, trademark, trade secret or other intellectual property rights.</w:t>
      </w:r>
      <w:r>
        <w:br w:type="page"/>
      </w:r>
    </w:p>
    <w:p>
      <w:pPr>
        <w:pStyle w:val="Normal"/>
        <w:widowControl/>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XIII.  </w:t>
      </w:r>
      <w:r>
        <w:rPr>
          <w:rFonts w:cs="Times New Roman" w:ascii="Times New Roman" w:hAnsi="Times New Roman"/>
          <w:color w:val="000080"/>
          <w:sz w:val="22"/>
          <w:u w:val="single"/>
        </w:rPr>
        <w:t>ORDER OF PRECEDENCE</w:t>
      </w:r>
      <w:r>
        <w:fldChar w:fldCharType="begin"/>
      </w:r>
      <w:r>
        <w:rPr/>
        <w:instrText xml:space="preserve"> TC "ARTICLE XIII.  ORDER OF PRECEDENCE" \l 1 </w:instrText>
      </w:r>
      <w:r>
        <w:rPr/>
        <w:fldChar w:fldCharType="separate"/>
      </w:r>
      <w:r>
        <w:rPr/>
      </w:r>
      <w:r>
        <w:rPr/>
        <w:fldChar w:fldCharType="end"/>
      </w:r>
      <w:bookmarkStart w:id="91" w:name="__RefHeading___Toc498441802"/>
      <w:bookmarkEnd w:id="91"/>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13.1</w:t>
        <w:tab/>
      </w:r>
      <w:r>
        <w:rPr>
          <w:rFonts w:cs="Times New Roman" w:ascii="Times New Roman" w:hAnsi="Times New Roman"/>
          <w:color w:val="000080"/>
          <w:sz w:val="22"/>
          <w:u w:val="single"/>
        </w:rPr>
        <w:t>Order of Precedence</w:t>
      </w:r>
      <w:r>
        <w:fldChar w:fldCharType="begin"/>
      </w:r>
      <w:r>
        <w:rPr/>
        <w:instrText xml:space="preserve"> TC "13.1</w:instrText>
        <w:tab/>
        <w:instrText xml:space="preserve">Order of Precedence" \l 2 </w:instrText>
      </w:r>
      <w:r>
        <w:rPr/>
        <w:fldChar w:fldCharType="separate"/>
      </w:r>
      <w:r>
        <w:rPr/>
      </w:r>
      <w:r>
        <w:rPr/>
        <w:fldChar w:fldCharType="end"/>
      </w:r>
      <w:bookmarkStart w:id="92" w:name="__RefHeading___Toc498441803"/>
      <w:bookmarkEnd w:id="92"/>
      <w:r>
        <w:rPr>
          <w:rFonts w:cs="Times New Roman" w:ascii="Times New Roman" w:hAnsi="Times New Roman"/>
          <w:color w:val="000080"/>
          <w:sz w:val="22"/>
        </w:rPr>
        <w:t>.  This Agreement shall be read as a whole and in the event of a conflict between documents, the Articles of this Agreement shall take precedence over the Exhibits and the Releases.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center" w:pos="5040" w:leader="none"/>
        </w:tabs>
        <w:rPr>
          <w:rFonts w:ascii="Times New Roman" w:hAnsi="Times New Roman" w:cs="Times New Roman"/>
          <w:color w:val="000080"/>
          <w:sz w:val="22"/>
        </w:rPr>
      </w:pPr>
      <w:r>
        <w:rPr>
          <w:rFonts w:cs="Times New Roman" w:ascii="Times New Roman" w:hAnsi="Times New Roman"/>
          <w:color w:val="000080"/>
          <w:sz w:val="22"/>
        </w:rPr>
        <w:tab/>
      </w:r>
      <w:r>
        <w:br w:type="page"/>
      </w:r>
    </w:p>
    <w:p>
      <w:pPr>
        <w:pStyle w:val="Normal"/>
        <w:widowControl/>
        <w:tabs>
          <w:tab w:val="clear" w:pos="720"/>
          <w:tab w:val="center" w:pos="5040" w:leader="none"/>
        </w:tabs>
        <w:jc w:val="center"/>
        <w:rPr>
          <w:rFonts w:ascii="Times New Roman" w:hAnsi="Times New Roman" w:cs="Times New Roman"/>
          <w:color w:val="000080"/>
          <w:sz w:val="22"/>
        </w:rPr>
      </w:pPr>
      <w:r>
        <w:rPr>
          <w:rFonts w:cs="Times New Roman" w:ascii="Times New Roman" w:hAnsi="Times New Roman"/>
          <w:color w:val="000080"/>
          <w:sz w:val="22"/>
        </w:rPr>
        <w:t xml:space="preserve">ARTICLE XIV.  </w:t>
      </w:r>
      <w:r>
        <w:rPr>
          <w:rFonts w:cs="Times New Roman" w:ascii="Times New Roman" w:hAnsi="Times New Roman"/>
          <w:color w:val="000080"/>
          <w:sz w:val="22"/>
          <w:u w:val="single"/>
        </w:rPr>
        <w:t>WARRANTY</w:t>
      </w:r>
      <w:r>
        <w:fldChar w:fldCharType="begin"/>
      </w:r>
      <w:r>
        <w:rPr/>
        <w:instrText xml:space="preserve"> TC "ARTICLE XIV.  WARRANTY" \l 1 </w:instrText>
      </w:r>
      <w:r>
        <w:rPr/>
        <w:fldChar w:fldCharType="separate"/>
      </w:r>
      <w:r>
        <w:rPr/>
      </w:r>
      <w:r>
        <w:rPr/>
        <w:fldChar w:fldCharType="end"/>
      </w:r>
      <w:bookmarkStart w:id="93" w:name="__RefHeading___Toc498441804"/>
      <w:bookmarkEnd w:id="93"/>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14.1</w:t>
        <w:tab/>
      </w:r>
      <w:r>
        <w:rPr>
          <w:rFonts w:cs="Times New Roman" w:ascii="Times New Roman" w:hAnsi="Times New Roman"/>
          <w:color w:val="000080"/>
          <w:sz w:val="22"/>
          <w:u w:val="single"/>
        </w:rPr>
        <w:t>Seller’s Warranty</w:t>
      </w:r>
      <w:r>
        <w:fldChar w:fldCharType="begin"/>
      </w:r>
      <w:r>
        <w:rPr/>
        <w:instrText xml:space="preserve"> TC "14.1</w:instrText>
        <w:tab/>
        <w:instrText xml:space="preserve">Seller’s Warranty" \l 2 </w:instrText>
      </w:r>
      <w:r>
        <w:rPr/>
        <w:fldChar w:fldCharType="separate"/>
      </w:r>
      <w:r>
        <w:rPr/>
      </w:r>
      <w:r>
        <w:rPr/>
        <w:fldChar w:fldCharType="end"/>
      </w:r>
      <w:bookmarkStart w:id="94" w:name="__RefHeading___Toc498441805"/>
      <w:bookmarkEnd w:id="94"/>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14.1.1</w:t>
        <w:tab/>
      </w:r>
      <w:r>
        <w:rPr>
          <w:rFonts w:cs="Times New Roman" w:ascii="Times New Roman" w:hAnsi="Times New Roman"/>
          <w:color w:val="000080"/>
          <w:sz w:val="22"/>
          <w:u w:val="single"/>
        </w:rPr>
        <w:t>Warranty</w:t>
      </w:r>
      <w:r>
        <w:fldChar w:fldCharType="begin"/>
      </w:r>
      <w:r>
        <w:rPr/>
        <w:instrText xml:space="preserve"> TC "14.1.1</w:instrText>
        <w:tab/>
        <w:instrText xml:space="preserve">Warranty" \l 3 </w:instrText>
      </w:r>
      <w:r>
        <w:rPr/>
        <w:fldChar w:fldCharType="separate"/>
      </w:r>
      <w:r>
        <w:rPr/>
      </w:r>
      <w:r>
        <w:rPr/>
        <w:fldChar w:fldCharType="end"/>
      </w:r>
      <w:bookmarkStart w:id="95" w:name="__RefHeading___Toc498441806"/>
      <w:bookmarkEnd w:id="95"/>
      <w:r>
        <w:rPr>
          <w:rFonts w:cs="Times New Roman" w:ascii="Times New Roman" w:hAnsi="Times New Roman"/>
          <w:color w:val="000080"/>
          <w:sz w:val="22"/>
        </w:rPr>
        <w:t xml:space="preserve">.  Seller warrants that for a period of twelve months following the date of Acceptance (the “Primary Warranty Period”):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start="720" w:end="0"/>
        <w:rPr>
          <w:rFonts w:ascii="Times New Roman" w:hAnsi="Times New Roman" w:cs="Times New Roman"/>
          <w:color w:val="000080"/>
          <w:sz w:val="22"/>
        </w:rPr>
      </w:pPr>
      <w:r>
        <w:rPr>
          <w:rFonts w:cs="Times New Roman" w:ascii="Times New Roman" w:hAnsi="Times New Roman"/>
          <w:color w:val="000080"/>
          <w:sz w:val="22"/>
        </w:rPr>
        <w:t>(a)</w:t>
        <w:tab/>
        <w:t xml:space="preserve">the Equipment and all other materials and articles furnished hereunder are new, not repaired (except as permitted by Purchaser); </w:t>
      </w:r>
    </w:p>
    <w:p>
      <w:pPr>
        <w:pStyle w:val="Normal"/>
        <w:widowControl/>
        <w:tabs>
          <w:tab w:val="clear" w:pos="720"/>
          <w:tab w:val="left" w:pos="-1440" w:leader="none"/>
        </w:tabs>
        <w:spacing w:lineRule="auto" w:line="300"/>
        <w:ind w:start="720" w:end="0"/>
        <w:rPr>
          <w:rFonts w:ascii="Times New Roman" w:hAnsi="Times New Roman" w:cs="Times New Roman"/>
          <w:color w:val="000080"/>
          <w:sz w:val="22"/>
        </w:rPr>
      </w:pPr>
      <w:r>
        <w:rPr>
          <w:rFonts w:cs="Times New Roman" w:ascii="Times New Roman" w:hAnsi="Times New Roman"/>
          <w:color w:val="000080"/>
          <w:sz w:val="22"/>
        </w:rPr>
        <w:t>(b)</w:t>
        <w:tab/>
        <w:t xml:space="preserve">the Equipment is designed to and will generate electricity when operated in accordance with Seller’s written instructions; </w:t>
      </w:r>
    </w:p>
    <w:p>
      <w:pPr>
        <w:pStyle w:val="Normal"/>
        <w:widowControl/>
        <w:tabs>
          <w:tab w:val="clear" w:pos="720"/>
          <w:tab w:val="left" w:pos="-1440" w:leader="none"/>
        </w:tabs>
        <w:spacing w:lineRule="auto" w:line="300"/>
        <w:ind w:start="720" w:end="0"/>
        <w:rPr>
          <w:rFonts w:ascii="Times New Roman" w:hAnsi="Times New Roman" w:cs="Times New Roman"/>
          <w:color w:val="000080"/>
          <w:sz w:val="22"/>
        </w:rPr>
      </w:pPr>
      <w:r>
        <w:rPr>
          <w:rFonts w:cs="Times New Roman" w:ascii="Times New Roman" w:hAnsi="Times New Roman"/>
          <w:color w:val="000080"/>
          <w:sz w:val="22"/>
        </w:rPr>
        <w:t>(c)</w:t>
        <w:tab/>
        <w:t>the Scope of Work was performed in a good and workmanlike manner and in accordance with the degree of care, skill and diligence consistent with electric industry standards, and the Equipment is free from defects in materials and/or workmanship; and</w:t>
      </w:r>
    </w:p>
    <w:p>
      <w:pPr>
        <w:pStyle w:val="Normal"/>
        <w:widowControl/>
        <w:tabs>
          <w:tab w:val="clear" w:pos="720"/>
          <w:tab w:val="left" w:pos="-1440" w:leader="none"/>
        </w:tabs>
        <w:spacing w:lineRule="auto" w:line="300"/>
        <w:ind w:start="720" w:end="0"/>
        <w:rPr>
          <w:rFonts w:ascii="Times New Roman" w:hAnsi="Times New Roman" w:cs="Times New Roman"/>
          <w:color w:val="000080"/>
          <w:sz w:val="22"/>
        </w:rPr>
      </w:pPr>
      <w:r>
        <w:rPr>
          <w:rFonts w:cs="Times New Roman" w:ascii="Times New Roman" w:hAnsi="Times New Roman"/>
          <w:color w:val="000080"/>
          <w:sz w:val="22"/>
        </w:rPr>
        <w:t>(d)</w:t>
        <w:tab/>
        <w:t>the Equipment conforms to the Final Specifications and other material requirements of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 xml:space="preserve">Nothing in Section 14.1.1(b) shall be construed as establishing a level of performance for the Equipment for the generation of electricity or beyond that of the Performance Standards.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14.1.2</w:t>
        <w:tab/>
      </w:r>
      <w:r>
        <w:rPr>
          <w:rFonts w:cs="Times New Roman" w:ascii="Times New Roman" w:hAnsi="Times New Roman"/>
          <w:color w:val="000080"/>
          <w:sz w:val="22"/>
          <w:u w:val="single"/>
        </w:rPr>
        <w:t>Warranty Clarification</w:t>
      </w:r>
      <w:r>
        <w:fldChar w:fldCharType="begin"/>
      </w:r>
      <w:r>
        <w:rPr/>
        <w:instrText xml:space="preserve"> TC "14.1.2</w:instrText>
        <w:tab/>
        <w:instrText xml:space="preserve">Warranty Clarification" \l 3 </w:instrText>
      </w:r>
      <w:r>
        <w:rPr/>
        <w:fldChar w:fldCharType="separate"/>
      </w:r>
      <w:r>
        <w:rPr/>
      </w:r>
      <w:r>
        <w:rPr/>
        <w:fldChar w:fldCharType="end"/>
      </w:r>
      <w:bookmarkStart w:id="96" w:name="__RefHeading___Toc498441807"/>
      <w:bookmarkEnd w:id="96"/>
      <w:r>
        <w:rPr>
          <w:rFonts w:cs="Times New Roman" w:ascii="Times New Roman" w:hAnsi="Times New Roman"/>
          <w:color w:val="000080"/>
          <w:sz w:val="22"/>
        </w:rPr>
        <w:t>.  Seller shall have no obligation for correction, repair or replacement of the Equipment in accordance with this Article XIV to the extent that a defect or non-conformance is the result of:</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a Purchaser directed change in the use,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numPr>
          <w:ilvl w:val="0"/>
          <w:numId w:val="2"/>
        </w:numPr>
        <w:tabs>
          <w:tab w:val="clear" w:pos="720"/>
          <w:tab w:val="left" w:pos="-1440"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degradation in accordance with Seller’s Maximum Unit Output and Heat Rate degradation curves included in the Final Specifications; or</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(iv)</w:t>
        <w:tab/>
        <w:t>damage caused by Purchaser or its agents.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Seller also shall have no obligation for defect in the Equipment under this Section 14.1.2 to the extent that such defect arises out of Purchaser failing to notify Seller within a reasonable time after an Equipment defect becomes apparent, not to exceed thirty (30) days from the date Purchaser becomes aware of such defect.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14.1.3</w:t>
        <w:tab/>
      </w:r>
      <w:r>
        <w:rPr>
          <w:rFonts w:cs="Times New Roman" w:ascii="Times New Roman" w:hAnsi="Times New Roman"/>
          <w:color w:val="000080"/>
          <w:sz w:val="22"/>
          <w:u w:val="single"/>
        </w:rPr>
        <w:t>Warranty Breach Notice</w:t>
      </w:r>
      <w:r>
        <w:fldChar w:fldCharType="begin"/>
      </w:r>
      <w:r>
        <w:rPr/>
        <w:instrText xml:space="preserve"> TC "14.1.3</w:instrText>
        <w:tab/>
        <w:instrText xml:space="preserve">Warranty Breach Notice" \l 3 </w:instrText>
      </w:r>
      <w:r>
        <w:rPr/>
        <w:fldChar w:fldCharType="separate"/>
      </w:r>
      <w:r>
        <w:rPr/>
      </w:r>
      <w:r>
        <w:rPr/>
        <w:fldChar w:fldCharType="end"/>
      </w:r>
      <w:bookmarkStart w:id="97" w:name="__RefHeading___Toc498441808"/>
      <w:bookmarkEnd w:id="97"/>
      <w:r>
        <w:rPr>
          <w:rFonts w:cs="Times New Roman" w:ascii="Times New Roman" w:hAnsi="Times New Roman"/>
          <w:color w:val="000080"/>
          <w:sz w:val="22"/>
        </w:rPr>
        <w:t>.  In the event Purchaser determines that a defect or other breach of warranty exists, Purchaser shall promptly provide Seller with Notice of such a defect or other breach describing the nature of the defect or breach.</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14.2</w:t>
        <w:tab/>
      </w:r>
      <w:r>
        <w:rPr>
          <w:rFonts w:cs="Times New Roman" w:ascii="Times New Roman" w:hAnsi="Times New Roman"/>
          <w:color w:val="000080"/>
          <w:sz w:val="22"/>
          <w:u w:val="single"/>
        </w:rPr>
        <w:t>Remedy</w:t>
      </w:r>
      <w:r>
        <w:fldChar w:fldCharType="begin"/>
      </w:r>
      <w:r>
        <w:rPr/>
        <w:instrText xml:space="preserve"> TC "14.2</w:instrText>
        <w:tab/>
        <w:instrText xml:space="preserve">Remedy" \l 2 </w:instrText>
      </w:r>
      <w:r>
        <w:rPr/>
        <w:fldChar w:fldCharType="separate"/>
      </w:r>
      <w:r>
        <w:rPr/>
      </w:r>
      <w:r>
        <w:rPr/>
        <w:fldChar w:fldCharType="end"/>
      </w:r>
      <w:bookmarkStart w:id="98" w:name="__RefHeading___Toc498441809"/>
      <w:bookmarkEnd w:id="98"/>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14.2.1</w:t>
        <w:tab/>
      </w:r>
      <w:r>
        <w:rPr>
          <w:rFonts w:cs="Times New Roman" w:ascii="Times New Roman" w:hAnsi="Times New Roman"/>
          <w:color w:val="000080"/>
          <w:sz w:val="22"/>
          <w:u w:val="single"/>
        </w:rPr>
        <w:t>Obligations, Responsibilities and Recourse</w:t>
      </w:r>
      <w:r>
        <w:rPr>
          <w:rFonts w:cs="Times New Roman" w:ascii="Times New Roman" w:hAnsi="Times New Roman"/>
          <w:color w:val="000080"/>
          <w:sz w:val="22"/>
        </w:rPr>
        <w:t>.</w:t>
      </w:r>
      <w:r>
        <w:fldChar w:fldCharType="begin"/>
      </w:r>
      <w:r>
        <w:rPr/>
        <w:instrText xml:space="preserve"> TC "14.2.1</w:instrText>
        <w:tab/>
        <w:instrText xml:space="preserve">Obligations, Responsibilities and Recourse" \l 3 </w:instrText>
      </w:r>
      <w:r>
        <w:rPr/>
        <w:fldChar w:fldCharType="separate"/>
      </w:r>
      <w:r>
        <w:rPr/>
      </w:r>
      <w:r>
        <w:rPr/>
        <w:fldChar w:fldCharType="end"/>
      </w:r>
      <w:bookmarkStart w:id="99" w:name="__RefHeading___Toc498441810"/>
      <w:bookmarkEnd w:id="99"/>
      <w:r>
        <w:rPr>
          <w:rFonts w:cs="Times New Roman" w:ascii="Times New Roman" w:hAnsi="Times New Roman"/>
          <w:color w:val="000080"/>
          <w:sz w:val="22"/>
        </w:rPr>
        <w:t>.  During the Primary Warranty Period, if Seller’s warranties are breached, Seller shall repair, replace, and/or correct the applicable portion of the Scope of Work such that it meets the requirements of this Agreement at no cost to Purchaser.  Seller shall begin corrective action on the Equipment as soon as reasonably possible after receipt by Seller of Purchaser's notice referred to in Section 14.1.3 but not later that five (5) days after receipt of such notice.  Seller shall as its sole expense make commercially reasonable efforts to minimize the downtime obligation when disassembling, removing, replacing and reinstalling the Equipment.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Final Specifications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14.2.2</w:t>
        <w:tab/>
      </w:r>
      <w:r>
        <w:rPr>
          <w:rFonts w:cs="Times New Roman" w:ascii="Times New Roman" w:hAnsi="Times New Roman"/>
          <w:color w:val="000080"/>
          <w:sz w:val="22"/>
          <w:u w:val="single"/>
        </w:rPr>
        <w:t>Continued Warranty on Corrections or Repairs Performed During the Primary Warranty Period</w:t>
      </w:r>
      <w:r>
        <w:fldChar w:fldCharType="begin"/>
      </w:r>
      <w:r>
        <w:rPr/>
        <w:instrText xml:space="preserve"> TC "14.2.2</w:instrText>
        <w:tab/>
        <w:instrText xml:space="preserve">Continued Warranty on Corrections or Repairs Performed During the Primary Warranty Period" \l 3 </w:instrText>
      </w:r>
      <w:r>
        <w:rPr/>
        <w:fldChar w:fldCharType="separate"/>
      </w:r>
      <w:r>
        <w:rPr/>
      </w:r>
      <w:r>
        <w:rPr/>
        <w:fldChar w:fldCharType="end"/>
      </w:r>
      <w:bookmarkStart w:id="100" w:name="__RefHeading___Toc498441811"/>
      <w:bookmarkEnd w:id="100"/>
      <w:r>
        <w:rPr>
          <w:rFonts w:cs="Times New Roman" w:ascii="Times New Roman" w:hAnsi="Times New Roman"/>
          <w:color w:val="000080"/>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expiration of the Primary Warranty Period.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14.3</w:t>
        <w:tab/>
      </w:r>
      <w:r>
        <w:rPr>
          <w:rFonts w:cs="Times New Roman" w:ascii="Times New Roman" w:hAnsi="Times New Roman"/>
          <w:color w:val="000080"/>
          <w:sz w:val="22"/>
          <w:u w:val="single"/>
        </w:rPr>
        <w:t>Stack Module Warranty</w:t>
      </w:r>
      <w:r>
        <w:fldChar w:fldCharType="begin"/>
      </w:r>
      <w:r>
        <w:rPr/>
        <w:instrText xml:space="preserve"> TC "14.3</w:instrText>
        <w:tab/>
        <w:instrText xml:space="preserve">Stack Module Warranty" \l 2 </w:instrText>
      </w:r>
      <w:r>
        <w:rPr/>
        <w:fldChar w:fldCharType="separate"/>
      </w:r>
      <w:r>
        <w:rPr/>
      </w:r>
      <w:r>
        <w:rPr/>
        <w:fldChar w:fldCharType="end"/>
      </w:r>
      <w:bookmarkStart w:id="101" w:name="__RefHeading___Toc498441812"/>
      <w:bookmarkEnd w:id="101"/>
      <w:r>
        <w:rPr>
          <w:rFonts w:cs="Times New Roman" w:ascii="Times New Roman" w:hAnsi="Times New Roman"/>
          <w:color w:val="000080"/>
          <w:sz w:val="22"/>
        </w:rPr>
        <w:t>.  In addition to the other warranties contained herein, Seller warrants that for a period of thirty-six (36) months following Acceptance or forty-eight (48) months following delivery, whichever comes first, (i) Maximum Unit Output shall decline no more than 15% from the Maximum Unit Output measured at the time of Acceptance; (ii) Heat Rate shall increase no more than 15% from the Heat Rate measured at the time of Acceptance; and (iii) the combined percentage point changes for Maximum Unit Output and Heat Rate as measured in (i) and (ii) shall not exceed 20%.  Should the stack modules fail to perform in accordance with the foregoing, Seller shall replace the non-performing stack module (including ordinary removal of the old stack module and ordinary installation of the new one).  Subject to the replacement Unit successfully passing the Performance Tests and subject to a pricing adjustment pursuant to Section 10.7, the maximum cost of a stack module replacement (“Base Stack Price”) in accordance with this Section 14.3 during a Unit’s Primary Warranty Period shall be $380/kW times the Maximum Unit Output (up to 3000kW) measured in a Performance Test conducted as soon as practical after the stack module is replaced.  If only on stack module is replaced in a Unit, the Base Stack Pric shall be half of $380/kW times the Maximum Unit Output (up to 3000kW) measure in a Performance Test conducted as soon as practical after the stack module replacement.  Such Base Stack Price shall be prorated based on the percentage of the stack module Warranty period completed at the time of such Unit failure (for example, if a failure occurs two years after Acceptance, Purchaser shall pay 2/3 of the replacement cost).  The “Stack Purchase Amount” shall be equal to the pro rata portion of the Base Stack Price that Purchaser has to pay pursuant to this Section 14.3.  Purchaser shall conduct a new Performance Test on the replacement stack module, and the replacement stack module shall be warranted for an additional thirty-six (36) months following successful completion of the Performance Tests in accordance with the terms of this section.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14.4</w:t>
        <w:tab/>
      </w:r>
      <w:r>
        <w:rPr>
          <w:rFonts w:cs="Times New Roman" w:ascii="Times New Roman" w:hAnsi="Times New Roman"/>
          <w:color w:val="000080"/>
          <w:sz w:val="22"/>
          <w:u w:val="single"/>
        </w:rPr>
        <w:t>Vendor Warranty</w:t>
      </w:r>
      <w:r>
        <w:fldChar w:fldCharType="begin"/>
      </w:r>
      <w:r>
        <w:rPr/>
        <w:instrText xml:space="preserve"> TC "14.4</w:instrText>
        <w:tab/>
        <w:instrText xml:space="preserve">Vendor Warranty" \l 2 </w:instrText>
      </w:r>
      <w:r>
        <w:rPr/>
        <w:fldChar w:fldCharType="separate"/>
      </w:r>
      <w:r>
        <w:rPr/>
      </w:r>
      <w:r>
        <w:rPr/>
        <w:fldChar w:fldCharType="end"/>
      </w:r>
      <w:bookmarkStart w:id="102" w:name="__RefHeading___Toc498441813"/>
      <w:bookmarkEnd w:id="102"/>
      <w:r>
        <w:rPr>
          <w:rFonts w:cs="Times New Roman" w:ascii="Times New Roman" w:hAnsi="Times New Roman"/>
          <w:color w:val="000080"/>
          <w:sz w:val="22"/>
        </w:rPr>
        <w:t xml:space="preserve">.  Seller shall be responsible for enforcing the warranties of all Vendors through the Primary Warranty Period, or, if applicable, the Extended Warranty Period.  In the event of Purchaser's termination of Seller for an Event of Seller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14.5</w:t>
        <w:tab/>
      </w:r>
      <w:r>
        <w:rPr>
          <w:rFonts w:cs="Times New Roman" w:ascii="Times New Roman" w:hAnsi="Times New Roman"/>
          <w:color w:val="000080"/>
          <w:sz w:val="22"/>
          <w:u w:val="single"/>
        </w:rPr>
        <w:t>Limited Warranty</w:t>
      </w:r>
      <w:r>
        <w:fldChar w:fldCharType="begin"/>
      </w:r>
      <w:r>
        <w:rPr/>
        <w:instrText xml:space="preserve"> TC "14.5</w:instrText>
        <w:tab/>
        <w:instrText xml:space="preserve">Limited Warranty" \l 2 </w:instrText>
      </w:r>
      <w:r>
        <w:rPr/>
        <w:fldChar w:fldCharType="separate"/>
      </w:r>
      <w:r>
        <w:rPr/>
      </w:r>
      <w:r>
        <w:rPr/>
        <w:fldChar w:fldCharType="end"/>
      </w:r>
      <w:bookmarkStart w:id="103" w:name="__RefHeading___Toc498441814"/>
      <w:bookmarkEnd w:id="103"/>
      <w:r>
        <w:rPr>
          <w:rFonts w:cs="Times New Roman" w:ascii="Times New Roman" w:hAnsi="Times New Roman"/>
          <w:color w:val="000080"/>
          <w:sz w:val="22"/>
        </w:rPr>
        <w:t xml:space="preserve">.  THE WARRANTIES CONTAINED AND REMEDIES FOR BREACH OF WARRANTY CONTAINED IN THIS AGREEMENT ARE THE EXCLUSIVE WARRANTIES AND REMEDIES BY SELLER APPLICABLE TO THE EQUIPMENT AND THE ASSOCIATED SERVICES AND ARE EXPRESSLY IN LIEU OF ANY OTHER REMEDIES OR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14.6</w:t>
        <w:tab/>
      </w:r>
      <w:r>
        <w:rPr>
          <w:rFonts w:cs="Times New Roman" w:ascii="Times New Roman" w:hAnsi="Times New Roman"/>
          <w:color w:val="000080"/>
          <w:sz w:val="22"/>
          <w:u w:val="single"/>
        </w:rPr>
        <w:t>Defective Equipment</w:t>
      </w:r>
      <w:r>
        <w:fldChar w:fldCharType="begin"/>
      </w:r>
      <w:r>
        <w:rPr/>
        <w:instrText xml:space="preserve"> TC "14.6</w:instrText>
        <w:tab/>
        <w:instrText xml:space="preserve">Defective Equipment" \l 2 </w:instrText>
      </w:r>
      <w:r>
        <w:rPr/>
        <w:fldChar w:fldCharType="separate"/>
      </w:r>
      <w:r>
        <w:rPr/>
      </w:r>
      <w:r>
        <w:rPr/>
        <w:fldChar w:fldCharType="end"/>
      </w:r>
      <w:bookmarkStart w:id="104" w:name="__RefHeading___Toc498441815"/>
      <w:bookmarkEnd w:id="104"/>
      <w:r>
        <w:rPr>
          <w:rFonts w:cs="Times New Roman" w:ascii="Times New Roman" w:hAnsi="Times New Roman"/>
          <w:color w:val="000080"/>
          <w:sz w:val="22"/>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14.7</w:t>
        <w:tab/>
      </w:r>
      <w:r>
        <w:rPr>
          <w:rFonts w:cs="Times New Roman" w:ascii="Times New Roman" w:hAnsi="Times New Roman"/>
          <w:color w:val="000080"/>
          <w:sz w:val="22"/>
          <w:u w:val="single"/>
        </w:rPr>
        <w:t>Termination of Warranty</w:t>
      </w:r>
      <w:r>
        <w:fldChar w:fldCharType="begin"/>
      </w:r>
      <w:r>
        <w:rPr/>
        <w:instrText xml:space="preserve"> TC "14.7</w:instrText>
        <w:tab/>
        <w:instrText xml:space="preserve">Termination of Warranty" \l 2 </w:instrText>
      </w:r>
      <w:r>
        <w:rPr/>
        <w:fldChar w:fldCharType="separate"/>
      </w:r>
      <w:r>
        <w:rPr/>
      </w:r>
      <w:r>
        <w:rPr/>
        <w:fldChar w:fldCharType="end"/>
      </w:r>
      <w:bookmarkStart w:id="105" w:name="__RefHeading___Toc498441816"/>
      <w:bookmarkEnd w:id="105"/>
      <w:r>
        <w:rPr>
          <w:rFonts w:cs="Times New Roman" w:ascii="Times New Roman" w:hAnsi="Times New Roman"/>
          <w:color w:val="000080"/>
          <w:sz w:val="22"/>
        </w:rPr>
        <w:t>.  In the event that Purchaser or a third party undertakes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immediately terminated.  If a defect covered by the warranty is discovered by Purchaser and Purchaser does not: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immediately take reasonable action to mitigate the damage consequent to the occurrence of the defect; and</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promptly notify Seller allow Seller to correct the defect,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Seller shall not be responsible for repair of that part of the damage attributed to Purchaser's failure to take such action.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pPr>
      <w:r>
        <w:rPr>
          <w:rFonts w:cs="Times New Roman" w:ascii="Times New Roman" w:hAnsi="Times New Roman"/>
          <w:color w:val="000080"/>
          <w:sz w:val="22"/>
        </w:rPr>
        <w:t>14.8</w:t>
        <w:tab/>
      </w:r>
      <w:r>
        <w:rPr>
          <w:rFonts w:cs="Times New Roman" w:ascii="Times New Roman" w:hAnsi="Times New Roman"/>
          <w:color w:val="000080"/>
          <w:sz w:val="22"/>
          <w:u w:val="single"/>
        </w:rPr>
        <w:t>Damage caused by Equipment</w:t>
      </w:r>
      <w:r>
        <w:fldChar w:fldCharType="begin"/>
      </w:r>
      <w:r>
        <w:rPr/>
        <w:instrText xml:space="preserve"> TC "14.8</w:instrText>
        <w:tab/>
        <w:instrText xml:space="preserve">Damage caused by Equipment" \l 2 </w:instrText>
      </w:r>
      <w:r>
        <w:rPr/>
        <w:fldChar w:fldCharType="separate"/>
      </w:r>
      <w:r>
        <w:rPr/>
      </w:r>
      <w:r>
        <w:rPr/>
        <w:fldChar w:fldCharType="end"/>
      </w:r>
      <w:bookmarkStart w:id="106" w:name="__RefHeading___Toc498441817"/>
      <w:bookmarkEnd w:id="106"/>
      <w:r>
        <w:rPr>
          <w:rFonts w:cs="Times New Roman" w:ascii="Times New Roman" w:hAnsi="Times New Roman"/>
          <w:color w:val="000080"/>
          <w:sz w:val="22"/>
        </w:rPr>
        <w:t xml:space="preserve">.  Seller shall repair, replace, and/or correct damage to any part of a Unit caused by a failure of that Unit’s Equipment during the Primary Warranty Period or the Extended Warranty Period, as the case may be, provided, however that such failure was not caused by Purchaser’s failure to operate the Equipment in accordance with Seller’s instructions or Purchaser’s negligence or willful misconduct.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XV.  </w:t>
      </w:r>
      <w:r>
        <w:rPr>
          <w:rFonts w:cs="Times New Roman" w:ascii="Times New Roman" w:hAnsi="Times New Roman"/>
          <w:color w:val="000080"/>
          <w:sz w:val="22"/>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07" w:name="__RefHeading___Toc498441818"/>
      <w:bookmarkEnd w:id="107"/>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15.1</w:t>
        <w:tab/>
      </w:r>
      <w:r>
        <w:rPr>
          <w:rFonts w:cs="Times New Roman" w:ascii="Times New Roman" w:hAnsi="Times New Roman"/>
          <w:color w:val="000080"/>
          <w:sz w:val="22"/>
          <w:u w:val="single"/>
        </w:rPr>
        <w:t>Risk of Loss</w:t>
      </w:r>
      <w:r>
        <w:fldChar w:fldCharType="begin"/>
      </w:r>
      <w:r>
        <w:rPr/>
        <w:instrText xml:space="preserve"> TC "15.1</w:instrText>
        <w:tab/>
        <w:instrText xml:space="preserve">Risk of Loss" \l 2 </w:instrText>
      </w:r>
      <w:r>
        <w:rPr/>
        <w:fldChar w:fldCharType="separate"/>
      </w:r>
      <w:r>
        <w:rPr/>
      </w:r>
      <w:r>
        <w:rPr/>
        <w:fldChar w:fldCharType="end"/>
      </w:r>
      <w:bookmarkStart w:id="108" w:name="__RefHeading___Toc498441819"/>
      <w:bookmarkEnd w:id="108"/>
      <w:r>
        <w:rPr>
          <w:rFonts w:cs="Times New Roman" w:ascii="Times New Roman" w:hAnsi="Times New Roman"/>
          <w:color w:val="000080"/>
          <w:sz w:val="22"/>
        </w:rPr>
        <w:t xml:space="preserve">.  Seller shall bear the risk of loss and damage with respect to the Equipment until Acceptance.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15.2</w:t>
        <w:tab/>
      </w:r>
      <w:r>
        <w:rPr>
          <w:rFonts w:cs="Times New Roman" w:ascii="Times New Roman" w:hAnsi="Times New Roman"/>
          <w:color w:val="000080"/>
          <w:sz w:val="22"/>
          <w:u w:val="single"/>
        </w:rPr>
        <w:t>Title</w:t>
      </w:r>
      <w:r>
        <w:fldChar w:fldCharType="begin"/>
      </w:r>
      <w:r>
        <w:rPr/>
        <w:instrText xml:space="preserve"> TC "15.2</w:instrText>
        <w:tab/>
        <w:instrText xml:space="preserve">Title" \l 2 </w:instrText>
      </w:r>
      <w:r>
        <w:rPr/>
        <w:fldChar w:fldCharType="separate"/>
      </w:r>
      <w:r>
        <w:rPr/>
      </w:r>
      <w:r>
        <w:rPr/>
        <w:fldChar w:fldCharType="end"/>
      </w:r>
      <w:bookmarkStart w:id="109" w:name="__RefHeading___Toc498441820"/>
      <w:bookmarkEnd w:id="109"/>
      <w:r>
        <w:rPr>
          <w:rFonts w:cs="Times New Roman" w:ascii="Times New Roman" w:hAnsi="Times New Roman"/>
          <w:color w:val="000080"/>
          <w:sz w:val="22"/>
        </w:rPr>
        <w:t>.  Title to Units, Equipment, O&amp;M Spare Parts and like materials will pass from Seller to Purchaser upon payment in full in accordance with this Agreement.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XVI.  </w:t>
      </w:r>
      <w:r>
        <w:rPr>
          <w:rFonts w:cs="Times New Roman" w:ascii="Times New Roman" w:hAnsi="Times New Roman"/>
          <w:color w:val="000080"/>
          <w:sz w:val="22"/>
          <w:u w:val="single"/>
        </w:rPr>
        <w:t>PACKING AND SHIPPING</w:t>
      </w:r>
      <w:r>
        <w:fldChar w:fldCharType="begin"/>
      </w:r>
      <w:r>
        <w:rPr/>
        <w:instrText xml:space="preserve"> TC "ARTICLE XVI.  PACKING AND SHIPPING" \l 1 </w:instrText>
      </w:r>
      <w:r>
        <w:rPr/>
        <w:fldChar w:fldCharType="separate"/>
      </w:r>
      <w:r>
        <w:rPr/>
      </w:r>
      <w:r>
        <w:rPr/>
        <w:fldChar w:fldCharType="end"/>
      </w:r>
      <w:bookmarkStart w:id="110" w:name="__RefHeading___Toc498441821"/>
      <w:bookmarkEnd w:id="110"/>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16.1</w:t>
        <w:tab/>
      </w:r>
      <w:r>
        <w:rPr>
          <w:rFonts w:cs="Times New Roman" w:ascii="Times New Roman" w:hAnsi="Times New Roman"/>
          <w:color w:val="000080"/>
          <w:sz w:val="22"/>
          <w:u w:val="single"/>
        </w:rPr>
        <w:t>Packing</w:t>
      </w:r>
      <w:r>
        <w:fldChar w:fldCharType="begin"/>
      </w:r>
      <w:r>
        <w:rPr/>
        <w:instrText xml:space="preserve"> TC "16.1</w:instrText>
        <w:tab/>
        <w:instrText xml:space="preserve">Packing" \l 2 </w:instrText>
      </w:r>
      <w:r>
        <w:rPr/>
        <w:fldChar w:fldCharType="separate"/>
      </w:r>
      <w:r>
        <w:rPr/>
      </w:r>
      <w:r>
        <w:rPr/>
        <w:fldChar w:fldCharType="end"/>
      </w:r>
      <w:bookmarkStart w:id="111" w:name="__RefHeading___Toc498441822"/>
      <w:bookmarkEnd w:id="111"/>
      <w:r>
        <w:rPr>
          <w:rFonts w:cs="Times New Roman" w:ascii="Times New Roman" w:hAnsi="Times New Roman"/>
          <w:color w:val="000080"/>
          <w:sz w:val="22"/>
        </w:rPr>
        <w:t xml:space="preserve">.  Seller shall perform all packaging of the Equipment in accordance with commercially reasonably standards so as to prevent damage to the Units and Equipment during handling and transportation.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16.2</w:t>
        <w:tab/>
      </w:r>
      <w:r>
        <w:rPr>
          <w:rFonts w:cs="Times New Roman" w:ascii="Times New Roman" w:hAnsi="Times New Roman"/>
          <w:color w:val="000080"/>
          <w:sz w:val="22"/>
          <w:u w:val="single"/>
        </w:rPr>
        <w:t>Notice of Shipment</w:t>
      </w:r>
      <w:r>
        <w:fldChar w:fldCharType="begin"/>
      </w:r>
      <w:r>
        <w:rPr/>
        <w:instrText xml:space="preserve"> TC "16.2</w:instrText>
        <w:tab/>
        <w:instrText xml:space="preserve">Notice of Shipment" \l 2 </w:instrText>
      </w:r>
      <w:r>
        <w:rPr/>
        <w:fldChar w:fldCharType="separate"/>
      </w:r>
      <w:r>
        <w:rPr/>
      </w:r>
      <w:r>
        <w:rPr/>
        <w:fldChar w:fldCharType="end"/>
      </w:r>
      <w:bookmarkStart w:id="112" w:name="__RefHeading___Toc498441823"/>
      <w:bookmarkEnd w:id="112"/>
      <w:r>
        <w:rPr>
          <w:rFonts w:cs="Times New Roman" w:ascii="Times New Roman" w:hAnsi="Times New Roman"/>
          <w:color w:val="000080"/>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BodyText3"/>
        <w:spacing w:lineRule="auto" w:line="240"/>
        <w:jc w:val="start"/>
        <w:rPr>
          <w:rFonts w:ascii="Times New Roman" w:hAnsi="Times New Roman" w:cs="Times New Roman"/>
          <w:color w:val="000080"/>
          <w:sz w:val="22"/>
        </w:rPr>
      </w:pPr>
      <w:r>
        <w:rPr>
          <w:rFonts w:cs="Times New Roman" w:ascii="Times New Roman" w:hAnsi="Times New Roman"/>
          <w:color w:val="000080"/>
          <w:sz w:val="22"/>
        </w:rPr>
      </w:r>
    </w:p>
    <w:p>
      <w:pPr>
        <w:pStyle w:val="BodyText3"/>
        <w:spacing w:lineRule="auto" w:line="240"/>
        <w:jc w:val="start"/>
        <w:rPr>
          <w:rFonts w:ascii="Times New Roman" w:hAnsi="Times New Roman" w:cs="Times New Roman"/>
          <w:b/>
          <w:bCs/>
          <w:color w:val="000080"/>
          <w:sz w:val="22"/>
        </w:rPr>
      </w:pPr>
      <w:r>
        <w:rPr>
          <w:rFonts w:cs="Times New Roman" w:ascii="Times New Roman" w:hAnsi="Times New Roman"/>
          <w:b/>
          <w:bCs/>
          <w:color w:val="000080"/>
          <w:sz w:val="22"/>
        </w:rPr>
        <w:t>[Enron team to provide additional section allowing for Purchaser’s review of shipments]</w:t>
      </w:r>
    </w:p>
    <w:p>
      <w:pPr>
        <w:pStyle w:val="BodyText3"/>
        <w:spacing w:lineRule="auto" w:line="240"/>
        <w:jc w:val="start"/>
        <w:rPr>
          <w:rFonts w:ascii="Times New Roman" w:hAnsi="Times New Roman" w:cs="Times New Roman"/>
          <w:b/>
          <w:bCs/>
          <w:color w:val="000080"/>
          <w:sz w:val="22"/>
        </w:rPr>
      </w:pPr>
      <w:r>
        <w:rPr>
          <w:rFonts w:cs="Times New Roman" w:ascii="Times New Roman" w:hAnsi="Times New Roman"/>
          <w:b/>
          <w:bCs/>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XVII.  </w:t>
      </w:r>
      <w:r>
        <w:rPr>
          <w:rFonts w:cs="Times New Roman" w:ascii="Times New Roman" w:hAnsi="Times New Roman"/>
          <w:color w:val="000080"/>
          <w:sz w:val="22"/>
          <w:u w:val="single"/>
        </w:rPr>
        <w:t>DEFAULT; TERMINATION</w:t>
      </w:r>
      <w:r>
        <w:fldChar w:fldCharType="begin"/>
      </w:r>
      <w:r>
        <w:rPr/>
        <w:instrText xml:space="preserve"> TC "ARTICLE XVII.  DEFAULT; TERMINATION" \l 1 </w:instrText>
      </w:r>
      <w:r>
        <w:rPr/>
        <w:fldChar w:fldCharType="separate"/>
      </w:r>
      <w:r>
        <w:rPr/>
      </w:r>
      <w:r>
        <w:rPr/>
        <w:fldChar w:fldCharType="end"/>
      </w:r>
      <w:bookmarkStart w:id="113" w:name="__RefHeading___Toc498441824"/>
      <w:bookmarkEnd w:id="113"/>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17.1</w:t>
        <w:tab/>
      </w:r>
      <w:r>
        <w:rPr>
          <w:rFonts w:cs="Times New Roman" w:ascii="Times New Roman" w:hAnsi="Times New Roman"/>
          <w:color w:val="000080"/>
          <w:sz w:val="22"/>
          <w:u w:val="single"/>
        </w:rPr>
        <w:t>Event of Seller Default</w:t>
      </w:r>
      <w:r>
        <w:fldChar w:fldCharType="begin"/>
      </w:r>
      <w:r>
        <w:rPr/>
        <w:instrText xml:space="preserve"> TC "17.1</w:instrText>
        <w:tab/>
        <w:instrText xml:space="preserve">Event of Seller Default" \l 2 </w:instrText>
      </w:r>
      <w:r>
        <w:rPr/>
        <w:fldChar w:fldCharType="separate"/>
      </w:r>
      <w:r>
        <w:rPr/>
      </w:r>
      <w:r>
        <w:rPr/>
        <w:fldChar w:fldCharType="end"/>
      </w:r>
      <w:bookmarkStart w:id="114" w:name="__RefHeading___Toc498441825"/>
      <w:bookmarkEnd w:id="114"/>
      <w:r>
        <w:rPr>
          <w:rFonts w:cs="Times New Roman" w:ascii="Times New Roman" w:hAnsi="Times New Roman"/>
          <w:color w:val="000080"/>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Seller shall have assigned or transferred this Agreement or any right or interest herein except as expressly permitted by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any representation made by Seller in this Agreement shall have been materially false or misleading when made and Purchaser has been materially harmed by the fact that such representation was materially false or misleading;</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 xml:space="preserve">Seller shall have defaulted in its performance under any material provision of this Agreement,  </w:t>
      </w:r>
    </w:p>
    <w:p>
      <w:pPr>
        <w:pStyle w:val="Normal"/>
        <w:widowControl/>
        <w:ind w:start="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Seller has failed to achieve Acceptance of the first Unit on or before the expiration of twenty-nine (29) months of the Release Date, failed to achieve Acceptance of Units #2 through 8 on or before the expiration of thirty-five (35) months of Release, or failed to achieve Acceptance of all Units on or before the expiration of forty-two (42) months from Release (such dates subject to extension for Purchaser Delays, which Seller must reasonably provide, upon request of Purchaser, supporting documentation if greater than day-to-day extension for any Units affected by Purchaser Delay in accordance with Section 6.4),</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17.2</w:t>
        <w:tab/>
      </w:r>
      <w:r>
        <w:rPr>
          <w:rFonts w:cs="Times New Roman" w:ascii="Times New Roman" w:hAnsi="Times New Roman"/>
          <w:color w:val="000080"/>
          <w:sz w:val="22"/>
          <w:u w:val="single"/>
        </w:rPr>
        <w:t>Purchaser's Remedies Against Seller</w:t>
      </w:r>
      <w:r>
        <w:fldChar w:fldCharType="begin"/>
      </w:r>
      <w:r>
        <w:rPr/>
        <w:instrText xml:space="preserve"> TC "17.2</w:instrText>
        <w:tab/>
        <w:instrText xml:space="preserve">Purchaser's Remedies Against Seller" \l 2 </w:instrText>
      </w:r>
      <w:r>
        <w:rPr/>
        <w:fldChar w:fldCharType="separate"/>
      </w:r>
      <w:r>
        <w:rPr/>
      </w:r>
      <w:r>
        <w:rPr/>
        <w:fldChar w:fldCharType="end"/>
      </w:r>
      <w:bookmarkStart w:id="115" w:name="__RefHeading___Toc498441826"/>
      <w:bookmarkEnd w:id="115"/>
      <w:r>
        <w:rPr>
          <w:rFonts w:cs="Times New Roman" w:ascii="Times New Roman" w:hAnsi="Times New Roman"/>
          <w:color w:val="000080"/>
          <w:sz w:val="22"/>
        </w:rPr>
        <w:t xml:space="preserve">.  The provisions of Article XXVI hereof notwithstanding, and without limitation of Purchaser's rights, in the case of an Event of Seller Default Purchaser shall have the right to terminate this Agreement in whole or in part, without further obligation to Seller, as to any Equipment not yet achieving Acceptance by giving Notice of termination to Seller, specifying which Equipment is being terminated.  Seller shall be allowed sixty (60) days following the receipt of the termination notice to achieve Acceptance of the Equipment which is the subject of the termination notice; provided such Equipment has been delivered to the appropriate Site as of the date of the termination notice.  In the event of Acceptance within such sixty (60) day cure period the termination notice shall be deemed to be void and without effect as to those Units that achieved Acceptance.  These rights are in addition to any rights and remedies that may be available at law or in equity or as provided herein.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17.3</w:t>
        <w:tab/>
      </w:r>
      <w:r>
        <w:rPr>
          <w:rFonts w:cs="Times New Roman" w:ascii="Times New Roman" w:hAnsi="Times New Roman"/>
          <w:color w:val="000080"/>
          <w:sz w:val="22"/>
          <w:u w:val="single"/>
        </w:rPr>
        <w:t>General Obligations</w:t>
      </w:r>
      <w:r>
        <w:fldChar w:fldCharType="begin"/>
      </w:r>
      <w:r>
        <w:rPr/>
        <w:instrText xml:space="preserve"> TC "17.3</w:instrText>
        <w:tab/>
        <w:instrText xml:space="preserve">General Obligations" \l 2 </w:instrText>
      </w:r>
      <w:r>
        <w:rPr/>
        <w:fldChar w:fldCharType="separate"/>
      </w:r>
      <w:r>
        <w:rPr/>
      </w:r>
      <w:r>
        <w:rPr/>
        <w:fldChar w:fldCharType="end"/>
      </w:r>
      <w:bookmarkStart w:id="116" w:name="__RefHeading___Toc498441827"/>
      <w:bookmarkEnd w:id="116"/>
      <w:r>
        <w:rPr>
          <w:rFonts w:cs="Times New Roman" w:ascii="Times New Roman" w:hAnsi="Times New Roman"/>
          <w:color w:val="000080"/>
          <w:sz w:val="22"/>
        </w:rPr>
        <w:t>.  In the case of a partial termination pursuant to Section 17.2, Seller shall continue performing its obligations under this Agreement for all Equipment and Services not terminated by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17.4</w:t>
        <w:tab/>
      </w:r>
      <w:r>
        <w:rPr>
          <w:rFonts w:cs="Times New Roman" w:ascii="Times New Roman" w:hAnsi="Times New Roman"/>
          <w:color w:val="000080"/>
          <w:sz w:val="22"/>
          <w:u w:val="single"/>
        </w:rPr>
        <w:t>Payment Obligations</w:t>
      </w:r>
      <w:r>
        <w:fldChar w:fldCharType="begin"/>
      </w:r>
      <w:r>
        <w:rPr/>
        <w:instrText xml:space="preserve"> TC "17.4</w:instrText>
        <w:tab/>
        <w:instrText xml:space="preserve">Payment Obligations" \l 2 </w:instrText>
      </w:r>
      <w:r>
        <w:rPr/>
        <w:fldChar w:fldCharType="separate"/>
      </w:r>
      <w:r>
        <w:rPr/>
      </w:r>
      <w:r>
        <w:rPr/>
        <w:fldChar w:fldCharType="end"/>
      </w:r>
      <w:bookmarkStart w:id="117" w:name="__RefHeading___Toc498441828"/>
      <w:bookmarkEnd w:id="117"/>
      <w:r>
        <w:rPr>
          <w:rFonts w:cs="Times New Roman" w:ascii="Times New Roman" w:hAnsi="Times New Roman"/>
          <w:color w:val="000080"/>
          <w:sz w:val="22"/>
        </w:rPr>
        <w:t>. Seller shall not be entitled to any payment for any terminated Equipment, and shall refund any money paid for such terminated Equipment within ten (10) days of receipt of notice of termination. Should some Equipment be terminated for an Event of Seller Default, Purchaser shall pay the Average Purchase Amount for any Equipment which is not terminated and which achieves Acceptance.  Shipping costs shall not be included in the calculation of Average Purchase Amount, and Purchaser shall pay the lesser of the actual shipping costs and $87,000 for any Units achieving Acceptance. The Average Purchase Amount shall be used in the case of a reduction in the Purchase Amount due to failure to achieve the Performance Standards.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17.5</w:t>
        <w:tab/>
      </w:r>
      <w:r>
        <w:rPr>
          <w:rFonts w:cs="Times New Roman" w:ascii="Times New Roman" w:hAnsi="Times New Roman"/>
          <w:color w:val="000080"/>
          <w:sz w:val="22"/>
          <w:u w:val="single"/>
        </w:rPr>
        <w:t>Events of Purchaser Default</w:t>
      </w:r>
      <w:r>
        <w:rPr>
          <w:rFonts w:cs="Times New Roman" w:ascii="Times New Roman" w:hAnsi="Times New Roman"/>
          <w:color w:val="000080"/>
          <w:sz w:val="22"/>
        </w:rPr>
        <w:t>.</w:t>
      </w:r>
      <w:r>
        <w:fldChar w:fldCharType="begin"/>
      </w:r>
      <w:r>
        <w:rPr/>
        <w:instrText xml:space="preserve"> TC "17.5</w:instrText>
        <w:tab/>
        <w:instrText xml:space="preserve">Events of Purchaser Default" \l 2 </w:instrText>
      </w:r>
      <w:r>
        <w:rPr/>
        <w:fldChar w:fldCharType="separate"/>
      </w:r>
      <w:r>
        <w:rPr/>
      </w:r>
      <w:r>
        <w:rPr/>
        <w:fldChar w:fldCharType="end"/>
      </w:r>
      <w:bookmarkStart w:id="118" w:name="__RefHeading___Toc498441829"/>
      <w:bookmarkEnd w:id="118"/>
      <w:r>
        <w:rPr>
          <w:rFonts w:cs="Times New Roman" w:ascii="Times New Roman" w:hAnsi="Times New Roman"/>
          <w:color w:val="000080"/>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as agreed by Purchaser and Seller and does not thereafter diligently pursue such cure to completion as agreed, provided that the event described in paragraph (d) below shall be an Event of Purchaser Default upon its occurrence with no cure period: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Purchaser shall have assigned or transferred this Agreement or any right or interest herein except as expressly permitted by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any representation made by Purchaser in this Agreement shall have been materially false or misleading when made;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 xml:space="preserve">Purchaser shall have defaulted in its performance under any material provision of this Agreement; or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17.6</w:t>
        <w:tab/>
      </w:r>
      <w:r>
        <w:rPr>
          <w:rFonts w:cs="Times New Roman" w:ascii="Times New Roman" w:hAnsi="Times New Roman"/>
          <w:color w:val="000080"/>
          <w:sz w:val="22"/>
          <w:u w:val="single"/>
        </w:rPr>
        <w:t>Seller Remedies</w:t>
      </w:r>
      <w:r>
        <w:fldChar w:fldCharType="begin"/>
      </w:r>
      <w:r>
        <w:rPr/>
        <w:instrText xml:space="preserve"> TC "17.6</w:instrText>
        <w:tab/>
        <w:instrText xml:space="preserve">Seller Remedies" \l 2 </w:instrText>
      </w:r>
      <w:r>
        <w:rPr/>
        <w:fldChar w:fldCharType="separate"/>
      </w:r>
      <w:r>
        <w:rPr/>
      </w:r>
      <w:r>
        <w:rPr/>
        <w:fldChar w:fldCharType="end"/>
      </w:r>
      <w:bookmarkStart w:id="119" w:name="__RefHeading___Toc498441830"/>
      <w:bookmarkEnd w:id="119"/>
      <w:r>
        <w:rPr>
          <w:rFonts w:cs="Times New Roman" w:ascii="Times New Roman" w:hAnsi="Times New Roman"/>
          <w:color w:val="000080"/>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17.7</w:t>
        <w:tab/>
      </w:r>
      <w:r>
        <w:rPr>
          <w:rFonts w:cs="Times New Roman" w:ascii="Times New Roman" w:hAnsi="Times New Roman"/>
          <w:color w:val="000080"/>
          <w:sz w:val="22"/>
          <w:u w:val="single"/>
        </w:rPr>
        <w:t>Termination Due to Inability to Obtain a Permit</w:t>
      </w:r>
      <w:r>
        <w:fldChar w:fldCharType="begin"/>
      </w:r>
      <w:r>
        <w:rPr/>
        <w:instrText xml:space="preserve"> TC "17.7</w:instrText>
        <w:tab/>
        <w:instrText xml:space="preserve">Termination Due to Inability to Obtain a Permit" \l 2 </w:instrText>
      </w:r>
      <w:r>
        <w:rPr/>
        <w:fldChar w:fldCharType="separate"/>
      </w:r>
      <w:r>
        <w:rPr/>
      </w:r>
      <w:r>
        <w:rPr/>
        <w:fldChar w:fldCharType="end"/>
      </w:r>
      <w:bookmarkStart w:id="120" w:name="__RefHeading___Toc498441831"/>
      <w:bookmarkEnd w:id="120"/>
      <w:r>
        <w:rPr>
          <w:rFonts w:cs="Times New Roman" w:ascii="Times New Roman" w:hAnsi="Times New Roman"/>
          <w:color w:val="000080"/>
          <w:sz w:val="22"/>
        </w:rPr>
        <w:t>.  If (i) Purchaser issues a Permit Notice pursuant to Section 3.10 and (ii) the parties have failed to execute an amendment to the Agreement within thirty (30) days of Seller’s receipt of such Permit Notice, then Purchaser may terminate this Agreement with respect to the Units which cannot be permitted.</w:t>
      </w:r>
      <w:r>
        <w:br w:type="page"/>
      </w:r>
    </w:p>
    <w:p>
      <w:pPr>
        <w:pStyle w:val="Normal"/>
        <w:rPr>
          <w:rFonts w:ascii="Times New Roman" w:hAnsi="Times New Roman" w:cs="Times New Roman"/>
          <w:color w:val="000080"/>
          <w:sz w:val="22"/>
        </w:rPr>
      </w:pPr>
      <w:r>
        <w:rPr>
          <w:rFonts w:cs="Times New Roman" w:ascii="Times New Roman" w:hAnsi="Times New Roman"/>
          <w:color w:val="000080"/>
          <w:sz w:val="22"/>
        </w:rPr>
      </w:r>
    </w:p>
    <w:p>
      <w:pPr>
        <w:pStyle w:val="Normal"/>
        <w:jc w:val="center"/>
        <w:rPr>
          <w:rFonts w:ascii="Times New Roman" w:hAnsi="Times New Roman" w:cs="Times New Roman"/>
          <w:color w:val="000080"/>
          <w:sz w:val="22"/>
        </w:rPr>
      </w:pPr>
      <w:r>
        <w:rPr>
          <w:rFonts w:cs="Times New Roman" w:ascii="Times New Roman" w:hAnsi="Times New Roman"/>
          <w:color w:val="000080"/>
          <w:sz w:val="22"/>
        </w:rPr>
        <w:t xml:space="preserve">ARTICLE XVIII.  </w:t>
      </w:r>
      <w:r>
        <w:rPr>
          <w:rFonts w:cs="Times New Roman" w:ascii="Times New Roman" w:hAnsi="Times New Roman"/>
          <w:color w:val="000080"/>
          <w:sz w:val="22"/>
          <w:u w:val="single"/>
        </w:rPr>
        <w:t>FORCE MAJEURE</w:t>
      </w:r>
      <w:r>
        <w:fldChar w:fldCharType="begin"/>
      </w:r>
      <w:r>
        <w:rPr/>
        <w:instrText xml:space="preserve"> TC "ARTICLE XVIII.  FORCE MAJEURE" \l 1 </w:instrText>
      </w:r>
      <w:r>
        <w:rPr/>
        <w:fldChar w:fldCharType="separate"/>
      </w:r>
      <w:r>
        <w:rPr/>
      </w:r>
      <w:r>
        <w:rPr/>
        <w:fldChar w:fldCharType="end"/>
      </w:r>
      <w:bookmarkStart w:id="121" w:name="__RefHeading___Toc498441832"/>
      <w:bookmarkEnd w:id="121"/>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18.1</w:t>
        <w:tab/>
      </w:r>
      <w:r>
        <w:rPr>
          <w:rFonts w:cs="Times New Roman" w:ascii="Times New Roman" w:hAnsi="Times New Roman"/>
          <w:color w:val="000080"/>
          <w:sz w:val="22"/>
          <w:u w:val="single"/>
        </w:rPr>
        <w:t>Failure to Perform Due to an Event of Force Majeure</w:t>
      </w:r>
      <w:r>
        <w:fldChar w:fldCharType="begin"/>
      </w:r>
      <w:r>
        <w:rPr/>
        <w:instrText xml:space="preserve"> TC "18.1</w:instrText>
        <w:tab/>
        <w:instrText xml:space="preserve">Failure to Perform Due to an Event of Force Majeure" \l 2 </w:instrText>
      </w:r>
      <w:r>
        <w:rPr/>
        <w:fldChar w:fldCharType="separate"/>
      </w:r>
      <w:r>
        <w:rPr/>
      </w:r>
      <w:r>
        <w:rPr/>
        <w:fldChar w:fldCharType="end"/>
      </w:r>
      <w:bookmarkStart w:id="122" w:name="__RefHeading___Toc498441833"/>
      <w:bookmarkEnd w:id="122"/>
      <w:r>
        <w:rPr>
          <w:rFonts w:cs="Times New Roman" w:ascii="Times New Roman" w:hAnsi="Times New Roman"/>
          <w:color w:val="000080"/>
          <w:sz w:val="22"/>
        </w:rPr>
        <w:t>.  Subject to the terms of this Article XVIII, either party shall be excused from performance and shall not be considered to be in default with respect to any obligation hereunder, to the extent its failure of performance is due to an event beyond the reasonable control of the affected party (an “Event of Force Majeure”).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18.2</w:t>
        <w:tab/>
      </w:r>
      <w:r>
        <w:rPr>
          <w:rFonts w:cs="Times New Roman" w:ascii="Times New Roman" w:hAnsi="Times New Roman"/>
          <w:color w:val="000080"/>
          <w:sz w:val="22"/>
          <w:u w:val="single"/>
        </w:rPr>
        <w:t>Events of Force Majeure</w:t>
      </w:r>
      <w:r>
        <w:fldChar w:fldCharType="begin"/>
      </w:r>
      <w:r>
        <w:rPr/>
        <w:instrText xml:space="preserve"> TC "18.2</w:instrText>
        <w:tab/>
        <w:instrText xml:space="preserve">Events of Force Majeure" \l 2 </w:instrText>
      </w:r>
      <w:r>
        <w:rPr/>
        <w:fldChar w:fldCharType="separate"/>
      </w:r>
      <w:r>
        <w:rPr/>
      </w:r>
      <w:r>
        <w:rPr/>
        <w:fldChar w:fldCharType="end"/>
      </w:r>
      <w:bookmarkStart w:id="123" w:name="__RefHeading___Toc498441834"/>
      <w:bookmarkEnd w:id="123"/>
      <w:r>
        <w:rPr>
          <w:rFonts w:cs="Times New Roman" w:ascii="Times New Roman" w:hAnsi="Times New Roman"/>
          <w:color w:val="000080"/>
          <w:sz w:val="22"/>
        </w:rPr>
        <w:t>.  Events of Force Majeure shall include without limitation the circumstances set forth in clause 18.4 but only if, and to the extent: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such circumstance is not within the reasonable control of the party affected;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such circumstance, despite the exercise of reasonable diligence, can not be prevented, avoided or removed by such party;</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such event materially adversely affects (in cost and/or time) the ability of the affected party to fulfill its obligations under the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(iv)</w:t>
        <w:tab/>
        <w:t>the affected party has taken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(v)</w:t>
        <w:tab/>
        <w:t xml:space="preserve">such event is not the result of any material breach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18.3</w:t>
        <w:tab/>
      </w:r>
      <w:r>
        <w:rPr>
          <w:rFonts w:cs="Times New Roman" w:ascii="Times New Roman" w:hAnsi="Times New Roman"/>
          <w:color w:val="000080"/>
          <w:sz w:val="22"/>
          <w:u w:val="single"/>
        </w:rPr>
        <w:t>Notice of Event of Force Majeure</w:t>
      </w:r>
      <w:r>
        <w:fldChar w:fldCharType="begin"/>
      </w:r>
      <w:r>
        <w:rPr/>
        <w:instrText xml:space="preserve"> TC "18.3</w:instrText>
        <w:tab/>
        <w:instrText xml:space="preserve">Notice of Event of Force Majeure" \l 2 </w:instrText>
      </w:r>
      <w:r>
        <w:rPr/>
        <w:fldChar w:fldCharType="separate"/>
      </w:r>
      <w:r>
        <w:rPr/>
      </w:r>
      <w:r>
        <w:rPr/>
        <w:fldChar w:fldCharType="end"/>
      </w:r>
      <w:bookmarkStart w:id="124" w:name="__RefHeading___Toc498441835"/>
      <w:bookmarkEnd w:id="124"/>
      <w:r>
        <w:rPr>
          <w:rFonts w:cs="Times New Roman" w:ascii="Times New Roman" w:hAnsi="Times New Roman"/>
          <w:color w:val="000080"/>
          <w:sz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give prompt notice (such notice to be given not later than 72 hours upon learning of such Event of Force Majeure unless it is not reasonably practicable given the nature of the Event of Force Majeure to give notice within such 72 hours, in which case notice shall be given as soon as reasonably practicable), to the other party in writing of such date.  Within seven (7) days, the affected party shall provide Notice to the other party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Expected Delivery Date and/or the Guaranteed Acceptance Date or the basis for an adjustment of the Purchase Amount.  The burden of proof to demonstrate that an Event of Force Majeure has occurred and affects the claiming parties ability to perform, rests with the claiming party. The parties will meet within ten (10) days after receipt of Notice by the unaffected party to discuss appropriate measures to mitigate the impact of the Event.  The parties shall thereupon consult with one another concerning the effect of such Event of Force Majeure and an extension of the Guaranteed Acceptance Date or, if applicable, an adjustment in the Purchase Amount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shall make all reasonable efforts to prevent and reduce to a minimum and mitigate the effect of any delay or potential adjustment of the Purchase Amount occasioned by any Event of Force Majeure including recourse to alternate acceptable sources of services, equipment and materials and construction equipment; and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shall use commercially reasonable efforts to ensure resumption of normal performance of the Agreement after the occurrence of any Event of Force Majeure and shall perform their obligations to the maximum extent practicable as agreed between the parties.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18.4</w:t>
        <w:tab/>
      </w:r>
      <w:r>
        <w:rPr>
          <w:rFonts w:cs="Times New Roman" w:ascii="Times New Roman" w:hAnsi="Times New Roman"/>
          <w:color w:val="000080"/>
          <w:sz w:val="22"/>
          <w:u w:val="single"/>
        </w:rPr>
        <w:t>Events of Force Majeure</w:t>
      </w:r>
      <w:r>
        <w:fldChar w:fldCharType="begin"/>
      </w:r>
      <w:r>
        <w:rPr/>
        <w:instrText xml:space="preserve"> TC "18.4</w:instrText>
        <w:tab/>
        <w:instrText xml:space="preserve">Events of Force Majeure" \l 2 </w:instrText>
      </w:r>
      <w:r>
        <w:rPr/>
        <w:fldChar w:fldCharType="separate"/>
      </w:r>
      <w:r>
        <w:rPr/>
      </w:r>
      <w:r>
        <w:rPr/>
        <w:fldChar w:fldCharType="end"/>
      </w:r>
      <w:bookmarkStart w:id="125" w:name="__RefHeading___Toc498441836"/>
      <w:bookmarkEnd w:id="125"/>
      <w:r>
        <w:rPr>
          <w:rFonts w:cs="Times New Roman" w:ascii="Times New Roman" w:hAnsi="Times New Roman"/>
          <w:color w:val="000080"/>
          <w:sz w:val="22"/>
        </w:rPr>
        <w:t>.  Subject to the provisions of Sections 18.2 and 18.5, an Event of Force Majeure shall include the following:</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explosions, fires, nuclear radiation contamination, hurricanes, earthquakes, floods, natural disasters, epidemics, other acts of God, and any other similar circumstances;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war and other hostilities (whether declared or not), revolution, public disorders, insurrection, rebellion, sabotage, acts of public officials or terrorist action;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 xml:space="preserve">any reasonably unforeseeable action or inordinately lengthy material inaction by any national or local government or judicial authority after the Release Date of the affected Equipment, including without limitation any order, legislation, enactment, judgment, ruling or decision;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national or regional strikes which are not specific to Seller’s manufacturing facilities;</w:t>
      </w:r>
    </w:p>
    <w:p>
      <w:pPr>
        <w:pStyle w:val="Normal"/>
        <w:widowControl/>
        <w:tabs>
          <w:tab w:val="clear" w:pos="720"/>
          <w:tab w:val="left" w:pos="-1440" w:leader="none"/>
        </w:tabs>
        <w:ind w:start="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(e)</w:t>
        <w:tab/>
        <w:t xml:space="preserve">accidents in transportation; </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numPr>
          <w:ilvl w:val="0"/>
          <w:numId w:val="5"/>
        </w:numPr>
        <w:tabs>
          <w:tab w:val="clear" w:pos="720"/>
          <w:tab w:val="left" w:pos="-1440" w:leader="none"/>
          <w:tab w:val="left" w:pos="1440"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delays resulting from extreme weather conditions; and </w:t>
      </w:r>
    </w:p>
    <w:p>
      <w:pPr>
        <w:pStyle w:val="Normal"/>
        <w:widowControl/>
        <w:tabs>
          <w:tab w:val="clear" w:pos="720"/>
          <w:tab w:val="left" w:pos="-1440" w:leader="none"/>
        </w:tabs>
        <w:spacing w:lineRule="auto" w:line="300"/>
        <w:ind w:start="72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numPr>
          <w:ilvl w:val="0"/>
          <w:numId w:val="5"/>
        </w:numPr>
        <w:tabs>
          <w:tab w:val="clear" w:pos="720"/>
          <w:tab w:val="left" w:pos="-1440" w:leader="none"/>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 xml:space="preserve">strikes or labor disputes involving Seller’s facilities provided, however, that such strikes or labor disputes shall constitute an Event of Force Majeure only after they have continued unresolved for a period of sixty (60) days and, once considered an Event of Force Majeure, shall constitute grounds for Seller to receive relief from compliance with the Final Project Schedule but shall not constitute grounds for an adjustment to the Purchase Amount.   </w:t>
      </w:r>
    </w:p>
    <w:p>
      <w:pPr>
        <w:pStyle w:val="Normal"/>
        <w:widowControl/>
        <w:tabs>
          <w:tab w:val="clear" w:pos="720"/>
          <w:tab w:val="left" w:pos="-1440"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18.5</w:t>
        <w:tab/>
      </w:r>
      <w:r>
        <w:rPr>
          <w:rFonts w:cs="Times New Roman" w:ascii="Times New Roman" w:hAnsi="Times New Roman"/>
          <w:color w:val="000080"/>
          <w:sz w:val="22"/>
          <w:u w:val="single"/>
        </w:rPr>
        <w:t>Certain Events Not Excused</w:t>
      </w:r>
      <w:r>
        <w:fldChar w:fldCharType="begin"/>
      </w:r>
      <w:r>
        <w:rPr/>
        <w:instrText xml:space="preserve"> TC "18.5</w:instrText>
        <w:tab/>
        <w:instrText xml:space="preserve">Certain Events Not Excused" \l 2 </w:instrText>
      </w:r>
      <w:r>
        <w:rPr/>
        <w:fldChar w:fldCharType="separate"/>
      </w:r>
      <w:r>
        <w:rPr/>
      </w:r>
      <w:r>
        <w:rPr/>
        <w:fldChar w:fldCharType="end"/>
      </w:r>
      <w:bookmarkStart w:id="126" w:name="__RefHeading___Toc498441837"/>
      <w:bookmarkEnd w:id="126"/>
      <w:r>
        <w:rPr>
          <w:rFonts w:cs="Times New Roman" w:ascii="Times New Roman" w:hAnsi="Times New Roman"/>
          <w:color w:val="000080"/>
          <w:sz w:val="22"/>
        </w:rPr>
        <w:t xml:space="preserve">.  Notwithstanding that an Event of Force Majeure may otherwise exist, the provisions of this Article XVIII shall not excuse: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late delivery of equipment or materials caused by Seller, or caused by any of the subcontractors, component manufacturers and suppliers of Seller if Seller could have avoided such late delivery by exercising all reasonable endeavors as a commercially reasonable equipment supplier;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late performance by Seller caused by Seller’s failure to engage qualified subcontractors and suppliers or to hire an adequate number of personnel or labor or by inefficiencies on the part of Seller;</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 xml:space="preserve">failures or delays due to problems relating to the development of fuel cell technology or the manufacturing process to product the technology; and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failure of Seller to act in accordance with industry standards, including, but not limited to, failure to ship the Equipment in a commercially reasonable manner.</w:t>
      </w:r>
    </w:p>
    <w:p>
      <w:pPr>
        <w:pStyle w:val="Normal"/>
        <w:widowControl/>
        <w:ind w:hanging="144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18.6</w:t>
        <w:tab/>
      </w:r>
      <w:r>
        <w:rPr>
          <w:rFonts w:cs="Times New Roman" w:ascii="Times New Roman" w:hAnsi="Times New Roman"/>
          <w:color w:val="000080"/>
          <w:sz w:val="22"/>
          <w:u w:val="single"/>
        </w:rPr>
        <w:t>Continued Performance</w:t>
      </w:r>
      <w:r>
        <w:fldChar w:fldCharType="begin"/>
      </w:r>
      <w:r>
        <w:rPr/>
        <w:instrText xml:space="preserve"> TC "18.6</w:instrText>
        <w:tab/>
        <w:instrText xml:space="preserve">Continued Performance" \l 2 </w:instrText>
      </w:r>
      <w:r>
        <w:rPr/>
        <w:fldChar w:fldCharType="separate"/>
      </w:r>
      <w:r>
        <w:rPr/>
      </w:r>
      <w:r>
        <w:rPr/>
        <w:fldChar w:fldCharType="end"/>
      </w:r>
      <w:bookmarkStart w:id="127" w:name="__RefHeading___Toc498441838"/>
      <w:bookmarkEnd w:id="127"/>
      <w:r>
        <w:rPr>
          <w:rFonts w:cs="Times New Roman" w:ascii="Times New Roman" w:hAnsi="Times New Roman"/>
          <w:color w:val="000080"/>
          <w:sz w:val="22"/>
        </w:rPr>
        <w:t xml:space="preserve">.  Upon the occurrence of any Event of Force Majeure, the parties shall endeavor to continue to perform their obligations under the Agreement so far as reasonably practicable and Seller shall, if reasonably practical,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18.7</w:t>
        <w:tab/>
      </w:r>
      <w:r>
        <w:rPr>
          <w:rFonts w:cs="Times New Roman" w:ascii="Times New Roman" w:hAnsi="Times New Roman"/>
          <w:color w:val="000080"/>
          <w:sz w:val="22"/>
          <w:u w:val="single"/>
        </w:rPr>
        <w:t xml:space="preserve">Force Majeure </w:t>
        <w:noBreakHyphen/>
        <w:t xml:space="preserve"> Delays</w:t>
      </w:r>
      <w:r>
        <w:fldChar w:fldCharType="begin"/>
      </w:r>
      <w:r>
        <w:rPr/>
        <w:instrText xml:space="preserve"> TC "18.7</w:instrText>
        <w:tab/>
        <w:instrText xml:space="preserve">Force Majeure _x001e_ Delays" \l 2 </w:instrText>
      </w:r>
      <w:r>
        <w:rPr/>
        <w:fldChar w:fldCharType="separate"/>
      </w:r>
      <w:r>
        <w:rPr/>
      </w:r>
      <w:r>
        <w:rPr/>
        <w:fldChar w:fldCharType="end"/>
      </w:r>
      <w:bookmarkStart w:id="128" w:name="__RefHeading___Toc498441839"/>
      <w:bookmarkEnd w:id="128"/>
      <w:r>
        <w:rPr>
          <w:rFonts w:cs="Times New Roman" w:ascii="Times New Roman" w:hAnsi="Times New Roman"/>
          <w:color w:val="000080"/>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including an extension of the Guaranteed Acceptance Date, if applicable. Seller’s entitlement to an extension of time shall be conditional upon Seller having used reasonable endeavors to mitigate the delay and Seller not otherwise committed an Event of Seller Default.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18.8</w:t>
        <w:tab/>
      </w:r>
      <w:r>
        <w:rPr>
          <w:rFonts w:cs="Times New Roman" w:ascii="Times New Roman" w:hAnsi="Times New Roman"/>
          <w:color w:val="000080"/>
          <w:sz w:val="22"/>
          <w:u w:val="single"/>
        </w:rPr>
        <w:t xml:space="preserve">Force Majeure </w:t>
        <w:noBreakHyphen/>
        <w:t xml:space="preserve"> Cost</w:t>
      </w:r>
      <w:r>
        <w:fldChar w:fldCharType="begin"/>
      </w:r>
      <w:r>
        <w:rPr/>
        <w:instrText xml:space="preserve"> TC "18.8</w:instrText>
        <w:tab/>
        <w:instrText xml:space="preserve">Force Majeure _x001e_ Cost" \l 2 </w:instrText>
      </w:r>
      <w:r>
        <w:rPr/>
        <w:fldChar w:fldCharType="separate"/>
      </w:r>
      <w:r>
        <w:rPr/>
      </w:r>
      <w:r>
        <w:rPr/>
        <w:fldChar w:fldCharType="end"/>
      </w:r>
      <w:bookmarkStart w:id="129" w:name="__RefHeading___Toc498441840"/>
      <w:bookmarkEnd w:id="129"/>
      <w:r>
        <w:rPr>
          <w:rFonts w:cs="Times New Roman" w:ascii="Times New Roman" w:hAnsi="Times New Roman"/>
          <w:color w:val="000080"/>
          <w:sz w:val="22"/>
        </w:rPr>
        <w:t>.  Seller shall bear its own delay costs occasioned by any Event of Force Majeure for the first forty-five (45)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5.3 and Article XI hereof.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XIX.  </w:t>
      </w:r>
      <w:r>
        <w:rPr>
          <w:rFonts w:cs="Times New Roman" w:ascii="Times New Roman" w:hAnsi="Times New Roman"/>
          <w:color w:val="000080"/>
          <w:sz w:val="22"/>
          <w:u w:val="single"/>
        </w:rPr>
        <w:t>INSURANCE</w:t>
      </w:r>
      <w:r>
        <w:fldChar w:fldCharType="begin"/>
      </w:r>
      <w:r>
        <w:rPr/>
        <w:instrText xml:space="preserve"> TC "ARTICLE XIX.  INSURANCE" \l 1 </w:instrText>
      </w:r>
      <w:r>
        <w:rPr/>
        <w:fldChar w:fldCharType="separate"/>
      </w:r>
      <w:r>
        <w:rPr/>
      </w:r>
      <w:r>
        <w:rPr/>
        <w:fldChar w:fldCharType="end"/>
      </w:r>
      <w:bookmarkStart w:id="130" w:name="__RefHeading___Toc498441841"/>
      <w:bookmarkEnd w:id="130"/>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w:t>
        <w:tab/>
      </w:r>
      <w:r>
        <w:rPr>
          <w:rFonts w:cs="Times New Roman" w:ascii="Times New Roman" w:hAnsi="Times New Roman"/>
          <w:color w:val="000080"/>
          <w:sz w:val="22"/>
          <w:u w:val="single"/>
        </w:rPr>
        <w:t xml:space="preserve">Insurance </w:t>
        <w:noBreakHyphen/>
        <w:t xml:space="preserve"> Seller</w:t>
      </w:r>
      <w:r>
        <w:fldChar w:fldCharType="begin"/>
      </w:r>
      <w:r>
        <w:rPr/>
        <w:instrText xml:space="preserve"> TC "19.1</w:instrText>
        <w:tab/>
        <w:instrText xml:space="preserve">Insurance _x001e_ Seller" \l 2 </w:instrText>
      </w:r>
      <w:r>
        <w:rPr/>
        <w:fldChar w:fldCharType="separate"/>
      </w:r>
      <w:r>
        <w:rPr/>
      </w:r>
      <w:r>
        <w:rPr/>
        <w:fldChar w:fldCharType="end"/>
      </w:r>
      <w:bookmarkStart w:id="131" w:name="__RefHeading___Toc498441842"/>
      <w:bookmarkEnd w:id="131"/>
      <w:r>
        <w:rPr>
          <w:rFonts w:cs="Times New Roman" w:ascii="Times New Roman" w:hAnsi="Times New Roman"/>
          <w:color w:val="000080"/>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19.1.1</w:t>
        <w:tab/>
      </w:r>
      <w:r>
        <w:rPr>
          <w:rFonts w:cs="Times New Roman" w:ascii="Times New Roman" w:hAnsi="Times New Roman"/>
          <w:color w:val="000080"/>
          <w:sz w:val="22"/>
          <w:u w:val="single"/>
        </w:rPr>
        <w:t>All Risk</w:t>
      </w:r>
      <w:r>
        <w:fldChar w:fldCharType="begin"/>
      </w:r>
      <w:r>
        <w:rPr/>
        <w:instrText xml:space="preserve"> TC "19.1.1</w:instrText>
        <w:tab/>
        <w:instrText xml:space="preserve">All Risk" \l 3 </w:instrText>
      </w:r>
      <w:r>
        <w:rPr/>
        <w:fldChar w:fldCharType="separate"/>
      </w:r>
      <w:r>
        <w:rPr/>
      </w:r>
      <w:r>
        <w:rPr/>
        <w:fldChar w:fldCharType="end"/>
      </w:r>
      <w:bookmarkStart w:id="132" w:name="__RefHeading___Toc498441843"/>
      <w:bookmarkEnd w:id="132"/>
      <w:r>
        <w:rPr>
          <w:rFonts w:cs="Times New Roman" w:ascii="Times New Roman" w:hAnsi="Times New Roman"/>
          <w:color w:val="000080"/>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19.1.2</w:t>
        <w:tab/>
      </w:r>
      <w:r>
        <w:rPr>
          <w:rFonts w:cs="Times New Roman" w:ascii="Times New Roman" w:hAnsi="Times New Roman"/>
          <w:color w:val="000080"/>
          <w:sz w:val="22"/>
          <w:u w:val="single"/>
        </w:rPr>
        <w:t>Workers Compensation and Employers Liability Insurance</w:t>
      </w:r>
      <w:r>
        <w:fldChar w:fldCharType="begin"/>
      </w:r>
      <w:r>
        <w:rPr/>
        <w:instrText xml:space="preserve"> TC "19.1.2</w:instrText>
        <w:tab/>
        <w:instrText xml:space="preserve">Workers Compensation and Employers Liability Insurance" \l 3 </w:instrText>
      </w:r>
      <w:r>
        <w:rPr/>
        <w:fldChar w:fldCharType="separate"/>
      </w:r>
      <w:r>
        <w:rPr/>
      </w:r>
      <w:r>
        <w:rPr/>
        <w:fldChar w:fldCharType="end"/>
      </w:r>
      <w:bookmarkStart w:id="133" w:name="__RefHeading___Toc498441844"/>
      <w:bookmarkEnd w:id="133"/>
      <w:r>
        <w:rPr>
          <w:rFonts w:cs="Times New Roman" w:ascii="Times New Roman" w:hAnsi="Times New Roman"/>
          <w:color w:val="000080"/>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Workers Compensation</w:t>
        <w:tab/>
        <w:t>Statutory</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Employers Liability</w:t>
        <w:tab/>
        <w:tab/>
        <w:t>$1,000,000 Each Accident</w:t>
      </w:r>
    </w:p>
    <w:p>
      <w:pPr>
        <w:pStyle w:val="Normal"/>
        <w:widowControl/>
        <w:spacing w:lineRule="auto" w:line="300"/>
        <w:ind w:firstLine="3600" w:end="0"/>
        <w:rPr>
          <w:rFonts w:ascii="Times New Roman" w:hAnsi="Times New Roman" w:cs="Times New Roman"/>
          <w:color w:val="000080"/>
          <w:sz w:val="22"/>
        </w:rPr>
      </w:pPr>
      <w:r>
        <w:rPr>
          <w:rFonts w:cs="Times New Roman" w:ascii="Times New Roman" w:hAnsi="Times New Roman"/>
          <w:color w:val="000080"/>
          <w:sz w:val="22"/>
        </w:rPr>
        <w:t xml:space="preserve">$1,000,000 Disease </w:t>
      </w:r>
    </w:p>
    <w:p>
      <w:pPr>
        <w:pStyle w:val="Normal"/>
        <w:widowControl/>
        <w:ind w:firstLine="3600" w:end="0"/>
        <w:rPr>
          <w:rFonts w:ascii="Times New Roman" w:hAnsi="Times New Roman" w:cs="Times New Roman"/>
          <w:color w:val="000080"/>
          <w:sz w:val="22"/>
        </w:rPr>
      </w:pPr>
      <w:r>
        <w:rPr>
          <w:rFonts w:cs="Times New Roman" w:ascii="Times New Roman" w:hAnsi="Times New Roman"/>
          <w:color w:val="000080"/>
          <w:sz w:val="22"/>
        </w:rPr>
        <w:t>Each Employee (Minimum)</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19.1.3</w:t>
        <w:tab/>
      </w:r>
      <w:r>
        <w:rPr>
          <w:rFonts w:cs="Times New Roman" w:ascii="Times New Roman" w:hAnsi="Times New Roman"/>
          <w:color w:val="000080"/>
          <w:sz w:val="22"/>
          <w:u w:val="single"/>
        </w:rPr>
        <w:t>Commercial General Liability Insurance</w:t>
      </w:r>
      <w:r>
        <w:fldChar w:fldCharType="begin"/>
      </w:r>
      <w:r>
        <w:rPr/>
        <w:instrText xml:space="preserve"> TC "19.1.3</w:instrText>
        <w:tab/>
        <w:instrText xml:space="preserve">Commercial General Liability Insurance" \l 3 </w:instrText>
      </w:r>
      <w:r>
        <w:rPr/>
        <w:fldChar w:fldCharType="separate"/>
      </w:r>
      <w:r>
        <w:rPr/>
      </w:r>
      <w:r>
        <w:rPr/>
        <w:fldChar w:fldCharType="end"/>
      </w:r>
      <w:bookmarkStart w:id="134" w:name="__RefHeading___Toc498441845"/>
      <w:bookmarkEnd w:id="134"/>
      <w:r>
        <w:rPr>
          <w:rFonts w:cs="Times New Roman" w:ascii="Times New Roman" w:hAnsi="Times New Roman"/>
          <w:color w:val="000080"/>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Bodily Injury and</w:t>
        <w:tab/>
        <w:tab/>
        <w:t xml:space="preserve">$1,000,000 Combined Single Limit </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Property Damage</w:t>
        <w:tab/>
        <w:tab/>
        <w:t>Each Occurrence, (Minimum)</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19.1.4</w:t>
        <w:tab/>
      </w:r>
      <w:r>
        <w:rPr>
          <w:rFonts w:cs="Times New Roman" w:ascii="Times New Roman" w:hAnsi="Times New Roman"/>
          <w:color w:val="000080"/>
          <w:sz w:val="22"/>
          <w:u w:val="single"/>
        </w:rPr>
        <w:t>Business Automobile Liability Insurance</w:t>
      </w:r>
      <w:r>
        <w:fldChar w:fldCharType="begin"/>
      </w:r>
      <w:r>
        <w:rPr/>
        <w:instrText xml:space="preserve"> TC "19.1.4</w:instrText>
        <w:tab/>
        <w:instrText xml:space="preserve">Business Automobile Liability Insurance" \l 3 </w:instrText>
      </w:r>
      <w:r>
        <w:rPr/>
        <w:fldChar w:fldCharType="separate"/>
      </w:r>
      <w:r>
        <w:rPr/>
      </w:r>
      <w:r>
        <w:rPr/>
        <w:fldChar w:fldCharType="end"/>
      </w:r>
      <w:bookmarkStart w:id="135" w:name="__RefHeading___Toc498441846"/>
      <w:bookmarkEnd w:id="135"/>
      <w:r>
        <w:rPr>
          <w:rFonts w:cs="Times New Roman" w:ascii="Times New Roman" w:hAnsi="Times New Roman"/>
          <w:color w:val="000080"/>
          <w:sz w:val="22"/>
        </w:rPr>
        <w:t>.  Seller shall provide Business Automobile Liability Insurance which shall include the following coverage for all owned, non</w:t>
        <w:noBreakHyphen/>
        <w:t>owned and hired vehicles: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 xml:space="preserve">Bodily Injury </w:t>
        <w:tab/>
        <w:t xml:space="preserve">  </w:t>
        <w:tab/>
        <w:t>$1,000,000 Each Person  (Minimum)</w:t>
      </w:r>
    </w:p>
    <w:p>
      <w:pPr>
        <w:pStyle w:val="Normal"/>
        <w:widowControl/>
        <w:spacing w:lineRule="auto" w:line="300"/>
        <w:ind w:firstLine="720" w:start="2160" w:end="0"/>
        <w:rPr>
          <w:rFonts w:ascii="Times New Roman" w:hAnsi="Times New Roman" w:cs="Times New Roman"/>
          <w:color w:val="000080"/>
          <w:sz w:val="22"/>
        </w:rPr>
      </w:pPr>
      <w:r>
        <w:rPr>
          <w:rFonts w:cs="Times New Roman" w:ascii="Times New Roman" w:hAnsi="Times New Roman"/>
          <w:color w:val="000080"/>
          <w:sz w:val="22"/>
        </w:rPr>
        <w:t>$1,000,000 Each Occurrence (Minimum)</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 xml:space="preserve">Property Damage </w:t>
        <w:tab/>
        <w:t>$1,000,000 Each Occurrence (Minimum)</w:t>
      </w:r>
    </w:p>
    <w:p>
      <w:pPr>
        <w:pStyle w:val="Normal"/>
        <w:widowControl/>
        <w:ind w:firstLine="720" w:start="720" w:end="0"/>
        <w:rPr>
          <w:rFonts w:ascii="Times New Roman" w:hAnsi="Times New Roman" w:cs="Times New Roman"/>
          <w:color w:val="000080"/>
          <w:sz w:val="22"/>
        </w:rPr>
      </w:pPr>
      <w:r>
        <w:rPr>
          <w:rFonts w:cs="Times New Roman" w:ascii="Times New Roman" w:hAnsi="Times New Roman"/>
          <w:color w:val="000080"/>
          <w:sz w:val="22"/>
        </w:rPr>
        <w:t>or</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 xml:space="preserve">Bodily Injury and </w:t>
        <w:tab/>
        <w:t>$1,000,000 Combined Single Limit</w:t>
      </w:r>
    </w:p>
    <w:p>
      <w:pPr>
        <w:pStyle w:val="Normal"/>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 xml:space="preserve">Property Damage </w:t>
        <w:tab/>
        <w:t xml:space="preserve">Each Occurrence (Minimum)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keepNext w:val="true"/>
        <w:keepLines/>
        <w:widowControl/>
        <w:spacing w:lineRule="auto" w:line="300"/>
        <w:rPr/>
      </w:pPr>
      <w:r>
        <w:rPr>
          <w:rFonts w:cs="Times New Roman" w:ascii="Times New Roman" w:hAnsi="Times New Roman"/>
          <w:color w:val="000080"/>
          <w:sz w:val="22"/>
        </w:rPr>
        <w:t>19.1.5</w:t>
        <w:tab/>
      </w:r>
      <w:r>
        <w:rPr>
          <w:rFonts w:cs="Times New Roman" w:ascii="Times New Roman" w:hAnsi="Times New Roman"/>
          <w:color w:val="000080"/>
          <w:sz w:val="22"/>
          <w:u w:val="single"/>
        </w:rPr>
        <w:t>Excess Umbrella Liability Coverage</w:t>
      </w:r>
      <w:r>
        <w:fldChar w:fldCharType="begin"/>
      </w:r>
      <w:r>
        <w:rPr/>
        <w:instrText xml:space="preserve"> TC "19.1.5</w:instrText>
        <w:tab/>
        <w:instrText xml:space="preserve">Excess Umbrella Liability Coverage" \l 3 </w:instrText>
      </w:r>
      <w:r>
        <w:rPr/>
        <w:fldChar w:fldCharType="separate"/>
      </w:r>
      <w:r>
        <w:rPr/>
      </w:r>
      <w:r>
        <w:rPr/>
        <w:fldChar w:fldCharType="end"/>
      </w:r>
      <w:bookmarkStart w:id="136" w:name="__RefHeading___Toc498441847"/>
      <w:bookmarkEnd w:id="136"/>
      <w:r>
        <w:rPr>
          <w:rFonts w:cs="Times New Roman" w:ascii="Times New Roman" w:hAnsi="Times New Roman"/>
          <w:color w:val="000080"/>
          <w:sz w:val="22"/>
        </w:rPr>
        <w:t>.  Seller shall provide Excess Umbrella Liability coverage with minimum limits of:</w:t>
      </w:r>
    </w:p>
    <w:p>
      <w:pPr>
        <w:pStyle w:val="Normal"/>
        <w:keepNext w:val="true"/>
        <w:keepLines/>
        <w:widowControl/>
        <w:ind w:firstLine="720" w:end="0"/>
        <w:rPr>
          <w:rFonts w:ascii="Times New Roman" w:hAnsi="Times New Roman" w:cs="Times New Roman"/>
          <w:color w:val="000080"/>
          <w:sz w:val="22"/>
        </w:rPr>
      </w:pPr>
      <w:r>
        <w:rPr>
          <w:rFonts w:cs="Times New Roman" w:ascii="Times New Roman" w:hAnsi="Times New Roman"/>
          <w:color w:val="000080"/>
          <w:sz w:val="22"/>
        </w:rPr>
      </w:r>
    </w:p>
    <w:p>
      <w:pPr>
        <w:pStyle w:val="Normal"/>
        <w:keepNext w:val="true"/>
        <w:keepLines/>
        <w:widowControl/>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Bodily Injury and</w:t>
        <w:tab/>
        <w:t xml:space="preserve">$5,000,000 Combined Single Limit </w:t>
      </w:r>
    </w:p>
    <w:p>
      <w:pPr>
        <w:pStyle w:val="Normal"/>
        <w:widowControl/>
        <w:ind w:firstLine="720" w:end="0"/>
        <w:rPr>
          <w:rFonts w:ascii="Times New Roman" w:hAnsi="Times New Roman" w:cs="Times New Roman"/>
          <w:color w:val="000080"/>
          <w:sz w:val="22"/>
        </w:rPr>
      </w:pPr>
      <w:r>
        <w:rPr>
          <w:rFonts w:cs="Times New Roman" w:ascii="Times New Roman" w:hAnsi="Times New Roman"/>
          <w:color w:val="000080"/>
          <w:sz w:val="22"/>
        </w:rPr>
        <w:t xml:space="preserve">Property Damage </w:t>
        <w:tab/>
        <w:t xml:space="preserve">Each Occurrence.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19.1.6</w:t>
        <w:tab/>
      </w:r>
      <w:r>
        <w:rPr>
          <w:rFonts w:cs="Times New Roman" w:ascii="Times New Roman" w:hAnsi="Times New Roman"/>
          <w:color w:val="000080"/>
          <w:sz w:val="22"/>
          <w:u w:val="single"/>
        </w:rPr>
        <w:t>Vendors</w:t>
      </w:r>
      <w:r>
        <w:fldChar w:fldCharType="begin"/>
      </w:r>
      <w:r>
        <w:rPr/>
        <w:instrText xml:space="preserve"> TC "19.1.6</w:instrText>
        <w:tab/>
        <w:instrText xml:space="preserve">Vendors" \l 3 </w:instrText>
      </w:r>
      <w:r>
        <w:rPr/>
        <w:fldChar w:fldCharType="separate"/>
      </w:r>
      <w:r>
        <w:rPr/>
      </w:r>
      <w:r>
        <w:rPr/>
        <w:fldChar w:fldCharType="end"/>
      </w:r>
      <w:bookmarkStart w:id="137" w:name="__RefHeading___Toc498441848"/>
      <w:bookmarkEnd w:id="137"/>
      <w:r>
        <w:rPr>
          <w:rFonts w:cs="Times New Roman" w:ascii="Times New Roman" w:hAnsi="Times New Roman"/>
          <w:color w:val="000080"/>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19.1.7</w:t>
        <w:tab/>
      </w:r>
      <w:r>
        <w:rPr>
          <w:rFonts w:cs="Times New Roman" w:ascii="Times New Roman" w:hAnsi="Times New Roman"/>
          <w:color w:val="000080"/>
          <w:sz w:val="22"/>
          <w:u w:val="single"/>
        </w:rPr>
        <w:t>Certificate of Insurance</w:t>
      </w:r>
      <w:r>
        <w:fldChar w:fldCharType="begin"/>
      </w:r>
      <w:r>
        <w:rPr/>
        <w:instrText xml:space="preserve"> TC "19.1.7</w:instrText>
        <w:tab/>
        <w:instrText xml:space="preserve">Certificate of Insurance" \l 3 </w:instrText>
      </w:r>
      <w:r>
        <w:rPr/>
        <w:fldChar w:fldCharType="separate"/>
      </w:r>
      <w:r>
        <w:rPr/>
      </w:r>
      <w:r>
        <w:rPr/>
        <w:fldChar w:fldCharType="end"/>
      </w:r>
      <w:bookmarkStart w:id="138" w:name="__RefHeading___Toc498441849"/>
      <w:bookmarkEnd w:id="138"/>
      <w:r>
        <w:rPr>
          <w:rFonts w:cs="Times New Roman" w:ascii="Times New Roman" w:hAnsi="Times New Roman"/>
          <w:color w:val="000080"/>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19.1.8</w:t>
        <w:tab/>
      </w:r>
      <w:r>
        <w:rPr>
          <w:rFonts w:cs="Times New Roman" w:ascii="Times New Roman" w:hAnsi="Times New Roman"/>
          <w:color w:val="000080"/>
          <w:sz w:val="22"/>
          <w:u w:val="single"/>
        </w:rPr>
        <w:t>Other Requirements</w:t>
      </w:r>
      <w:r>
        <w:fldChar w:fldCharType="begin"/>
      </w:r>
      <w:r>
        <w:rPr/>
        <w:instrText xml:space="preserve"> TC "19.1.8</w:instrText>
        <w:tab/>
        <w:instrText xml:space="preserve">Other Requirements" \l 3 </w:instrText>
      </w:r>
      <w:r>
        <w:rPr/>
        <w:fldChar w:fldCharType="separate"/>
      </w:r>
      <w:r>
        <w:rPr/>
      </w:r>
      <w:r>
        <w:rPr/>
        <w:fldChar w:fldCharType="end"/>
      </w:r>
      <w:bookmarkStart w:id="139" w:name="__RefHeading___Toc498441850"/>
      <w:bookmarkEnd w:id="139"/>
      <w:r>
        <w:rPr>
          <w:rFonts w:cs="Times New Roman" w:ascii="Times New Roman" w:hAnsi="Times New Roman"/>
          <w:color w:val="000080"/>
          <w:sz w:val="22"/>
        </w:rPr>
        <w:t>.  Seller shall be responsible for the payment of all deductible and self insurance retention amounts with respect to the insurance required to be maintained by it pursuant hereto.  All Seller insurance shall:</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Specify Purchaser as additional insured for all insurance coverage other than Worker's Compensation Insurance, or its equivalent as required in jurisdictions other than the United States;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Provide that Purchaser shall have the right, but not any obligation, to pay any premiums if Seller shall fail to do so, and such payment of premiums by Purchaser shall be at Seller’s expense, either by direct charge or setoff; and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w:t>
      </w:r>
    </w:p>
    <w:p>
      <w:pPr>
        <w:pStyle w:val="Normal"/>
        <w:widowControl/>
        <w:tabs>
          <w:tab w:val="clear" w:pos="720"/>
          <w:tab w:val="left" w:pos="-144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19.1.9</w:t>
        <w:tab/>
      </w:r>
      <w:r>
        <w:rPr>
          <w:rFonts w:cs="Times New Roman" w:ascii="Times New Roman" w:hAnsi="Times New Roman"/>
          <w:color w:val="000080"/>
          <w:sz w:val="22"/>
          <w:u w:val="single"/>
        </w:rPr>
        <w:t>Compliance with Insurance</w:t>
      </w:r>
      <w:r>
        <w:fldChar w:fldCharType="begin"/>
      </w:r>
      <w:r>
        <w:rPr/>
        <w:instrText xml:space="preserve"> TC "19.1.9</w:instrText>
        <w:tab/>
        <w:instrText xml:space="preserve">Compliance with Insurance" \l 3 </w:instrText>
      </w:r>
      <w:r>
        <w:rPr/>
        <w:fldChar w:fldCharType="separate"/>
      </w:r>
      <w:r>
        <w:rPr/>
      </w:r>
      <w:r>
        <w:rPr/>
        <w:fldChar w:fldCharType="end"/>
      </w:r>
      <w:bookmarkStart w:id="140" w:name="__RefHeading___Toc498441851"/>
      <w:bookmarkEnd w:id="140"/>
      <w:r>
        <w:rPr>
          <w:rFonts w:cs="Times New Roman" w:ascii="Times New Roman" w:hAnsi="Times New Roman"/>
          <w:color w:val="000080"/>
          <w:sz w:val="22"/>
        </w:rPr>
        <w:t>.  Seller and their directors, officer, representatives, agents and employees shall comply with all the terms of the policies of insurance referred to in this Section 19.1.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19.1.9.]</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19.1.10</w:t>
        <w:tab/>
      </w:r>
      <w:r>
        <w:rPr>
          <w:rFonts w:cs="Times New Roman" w:ascii="Times New Roman" w:hAnsi="Times New Roman"/>
          <w:color w:val="000080"/>
          <w:sz w:val="22"/>
          <w:u w:val="single"/>
        </w:rPr>
        <w:t>Limitation</w:t>
      </w:r>
      <w:r>
        <w:fldChar w:fldCharType="begin"/>
      </w:r>
      <w:r>
        <w:rPr/>
        <w:instrText xml:space="preserve"> TC "19.1.10</w:instrText>
        <w:tab/>
        <w:instrText xml:space="preserve">Limitation" \l 3 </w:instrText>
      </w:r>
      <w:r>
        <w:rPr/>
        <w:fldChar w:fldCharType="separate"/>
      </w:r>
      <w:r>
        <w:rPr/>
      </w:r>
      <w:r>
        <w:rPr/>
        <w:fldChar w:fldCharType="end"/>
      </w:r>
      <w:bookmarkStart w:id="141" w:name="__RefHeading___Toc498441852"/>
      <w:bookmarkEnd w:id="141"/>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19.1.10.1</w:t>
      </w:r>
      <w:r>
        <w:fldChar w:fldCharType="begin"/>
      </w:r>
      <w:r>
        <w:rPr/>
        <w:instrText xml:space="preserve"> TC "19.1.10.1" \l 3 </w:instrText>
      </w:r>
      <w:r>
        <w:rPr/>
        <w:fldChar w:fldCharType="separate"/>
      </w:r>
      <w:r>
        <w:rPr/>
      </w:r>
      <w:r>
        <w:rPr/>
        <w:fldChar w:fldCharType="end"/>
      </w:r>
      <w:bookmarkStart w:id="142" w:name="__RefHeading___Toc498441853"/>
      <w:bookmarkEnd w:id="142"/>
      <w:r>
        <w:rPr>
          <w:rFonts w:cs="Times New Roman" w:ascii="Times New Roman" w:hAnsi="Times New Roman"/>
          <w:color w:val="000080"/>
          <w:sz w:val="22"/>
        </w:rPr>
        <w:tab/>
        <w:t>In the event that Seller breaches its obligations under the first two sentences of Section 19.1.9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19.1.10.2</w:t>
      </w:r>
      <w:r>
        <w:fldChar w:fldCharType="begin"/>
      </w:r>
      <w:r>
        <w:rPr/>
        <w:instrText xml:space="preserve"> TC "19.1.10.2" \l 3 </w:instrText>
      </w:r>
      <w:r>
        <w:rPr/>
        <w:fldChar w:fldCharType="separate"/>
      </w:r>
      <w:r>
        <w:rPr/>
      </w:r>
      <w:r>
        <w:rPr/>
        <w:fldChar w:fldCharType="end"/>
      </w:r>
      <w:bookmarkStart w:id="143" w:name="__RefHeading___Toc498441854"/>
      <w:bookmarkEnd w:id="143"/>
      <w:r>
        <w:rPr>
          <w:rFonts w:cs="Times New Roman" w:ascii="Times New Roman" w:hAnsi="Times New Roman"/>
          <w:color w:val="000080"/>
        </w:rPr>
        <w:tab/>
      </w:r>
      <w:r>
        <w:rPr>
          <w:rFonts w:cs="Times New Roman" w:ascii="Times New Roman" w:hAnsi="Times New Roman"/>
          <w:color w:val="000080"/>
          <w:sz w:val="22"/>
        </w:rPr>
        <w:t xml:space="preserve">In the event that any Vendor fails to comply with the procedures for claims notification and administration under any policy of insurance obtained by Purchaser pursuant to Section 19.2 of the Agreement or does anything which might render any such </w:t>
      </w:r>
      <w:r>
        <w:rPr>
          <w:rFonts w:cs="Times New Roman" w:ascii="Times New Roman" w:hAnsi="Times New Roman"/>
          <w:color w:val="000080"/>
          <w:sz w:val="20"/>
        </w:rPr>
        <w:t>policy</w:t>
      </w:r>
      <w:r>
        <w:rPr>
          <w:rFonts w:cs="Times New Roman" w:ascii="Times New Roman" w:hAnsi="Times New Roman"/>
          <w:color w:val="000080"/>
          <w:sz w:val="22"/>
        </w:rPr>
        <w:t xml:space="preserve">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rPr>
          <w:rFonts w:ascii="Times New Roman" w:hAnsi="Times New Roman" w:cs="Times New Roman"/>
          <w:color w:val="000080"/>
          <w:sz w:val="20"/>
        </w:rPr>
      </w:pPr>
      <w:r>
        <w:rPr>
          <w:rFonts w:cs="Times New Roman" w:ascii="Times New Roman" w:hAnsi="Times New Roman"/>
          <w:color w:val="000080"/>
          <w:sz w:val="20"/>
        </w:rPr>
      </w:r>
    </w:p>
    <w:p>
      <w:pPr>
        <w:pStyle w:val="Normal"/>
        <w:widowControl/>
        <w:spacing w:lineRule="auto" w:line="300"/>
        <w:rPr/>
      </w:pPr>
      <w:r>
        <w:rPr>
          <w:rFonts w:cs="Times New Roman" w:ascii="Times New Roman" w:hAnsi="Times New Roman"/>
          <w:color w:val="000080"/>
          <w:sz w:val="22"/>
        </w:rPr>
        <w:t>19.2</w:t>
        <w:tab/>
      </w:r>
      <w:r>
        <w:rPr>
          <w:rFonts w:cs="Times New Roman" w:ascii="Times New Roman" w:hAnsi="Times New Roman"/>
          <w:color w:val="000080"/>
          <w:sz w:val="22"/>
          <w:u w:val="single"/>
        </w:rPr>
        <w:t>Insurance - Purchaser</w:t>
      </w:r>
      <w:r>
        <w:fldChar w:fldCharType="begin"/>
      </w:r>
      <w:r>
        <w:rPr/>
        <w:instrText xml:space="preserve"> TC "19.2</w:instrText>
        <w:tab/>
        <w:instrText xml:space="preserve">Insurance - Purchaser" \l 2 </w:instrText>
      </w:r>
      <w:r>
        <w:rPr/>
        <w:fldChar w:fldCharType="separate"/>
      </w:r>
      <w:r>
        <w:rPr/>
      </w:r>
      <w:r>
        <w:rPr/>
        <w:fldChar w:fldCharType="end"/>
      </w:r>
      <w:bookmarkStart w:id="144" w:name="__RefHeading___Toc498441855"/>
      <w:bookmarkEnd w:id="144"/>
      <w:r>
        <w:rPr>
          <w:rFonts w:cs="Times New Roman" w:ascii="Times New Roman" w:hAnsi="Times New Roman"/>
          <w:color w:val="000080"/>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ab/>
        <w:t>(a)</w:t>
        <w:tab/>
        <w:t>For all insurance coverage related to Scope of Work, Purchaser waives any right of subrogation against Seller, its Affiliates, and its directors, officers, employees and agents, and all other named and additional insured and any other right of the insurer to any setoff or counterclaim or any other deduction, whether by attachment or otherwise, in respect of any liability of Seller, or any other named or additional insured.</w:t>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spacing w:lineRule="auto" w:line="300"/>
        <w:rPr>
          <w:rFonts w:ascii="Times New Roman" w:hAnsi="Times New Roman" w:cs="Times New Roman"/>
          <w:color w:val="000080"/>
          <w:sz w:val="22"/>
        </w:rPr>
      </w:pPr>
      <w:r>
        <w:rPr>
          <w:rFonts w:cs="Times New Roman" w:ascii="Times New Roman" w:hAnsi="Times New Roman"/>
          <w:color w:val="000080"/>
          <w:sz w:val="22"/>
        </w:rPr>
        <w:tab/>
        <w:t>(b)</w:t>
        <w:tab/>
      </w:r>
      <w:r>
        <w:rPr>
          <w:rFonts w:cs="Times New Roman" w:ascii="Times New Roman" w:hAnsi="Times New Roman"/>
          <w:b/>
          <w:bCs/>
          <w:color w:val="000080"/>
          <w:sz w:val="22"/>
        </w:rPr>
        <w:t xml:space="preserve">[Enron to complete statement as </w:t>
      </w:r>
      <w:r>
        <w:rPr>
          <w:rFonts w:cs="Times New Roman" w:ascii="Times New Roman" w:hAnsi="Times New Roman"/>
          <w:color w:val="000080"/>
          <w:sz w:val="22"/>
        </w:rPr>
        <w:t>to</w:t>
      </w:r>
      <w:r>
        <w:rPr>
          <w:rFonts w:cs="Times New Roman" w:ascii="Times New Roman" w:hAnsi="Times New Roman"/>
          <w:b/>
          <w:bCs/>
          <w:color w:val="000080"/>
          <w:sz w:val="22"/>
        </w:rPr>
        <w:t xml:space="preserve"> coverage for General Liability and Errors &amp; Omissions]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19.3</w:t>
        <w:tab/>
      </w:r>
      <w:r>
        <w:rPr>
          <w:rFonts w:cs="Times New Roman" w:ascii="Times New Roman" w:hAnsi="Times New Roman"/>
          <w:color w:val="000080"/>
          <w:sz w:val="22"/>
          <w:u w:val="single"/>
        </w:rPr>
        <w:t>Primary Insurance</w:t>
      </w:r>
      <w:r>
        <w:fldChar w:fldCharType="begin"/>
      </w:r>
      <w:r>
        <w:rPr/>
        <w:instrText xml:space="preserve"> TC "19.3</w:instrText>
        <w:tab/>
        <w:instrText xml:space="preserve">Primary Insurance" \l 2 </w:instrText>
      </w:r>
      <w:r>
        <w:rPr/>
        <w:fldChar w:fldCharType="separate"/>
      </w:r>
      <w:r>
        <w:rPr/>
      </w:r>
      <w:r>
        <w:rPr/>
        <w:fldChar w:fldCharType="end"/>
      </w:r>
      <w:bookmarkStart w:id="145" w:name="__RefHeading___Toc498441856"/>
      <w:bookmarkEnd w:id="145"/>
      <w:r>
        <w:rPr>
          <w:rFonts w:cs="Times New Roman" w:ascii="Times New Roman" w:hAnsi="Times New Roman"/>
          <w:color w:val="000080"/>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  </w:t>
      </w:r>
      <w:r>
        <w:rPr>
          <w:rFonts w:cs="Times New Roman" w:ascii="Times New Roman" w:hAnsi="Times New Roman"/>
          <w:color w:val="000080"/>
          <w:sz w:val="22"/>
          <w:u w:val="single"/>
        </w:rPr>
        <w:t>INDEMNIFICATION</w:t>
      </w:r>
      <w:r>
        <w:fldChar w:fldCharType="begin"/>
      </w:r>
      <w:r>
        <w:rPr/>
        <w:instrText xml:space="preserve"> TC "ARTICLE XX.  INDEMNIFICATION" \l 1 </w:instrText>
      </w:r>
      <w:r>
        <w:rPr/>
        <w:fldChar w:fldCharType="separate"/>
      </w:r>
      <w:r>
        <w:rPr/>
      </w:r>
      <w:r>
        <w:rPr/>
        <w:fldChar w:fldCharType="end"/>
      </w:r>
      <w:bookmarkStart w:id="146" w:name="__RefHeading___Toc498441857"/>
      <w:bookmarkEnd w:id="146"/>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20.1</w:t>
        <w:tab/>
      </w:r>
      <w:r>
        <w:rPr>
          <w:rFonts w:cs="Times New Roman" w:ascii="Times New Roman" w:hAnsi="Times New Roman"/>
          <w:color w:val="000080"/>
          <w:sz w:val="22"/>
          <w:u w:val="single"/>
        </w:rPr>
        <w:t>Third Party</w:t>
      </w:r>
      <w:r>
        <w:fldChar w:fldCharType="begin"/>
      </w:r>
      <w:r>
        <w:rPr/>
        <w:instrText xml:space="preserve"> TC "20.1</w:instrText>
        <w:tab/>
        <w:instrText xml:space="preserve">Third Party" \l 2 </w:instrText>
      </w:r>
      <w:r>
        <w:rPr/>
        <w:fldChar w:fldCharType="separate"/>
      </w:r>
      <w:r>
        <w:rPr/>
      </w:r>
      <w:r>
        <w:rPr/>
        <w:fldChar w:fldCharType="end"/>
      </w:r>
      <w:bookmarkStart w:id="147" w:name="__RefHeading___Toc498441858"/>
      <w:bookmarkEnd w:id="147"/>
      <w:r>
        <w:rPr>
          <w:rFonts w:cs="Times New Roman" w:ascii="Times New Roman" w:hAnsi="Times New Roman"/>
          <w:color w:val="000080"/>
          <w:sz w:val="22"/>
        </w:rPr>
        <w:t xml:space="preserve">.  SELLER AGREES TO INDEMNIFY, PROTECT, DEFEND, AND HOLD HARMLESS PURCHASER AND ITS DIRECTORS, OFFICERS AND EMPLOYEES AND AFFILIATES, AND THE DIRECTORS, OFFICERS EMPLOYEES OF PURCHASER'S AFFILIATES (“INDEMNIFIED PARTIES”), FROM AND AGAINST ANY AND ALL DEMANDS, LIENS OR OTHER ENCUMBRANCES ON PURCHASER OR ITS PROPERTY (INCLUDING THE FACILITY), CLAIMS, SUITS AND CAUSES OF ACTION OF THIRD PARTIES AGAINST PURCHASER INDEMNIFIED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BASED UPON, IN CONNECTION WITH, RELATING TO OR ARISING OUT OF THE AGREEMENT OR SELLER’S PERFORMANCE UNDER THIS AGREEMENT, INCLUDING, WITHOUT LIMITATION, ANY FAILURE TO COMPLY WITH ANY APPLICABLE LAWS;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20.2</w:t>
        <w:tab/>
      </w:r>
      <w:r>
        <w:rPr>
          <w:rFonts w:cs="Times New Roman" w:ascii="Times New Roman" w:hAnsi="Times New Roman"/>
          <w:color w:val="000080"/>
          <w:sz w:val="22"/>
          <w:u w:val="single"/>
        </w:rPr>
        <w:t>Notice</w:t>
      </w:r>
      <w:r>
        <w:fldChar w:fldCharType="begin"/>
      </w:r>
      <w:r>
        <w:rPr/>
        <w:instrText xml:space="preserve"> TC "20.2</w:instrText>
        <w:tab/>
        <w:instrText xml:space="preserve">Notice" \l 2 </w:instrText>
      </w:r>
      <w:r>
        <w:rPr/>
        <w:fldChar w:fldCharType="separate"/>
      </w:r>
      <w:r>
        <w:rPr/>
      </w:r>
      <w:r>
        <w:rPr/>
        <w:fldChar w:fldCharType="end"/>
      </w:r>
      <w:bookmarkStart w:id="148" w:name="__RefHeading___Toc498441859"/>
      <w:bookmarkEnd w:id="148"/>
      <w:r>
        <w:rPr>
          <w:rFonts w:cs="Times New Roman" w:ascii="Times New Roman" w:hAnsi="Times New Roman"/>
          <w:color w:val="000080"/>
          <w:sz w:val="22"/>
        </w:rPr>
        <w:t>.  If the Indemnified Party intends to seek indemnification under this Article from Seller with respect to any action or claim, the Indemnified Party shall give Seller  prompt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fifteen (15) business days prior to the last Day for responding to such claim or action; or</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t>(b)</w:t>
        <w:tab/>
        <w:t>one</w:t>
        <w:noBreakHyphen/>
        <w:t>half of the period allowed for responding to such claim or action.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20.3</w:t>
        <w:tab/>
      </w:r>
      <w:r>
        <w:rPr>
          <w:rFonts w:cs="Times New Roman" w:ascii="Times New Roman" w:hAnsi="Times New Roman"/>
          <w:color w:val="000080"/>
          <w:sz w:val="22"/>
          <w:u w:val="single"/>
        </w:rPr>
        <w:t>Survival of Obligation</w:t>
      </w:r>
      <w:r>
        <w:fldChar w:fldCharType="begin"/>
      </w:r>
      <w:r>
        <w:rPr/>
        <w:instrText xml:space="preserve"> TC "20.3</w:instrText>
        <w:tab/>
        <w:instrText xml:space="preserve">Survival of Obligation" \l 2 </w:instrText>
      </w:r>
      <w:r>
        <w:rPr/>
        <w:fldChar w:fldCharType="separate"/>
      </w:r>
      <w:r>
        <w:rPr/>
      </w:r>
      <w:r>
        <w:rPr/>
        <w:fldChar w:fldCharType="end"/>
      </w:r>
      <w:bookmarkStart w:id="149" w:name="__RefHeading___Toc498441860"/>
      <w:bookmarkEnd w:id="149"/>
      <w:r>
        <w:rPr>
          <w:rFonts w:cs="Times New Roman" w:ascii="Times New Roman" w:hAnsi="Times New Roman"/>
          <w:color w:val="000080"/>
          <w:sz w:val="22"/>
        </w:rPr>
        <w:t>.  The duty to indemnify under this Article XX will continue in full force and effect notwithstanding the expiration or termination of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XXI.  </w:t>
      </w:r>
      <w:r>
        <w:rPr>
          <w:rFonts w:cs="Times New Roman" w:ascii="Times New Roman" w:hAnsi="Times New Roman"/>
          <w:color w:val="000080"/>
          <w:sz w:val="22"/>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150" w:name="__RefHeading___Toc498441861"/>
      <w:bookmarkEnd w:id="150"/>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21.1</w:t>
        <w:tab/>
      </w:r>
      <w:r>
        <w:rPr>
          <w:rFonts w:cs="Times New Roman" w:ascii="Times New Roman" w:hAnsi="Times New Roman"/>
          <w:color w:val="000080"/>
          <w:sz w:val="22"/>
          <w:u w:val="single"/>
        </w:rPr>
        <w:t>Proprietary Information</w:t>
      </w:r>
      <w:r>
        <w:fldChar w:fldCharType="begin"/>
      </w:r>
      <w:r>
        <w:rPr/>
        <w:instrText xml:space="preserve"> TC "21.1</w:instrText>
        <w:tab/>
        <w:instrText xml:space="preserve">Proprietary Information" \l 2 </w:instrText>
      </w:r>
      <w:r>
        <w:rPr/>
        <w:fldChar w:fldCharType="separate"/>
      </w:r>
      <w:r>
        <w:rPr/>
      </w:r>
      <w:r>
        <w:rPr/>
        <w:fldChar w:fldCharType="end"/>
      </w:r>
      <w:bookmarkStart w:id="151" w:name="__RefHeading___Toc498441862"/>
      <w:bookmarkEnd w:id="151"/>
      <w:r>
        <w:rPr>
          <w:rFonts w:cs="Times New Roman" w:ascii="Times New Roman" w:hAnsi="Times New Roman"/>
          <w:color w:val="000080"/>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was developed on its own or furnished to it prior to this Agreement without restriction;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becomes generally available to the public through no fault of either party; or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is received by either party from a third party without restriction and not in breach of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21.2</w:t>
        <w:tab/>
      </w:r>
      <w:r>
        <w:rPr>
          <w:rFonts w:cs="Times New Roman" w:ascii="Times New Roman" w:hAnsi="Times New Roman"/>
          <w:color w:val="000080"/>
          <w:sz w:val="22"/>
          <w:u w:val="single"/>
        </w:rPr>
        <w:t>Press Releases</w:t>
      </w:r>
      <w:r>
        <w:fldChar w:fldCharType="begin"/>
      </w:r>
      <w:r>
        <w:rPr/>
        <w:instrText xml:space="preserve"> TC "21.2</w:instrText>
        <w:tab/>
        <w:instrText xml:space="preserve">Press Releases" \l 2 </w:instrText>
      </w:r>
      <w:r>
        <w:rPr/>
        <w:fldChar w:fldCharType="separate"/>
      </w:r>
      <w:r>
        <w:rPr/>
      </w:r>
      <w:r>
        <w:rPr/>
        <w:fldChar w:fldCharType="end"/>
      </w:r>
      <w:bookmarkStart w:id="152" w:name="__RefHeading___Toc498441863"/>
      <w:bookmarkEnd w:id="152"/>
      <w:r>
        <w:rPr>
          <w:rFonts w:cs="Times New Roman" w:ascii="Times New Roman" w:hAnsi="Times New Roman"/>
          <w:color w:val="000080"/>
          <w:sz w:val="22"/>
        </w:rPr>
        <w:t>.  Both parties shall agree in writing to any  press release, advertisement in the trade press, or tombstone in the financial or trade press issued by either concerning this Agreement, or any work related thereto.</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21.3</w:t>
        <w:tab/>
      </w:r>
      <w:r>
        <w:rPr>
          <w:rFonts w:cs="Times New Roman" w:ascii="Times New Roman" w:hAnsi="Times New Roman"/>
          <w:color w:val="000080"/>
          <w:sz w:val="22"/>
          <w:u w:val="single"/>
        </w:rPr>
        <w:t>Confidentiality</w:t>
      </w:r>
      <w:r>
        <w:fldChar w:fldCharType="begin"/>
      </w:r>
      <w:r>
        <w:rPr/>
        <w:instrText xml:space="preserve"> TC "21.3</w:instrText>
        <w:tab/>
        <w:instrText xml:space="preserve">Confidentiality" \l 2 </w:instrText>
      </w:r>
      <w:r>
        <w:rPr/>
        <w:fldChar w:fldCharType="separate"/>
      </w:r>
      <w:r>
        <w:rPr/>
      </w:r>
      <w:r>
        <w:rPr/>
        <w:fldChar w:fldCharType="end"/>
      </w:r>
      <w:bookmarkStart w:id="153" w:name="__RefHeading___Toc498441864"/>
      <w:bookmarkEnd w:id="153"/>
      <w:r>
        <w:rPr>
          <w:rFonts w:cs="Times New Roman" w:ascii="Times New Roman" w:hAnsi="Times New Roman"/>
          <w:color w:val="000080"/>
          <w:sz w:val="22"/>
        </w:rPr>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firstLine="780" w:start="-60" w:end="0"/>
        <w:rPr>
          <w:rFonts w:ascii="Times New Roman" w:hAnsi="Times New Roman" w:cs="Times New Roman"/>
          <w:color w:val="000080"/>
          <w:sz w:val="22"/>
        </w:rPr>
      </w:pPr>
      <w:r>
        <w:rPr>
          <w:rFonts w:cs="Times New Roman" w:ascii="Times New Roman" w:hAnsi="Times New Roman"/>
          <w:color w:val="000080"/>
          <w:sz w:val="22"/>
        </w:rPr>
        <w:t>(a)</w:t>
        <w:tab/>
        <w:t>“Confidential Information” means all information that is furnished under this Agreement by a party hereto, and which is confidential, proprietary or otherwise not generally available to the public.  Notwithstanding the foregoing, the following will not constitute Confidential Information for purposes of this Agreement:  (i) information that is or becomes generally available to the public other than as a result of a breach of this Agreement by the party receiving such information or its representatives; (ii) information that, prior to being furnished pursuant hereto, was already in the files of the party receiving such information or its representatives from another source not known to be subject to any prohibition against transmitting the information; or (iii) information that becomes available to the party receiving such information or its representatives from another source not known to be subject to any prohibition against transmitting the information.</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(b)</w:t>
        <w:tab/>
        <w:t>In connection with the matters described in this Agreement, each party may provide to the other certain information that is confidential, proprietary or otherwise not generally available to the public.  As a condition to furnishing such information the parties agree as follows:</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(i)</w:t>
        <w:tab/>
      </w:r>
      <w:r>
        <w:rPr>
          <w:rFonts w:cs="Times New Roman" w:ascii="Times New Roman" w:hAnsi="Times New Roman"/>
          <w:color w:val="000080"/>
          <w:sz w:val="22"/>
          <w:u w:val="single"/>
        </w:rPr>
        <w:t>Nondisclosure of Confidential Information</w:t>
      </w:r>
      <w:r>
        <w:rPr>
          <w:rFonts w:cs="Times New Roman" w:ascii="Times New Roman" w:hAnsi="Times New Roman"/>
          <w:color w:val="000080"/>
          <w:sz w:val="22"/>
        </w:rPr>
        <w:t>.  From and after the date hereof, until the date [two] years after the disclosure of the particular Confidential Information, such Confidential Information shall be used solely in connection with the matters contemplated by this Agreement and the recipient of the Confidential Information shall not disclose the Confidential Information to any person other than representatives who need to know the Confidential Information.  It is understood that (i) the representatives shall be informed of the confidential nature of the Confidential Information and the requirement that it not be used other than for the purposes described herein and (ii) in any event, the party receiving Confidential Information shall be responsible for any breach of this Agreement by any of its representatives.  Each party may also disclose the Confidential Information in order to comply with any Applicable Laws.</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(ii)</w:t>
        <w:tab/>
      </w:r>
      <w:r>
        <w:rPr>
          <w:rFonts w:cs="Times New Roman" w:ascii="Times New Roman" w:hAnsi="Times New Roman"/>
          <w:color w:val="000080"/>
          <w:sz w:val="22"/>
          <w:u w:val="single"/>
        </w:rPr>
        <w:t>Return of Information</w:t>
      </w:r>
      <w:r>
        <w:rPr>
          <w:rFonts w:cs="Times New Roman" w:ascii="Times New Roman" w:hAnsi="Times New Roman"/>
          <w:color w:val="000080"/>
          <w:sz w:val="22"/>
        </w:rPr>
        <w:t xml:space="preserve">.  The written Confidential Information, including that portion of the Confidential Information that my be found in analyses, compilations, studies or other documents prepared by or for the party receiving the Confidential Information, will be returned promptly upon any request made during the [two]-year period referred to in Section 21.3(b)(i) above, and no copies shall be retained by the party receiving the Confidential Information or its representatives.  </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firstLine="720" w:end="0"/>
        <w:rPr>
          <w:rFonts w:ascii="Times New Roman" w:hAnsi="Times New Roman" w:cs="Times New Roman"/>
          <w:color w:val="000080"/>
          <w:sz w:val="22"/>
        </w:rPr>
      </w:pPr>
      <w:r>
        <w:rPr>
          <w:rFonts w:cs="Times New Roman" w:ascii="Times New Roman" w:hAnsi="Times New Roman"/>
          <w:color w:val="000080"/>
          <w:sz w:val="22"/>
        </w:rPr>
        <w:t>(c)</w:t>
        <w:tab/>
        <w:t>Notwithstanding the foregoing, either party shall be entitled to disclose the terms and conditions of this Agreement and any data or information acquired by it under or pursuant to this Agreement without the prior consent of the other party:</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(i)</w:t>
        <w:tab/>
        <w:t>to any Affiliate of such party;</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(ii)</w:t>
        <w:tab/>
        <w:t>to potential engineering, procurement and construction contractors, and other such parties in connection with the construction, operation, financing or operation of a Unit or Facility;</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(iii)</w:t>
        <w:tab/>
        <w:t>to potential Lenders and investors;</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ind w:hanging="720" w:start="2160" w:end="0"/>
        <w:rPr>
          <w:rFonts w:ascii="Times New Roman" w:hAnsi="Times New Roman" w:cs="Times New Roman"/>
          <w:color w:val="000080"/>
          <w:sz w:val="22"/>
        </w:rPr>
      </w:pPr>
      <w:r>
        <w:rPr>
          <w:rFonts w:cs="Times New Roman" w:ascii="Times New Roman" w:hAnsi="Times New Roman"/>
          <w:color w:val="000080"/>
          <w:sz w:val="22"/>
        </w:rPr>
        <w:t>(iv)</w:t>
        <w:tab/>
        <w:t>to the extent required by the rules of a relevant and recognized stock exchange;</w:t>
      </w:r>
    </w:p>
    <w:p>
      <w:pPr>
        <w:pStyle w:val="Normal"/>
        <w:widowControl/>
        <w:tabs>
          <w:tab w:val="clear" w:pos="720"/>
          <w:tab w:val="left" w:pos="-1440" w:leader="none"/>
        </w:tabs>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(v)</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(vi)</w:t>
        <w:tab/>
        <w:t>to any insurer under a policy of insurance required to be taken out by either party under the Agreement; or</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t>(vii)</w:t>
        <w:tab/>
        <w:t>to directors, employees, agents and officers of such party;</w:t>
      </w:r>
    </w:p>
    <w:p>
      <w:pPr>
        <w:pStyle w:val="Normal"/>
        <w:widowControl/>
        <w:tabs>
          <w:tab w:val="clear" w:pos="720"/>
          <w:tab w:val="left" w:pos="-1440" w:leader="none"/>
        </w:tabs>
        <w:spacing w:lineRule="auto" w:line="300"/>
        <w:ind w:hanging="720" w:start="216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ind w:start="720" w:end="0"/>
        <w:rPr>
          <w:rFonts w:ascii="Times New Roman" w:hAnsi="Times New Roman" w:cs="Times New Roman"/>
          <w:color w:val="000080"/>
          <w:sz w:val="22"/>
        </w:rPr>
      </w:pPr>
      <w:r>
        <w:rPr>
          <w:rFonts w:cs="Times New Roman" w:ascii="Times New Roman" w:hAnsi="Times New Roman"/>
          <w:color w:val="000080"/>
          <w:sz w:val="22"/>
        </w:rPr>
        <w:tab/>
        <w:t>(viii)</w:t>
        <w:tab/>
        <w:t>to Connecticut Resource Recovery Authority, and other potential assignees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provided that the disclosing party determines in good faith that the recipient has a legitimate need to see such data or information, the recipient has been made aware of and has agreed to be bound in writing by the requirements of this Article XXI and only the minimum amount of such information as is necessary is disclosed.</w:t>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XXII.  </w:t>
      </w:r>
      <w:r>
        <w:rPr>
          <w:rFonts w:cs="Times New Roman" w:ascii="Times New Roman" w:hAnsi="Times New Roman"/>
          <w:color w:val="000080"/>
          <w:sz w:val="22"/>
          <w:u w:val="single"/>
        </w:rPr>
        <w:t>ASSIGNMENT</w:t>
      </w:r>
      <w:r>
        <w:fldChar w:fldCharType="begin"/>
      </w:r>
      <w:r>
        <w:rPr/>
        <w:instrText xml:space="preserve"> TC "ARTICLE XXII.  ASSIGNMENT" \l 1 </w:instrText>
      </w:r>
      <w:r>
        <w:rPr/>
        <w:fldChar w:fldCharType="separate"/>
      </w:r>
      <w:r>
        <w:rPr/>
      </w:r>
      <w:r>
        <w:rPr/>
        <w:fldChar w:fldCharType="end"/>
      </w:r>
      <w:bookmarkStart w:id="154" w:name="__RefHeading___Toc498441865"/>
      <w:bookmarkEnd w:id="154"/>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22.1</w:t>
        <w:tab/>
      </w:r>
      <w:r>
        <w:rPr>
          <w:rFonts w:cs="Times New Roman" w:ascii="Times New Roman" w:hAnsi="Times New Roman"/>
          <w:color w:val="000080"/>
          <w:sz w:val="22"/>
          <w:u w:val="single"/>
        </w:rPr>
        <w:t>Assignment by Seller</w:t>
      </w:r>
      <w:r>
        <w:fldChar w:fldCharType="begin"/>
      </w:r>
      <w:r>
        <w:rPr/>
        <w:instrText xml:space="preserve"> TC "22.1</w:instrText>
        <w:tab/>
        <w:instrText xml:space="preserve">Assignment by Seller" \l 2 </w:instrText>
      </w:r>
      <w:r>
        <w:rPr/>
        <w:fldChar w:fldCharType="separate"/>
      </w:r>
      <w:r>
        <w:rPr/>
      </w:r>
      <w:r>
        <w:rPr/>
        <w:fldChar w:fldCharType="end"/>
      </w:r>
      <w:bookmarkStart w:id="155" w:name="__RefHeading___Toc498441866"/>
      <w:bookmarkEnd w:id="155"/>
      <w:r>
        <w:rPr>
          <w:rFonts w:cs="Times New Roman" w:ascii="Times New Roman" w:hAnsi="Times New Roman"/>
          <w:color w:val="000080"/>
          <w:sz w:val="22"/>
        </w:rPr>
        <w:t>.  This Agreement or any right or obligation contained herein (including the right to place an order), or any Release may be assigned by Seller without Purchaser’s consent to:</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 xml:space="preserve">an Affiliate;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 xml:space="preserve">a joint venture, partnership, or other similar entity in which Seller or Seller's Affiliate is a venturer, partner or participant; or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to an entity that succeeds or acquires to all or substantially all of the assets or business of Seller whether by merger, acquisition or otherwise.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Except for (i) through (iii) above, this Agreement may be assigned by Seller to other parties only upon the prior written consent of Purchaser which shall not be unreasonably withheld or delayed.  When duly assigned in accordance with the foregoing, this Agreement shall be binding upon and shall inure to the benefit of the assignee, and Seller shall have no further liability under this agreement; any other assignment by Seller shall be void and without force or effect. </w:t>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b/>
          <w:bCs/>
          <w:color w:val="000080"/>
          <w:sz w:val="22"/>
        </w:rPr>
      </w:pPr>
      <w:r>
        <w:rPr>
          <w:rFonts w:cs="Times New Roman" w:ascii="Times New Roman" w:hAnsi="Times New Roman"/>
          <w:b/>
          <w:bCs/>
          <w:color w:val="000080"/>
          <w:sz w:val="22"/>
        </w:rPr>
        <w:t>[Enron to provide language that solves the Lender problem]</w:t>
      </w:r>
    </w:p>
    <w:p>
      <w:pPr>
        <w:pStyle w:val="Normal"/>
        <w:widowControl/>
        <w:spacing w:lineRule="auto" w:line="300"/>
        <w:rPr>
          <w:rFonts w:ascii="Times New Roman" w:hAnsi="Times New Roman" w:cs="Times New Roman"/>
          <w:b/>
          <w:bCs/>
          <w:color w:val="000080"/>
          <w:sz w:val="22"/>
        </w:rPr>
      </w:pPr>
      <w:r>
        <w:rPr>
          <w:rFonts w:cs="Times New Roman" w:ascii="Times New Roman" w:hAnsi="Times New Roman"/>
          <w:b/>
          <w:bCs/>
          <w:color w:val="000080"/>
          <w:sz w:val="22"/>
        </w:rPr>
      </w:r>
    </w:p>
    <w:p>
      <w:pPr>
        <w:pStyle w:val="Normal"/>
        <w:widowControl/>
        <w:spacing w:lineRule="auto" w:line="300"/>
        <w:rPr/>
      </w:pPr>
      <w:r>
        <w:rPr>
          <w:rFonts w:cs="Times New Roman" w:ascii="Times New Roman" w:hAnsi="Times New Roman"/>
          <w:color w:val="000080"/>
          <w:sz w:val="22"/>
        </w:rPr>
        <w:t>22.2</w:t>
        <w:tab/>
      </w:r>
      <w:r>
        <w:rPr>
          <w:rFonts w:cs="Times New Roman" w:ascii="Times New Roman" w:hAnsi="Times New Roman"/>
          <w:color w:val="000080"/>
          <w:sz w:val="22"/>
          <w:u w:val="single"/>
        </w:rPr>
        <w:t>Assignment by Purchaser</w:t>
      </w:r>
      <w:r>
        <w:fldChar w:fldCharType="begin"/>
      </w:r>
      <w:r>
        <w:rPr/>
        <w:instrText xml:space="preserve"> TC "22.2</w:instrText>
        <w:tab/>
        <w:instrText xml:space="preserve">Assignment by Purchaser" \l 2 </w:instrText>
      </w:r>
      <w:r>
        <w:rPr/>
        <w:fldChar w:fldCharType="separate"/>
      </w:r>
      <w:r>
        <w:rPr/>
      </w:r>
      <w:r>
        <w:rPr/>
        <w:fldChar w:fldCharType="end"/>
      </w:r>
      <w:bookmarkStart w:id="156" w:name="__RefHeading___Toc498441867"/>
      <w:bookmarkEnd w:id="156"/>
      <w:r>
        <w:rPr>
          <w:rFonts w:cs="Times New Roman" w:ascii="Times New Roman" w:hAnsi="Times New Roman"/>
          <w:color w:val="000080"/>
          <w:sz w:val="22"/>
        </w:rPr>
        <w:t>.  This Agreement or any right or obligation contained herein (including the right to place an order), or any Release may be assigned by Purchaser without Seller’s consent to:</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 xml:space="preserve">an Affiliate;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a joint venture, partnership, or other similar entity in which Purchaser or Purchaser's Affiliate is a venturer, partner or participant;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the Owner of a Facility, including, but not limited to, Connecticut Resource Recovery Authority;</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pPr>
      <w:r>
        <w:rPr>
          <w:rFonts w:cs="Times New Roman" w:ascii="Times New Roman" w:hAnsi="Times New Roman"/>
          <w:color w:val="000080"/>
          <w:sz w:val="22"/>
        </w:rPr>
        <w:t>(iv)</w:t>
        <w:tab/>
      </w:r>
      <w:r>
        <w:rPr>
          <w:rFonts w:cs="Times New Roman" w:ascii="Times New Roman" w:hAnsi="Times New Roman"/>
          <w:b/>
          <w:bCs/>
          <w:color w:val="000080"/>
          <w:sz w:val="22"/>
        </w:rPr>
        <w:t>[to any entity for the purposes of financing]</w:t>
      </w:r>
      <w:r>
        <w:rPr>
          <w:rFonts w:cs="Times New Roman" w:ascii="Times New Roman" w:hAnsi="Times New Roman"/>
          <w:color w:val="000080"/>
          <w:sz w:val="22"/>
        </w:rPr>
        <w:t xml:space="preserve"> or sale of  a Facility, or for the construction of a Facility;</w:t>
      </w:r>
    </w:p>
    <w:p>
      <w:pPr>
        <w:pStyle w:val="Normal"/>
        <w:widowControl/>
        <w:tabs>
          <w:tab w:val="clear" w:pos="720"/>
          <w:tab w:val="left" w:pos="-1440" w:leader="none"/>
        </w:tabs>
        <w:ind w:hanging="720" w:start="1440" w:end="0"/>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(v)</w:t>
        <w:tab/>
        <w:t>to an entity that succeeds or acquires to all or substantially all of the assets or business of Purchaser whether by merger, acquisition or otherwise.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For an assignment under this Section 22.2, Seller shall be entitled to receive a corporate guaranty or other commercially reasonable payment security, from an entity with a credit rating of BBB or better.  Notwithstanding the foregoing, Seller shall have the right to object to an assignment to a competitor of Seller regardless of whether such assignment otherwise meets the requirements of this Article XXII.  As used in this Section 22.2, “competitor” means manufacturers and distributors of fuel cells and products easily substituted for fuel cells.  “Competitor” specifically excludes Enron and CRRA.</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22.3</w:t>
        <w:tab/>
      </w:r>
      <w:r>
        <w:rPr>
          <w:rFonts w:cs="Times New Roman" w:ascii="Times New Roman" w:hAnsi="Times New Roman"/>
          <w:color w:val="000080"/>
          <w:sz w:val="22"/>
          <w:u w:val="single"/>
        </w:rPr>
        <w:t>Assignment after Acceptance</w:t>
      </w:r>
      <w:r>
        <w:fldChar w:fldCharType="begin"/>
      </w:r>
      <w:r>
        <w:rPr/>
        <w:instrText xml:space="preserve"> TC "22.3</w:instrText>
        <w:tab/>
        <w:instrText xml:space="preserve">Assignment after Acceptance" \l 2 </w:instrText>
      </w:r>
      <w:r>
        <w:rPr/>
        <w:fldChar w:fldCharType="separate"/>
      </w:r>
      <w:r>
        <w:rPr/>
      </w:r>
      <w:r>
        <w:rPr/>
        <w:fldChar w:fldCharType="end"/>
      </w:r>
      <w:bookmarkStart w:id="157" w:name="__RefHeading___Toc498441868"/>
      <w:bookmarkEnd w:id="157"/>
      <w:r>
        <w:rPr>
          <w:rFonts w:cs="Times New Roman" w:ascii="Times New Roman" w:hAnsi="Times New Roman"/>
          <w:color w:val="000080"/>
          <w:sz w:val="22"/>
        </w:rPr>
        <w:t>.  Notwithstanding the foregoing, this Agreement (or any right or obligation arising hereunder) or any Release may be assigned without Seller’s consent following payment of the Purchase Amount.  Notwithstanding the foregoing, Seller shall have the right to object to an assignment to a competitor of Seller regardless of whether such assignment otherwise meets the requirements of this Article XXII.</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XXIII.  </w:t>
      </w:r>
      <w:r>
        <w:rPr>
          <w:rFonts w:cs="Times New Roman" w:ascii="Times New Roman" w:hAnsi="Times New Roman"/>
          <w:color w:val="000080"/>
          <w:sz w:val="22"/>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158" w:name="__RefHeading___Toc498441869"/>
      <w:bookmarkEnd w:id="158"/>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23.1</w:t>
        <w:tab/>
      </w:r>
      <w:r>
        <w:rPr>
          <w:rFonts w:cs="Times New Roman" w:ascii="Times New Roman" w:hAnsi="Times New Roman"/>
          <w:color w:val="000080"/>
          <w:sz w:val="22"/>
          <w:u w:val="single"/>
        </w:rPr>
        <w:t>Independent Contractor</w:t>
      </w:r>
      <w:r>
        <w:fldChar w:fldCharType="begin"/>
      </w:r>
      <w:r>
        <w:rPr/>
        <w:instrText xml:space="preserve"> TC "23.1</w:instrText>
        <w:tab/>
        <w:instrText xml:space="preserve">Independent Contractor" \l 2 </w:instrText>
      </w:r>
      <w:r>
        <w:rPr/>
        <w:fldChar w:fldCharType="separate"/>
      </w:r>
      <w:r>
        <w:rPr/>
      </w:r>
      <w:r>
        <w:rPr/>
        <w:fldChar w:fldCharType="end"/>
      </w:r>
      <w:bookmarkStart w:id="159" w:name="__RefHeading___Toc498441870"/>
      <w:bookmarkEnd w:id="159"/>
      <w:r>
        <w:rPr>
          <w:rFonts w:cs="Times New Roman" w:ascii="Times New Roman" w:hAnsi="Times New Roman"/>
          <w:color w:val="000080"/>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Purchaser shall have no responsibility for Seller's acts and the acts of Seller's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23.2</w:t>
        <w:tab/>
      </w:r>
      <w:r>
        <w:rPr>
          <w:rFonts w:cs="Times New Roman" w:ascii="Times New Roman" w:hAnsi="Times New Roman"/>
          <w:color w:val="000080"/>
          <w:sz w:val="22"/>
          <w:u w:val="single"/>
        </w:rPr>
        <w:t>Responsibilities of Seller as Principal for its Agents</w:t>
      </w:r>
      <w:r>
        <w:fldChar w:fldCharType="begin"/>
      </w:r>
      <w:r>
        <w:rPr/>
        <w:instrText xml:space="preserve"> TC "23.2</w:instrText>
        <w:tab/>
        <w:instrText xml:space="preserve">Responsibilities of Seller as Principal for its Agents" \l 2 </w:instrText>
      </w:r>
      <w:r>
        <w:rPr/>
        <w:fldChar w:fldCharType="separate"/>
      </w:r>
      <w:r>
        <w:rPr/>
      </w:r>
      <w:r>
        <w:rPr/>
        <w:fldChar w:fldCharType="end"/>
      </w:r>
      <w:bookmarkStart w:id="160" w:name="__RefHeading___Toc498441871"/>
      <w:bookmarkEnd w:id="160"/>
      <w:r>
        <w:rPr>
          <w:rFonts w:cs="Times New Roman" w:ascii="Times New Roman" w:hAnsi="Times New Roman"/>
          <w:color w:val="000080"/>
          <w:sz w:val="22"/>
        </w:rPr>
        <w:t>.  Seller has complete and sole responsibility as a principal for its agents, Vendors and all other hires to perform or assist in performing the Scope of Work.</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23.3</w:t>
        <w:tab/>
      </w:r>
      <w:r>
        <w:rPr>
          <w:rFonts w:cs="Times New Roman" w:ascii="Times New Roman" w:hAnsi="Times New Roman"/>
          <w:color w:val="000080"/>
          <w:sz w:val="22"/>
          <w:u w:val="single"/>
        </w:rPr>
        <w:t>Employees</w:t>
      </w:r>
      <w:r>
        <w:fldChar w:fldCharType="begin"/>
      </w:r>
      <w:r>
        <w:rPr/>
        <w:instrText xml:space="preserve"> TC "23.3</w:instrText>
        <w:tab/>
        <w:instrText xml:space="preserve">Employees" \l 2 </w:instrText>
      </w:r>
      <w:r>
        <w:rPr/>
        <w:fldChar w:fldCharType="separate"/>
      </w:r>
      <w:r>
        <w:rPr/>
      </w:r>
      <w:r>
        <w:rPr/>
        <w:fldChar w:fldCharType="end"/>
      </w:r>
      <w:bookmarkStart w:id="161" w:name="__RefHeading___Toc498441872"/>
      <w:bookmarkEnd w:id="161"/>
      <w:r>
        <w:rPr>
          <w:rFonts w:cs="Times New Roman" w:ascii="Times New Roman" w:hAnsi="Times New Roman"/>
          <w:color w:val="000080"/>
          <w:sz w:val="22"/>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center" w:pos="5040" w:leader="none"/>
        </w:tabs>
        <w:jc w:val="center"/>
        <w:rPr>
          <w:rFonts w:ascii="Times New Roman" w:hAnsi="Times New Roman" w:cs="Times New Roman"/>
          <w:color w:val="000080"/>
          <w:sz w:val="22"/>
          <w:u w:val="single"/>
        </w:rPr>
      </w:pPr>
      <w:r>
        <w:rPr>
          <w:rFonts w:cs="Times New Roman" w:ascii="Times New Roman" w:hAnsi="Times New Roman"/>
          <w:color w:val="000080"/>
          <w:sz w:val="22"/>
        </w:rPr>
        <w:t xml:space="preserve">ARTICLE XXIV.  </w:t>
      </w:r>
      <w:r>
        <w:rPr>
          <w:rFonts w:cs="Times New Roman" w:ascii="Times New Roman" w:hAnsi="Times New Roman"/>
          <w:color w:val="000080"/>
          <w:sz w:val="22"/>
          <w:u w:val="single"/>
        </w:rPr>
        <w:t>NOTICES AND COMMUNICATIONS</w:t>
      </w:r>
      <w:r>
        <w:fldChar w:fldCharType="begin"/>
      </w:r>
      <w:r>
        <w:rPr/>
        <w:instrText xml:space="preserve"> TC "ARTICLE XXIV.  NOTICES AND COMMUNICATIONS" \l 1 </w:instrText>
      </w:r>
      <w:r>
        <w:rPr/>
        <w:fldChar w:fldCharType="separate"/>
      </w:r>
      <w:r>
        <w:rPr/>
      </w:r>
      <w:r>
        <w:rPr/>
        <w:fldChar w:fldCharType="end"/>
      </w:r>
      <w:bookmarkStart w:id="162" w:name="__RefHeading___Toc498441873"/>
      <w:bookmarkEnd w:id="162"/>
    </w:p>
    <w:p>
      <w:pPr>
        <w:pStyle w:val="Normal"/>
        <w:widowControl/>
        <w:rPr>
          <w:rFonts w:ascii="Times New Roman" w:hAnsi="Times New Roman" w:cs="Times New Roman"/>
          <w:color w:val="000080"/>
          <w:sz w:val="22"/>
          <w:u w:val="single"/>
        </w:rPr>
      </w:pPr>
      <w:r>
        <w:rPr>
          <w:rFonts w:cs="Times New Roman" w:ascii="Times New Roman" w:hAnsi="Times New Roman"/>
          <w:color w:val="000080"/>
          <w:sz w:val="22"/>
          <w:u w:val="single"/>
        </w:rPr>
      </w:r>
    </w:p>
    <w:p>
      <w:pPr>
        <w:pStyle w:val="Normal"/>
        <w:widowControl/>
        <w:spacing w:lineRule="auto" w:line="300"/>
        <w:rPr/>
      </w:pPr>
      <w:r>
        <w:rPr>
          <w:rFonts w:cs="Times New Roman" w:ascii="Times New Roman" w:hAnsi="Times New Roman"/>
          <w:color w:val="000080"/>
          <w:sz w:val="22"/>
        </w:rPr>
        <w:t>24.1</w:t>
        <w:tab/>
      </w:r>
      <w:r>
        <w:rPr>
          <w:rFonts w:cs="Times New Roman" w:ascii="Times New Roman" w:hAnsi="Times New Roman"/>
          <w:color w:val="000080"/>
          <w:sz w:val="22"/>
          <w:u w:val="single"/>
        </w:rPr>
        <w:t>Notices</w:t>
      </w:r>
      <w:r>
        <w:fldChar w:fldCharType="begin"/>
      </w:r>
      <w:r>
        <w:rPr/>
        <w:instrText xml:space="preserve"> TC "24.1</w:instrText>
        <w:tab/>
        <w:instrText xml:space="preserve">Notices" \l 2 </w:instrText>
      </w:r>
      <w:r>
        <w:rPr/>
        <w:fldChar w:fldCharType="separate"/>
      </w:r>
      <w:r>
        <w:rPr/>
      </w:r>
      <w:r>
        <w:rPr/>
        <w:fldChar w:fldCharType="end"/>
      </w:r>
      <w:bookmarkStart w:id="163" w:name="__RefHeading___Toc498441874"/>
      <w:bookmarkEnd w:id="163"/>
      <w:r>
        <w:rPr>
          <w:rFonts w:cs="Times New Roman" w:ascii="Times New Roman" w:hAnsi="Times New Roman"/>
          <w:color w:val="000080"/>
          <w:sz w:val="22"/>
        </w:rPr>
        <w:t>.  Any notice pursuant to the terms and conditions of this Agreement shall be in writing and either: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(a)</w:t>
        <w:tab/>
        <w:t>delivered personally;</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(b)</w:t>
        <w:tab/>
        <w:t>sent by certified mail, (return receipt requested);</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(c)</w:t>
        <w:tab/>
        <w:t>sent by a recognized overnight mail or courier service with delivery receipt required; or</w:t>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(d)</w:t>
        <w:tab/>
        <w:t>sent by confirmed facsimile transfer: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ind w:firstLine="720" w:end="0"/>
        <w:rPr/>
      </w:pPr>
      <w:r>
        <w:rPr>
          <w:rFonts w:cs="Times New Roman" w:ascii="Times New Roman" w:hAnsi="Times New Roman"/>
          <w:color w:val="000080"/>
          <w:sz w:val="22"/>
          <w:u w:val="single"/>
        </w:rPr>
        <w:t xml:space="preserve">Commercial </w:t>
        <w:noBreakHyphen/>
        <w:t xml:space="preserve"> Legal</w:t>
      </w:r>
      <w:r>
        <w:rPr>
          <w:rFonts w:cs="Times New Roman" w:ascii="Times New Roman" w:hAnsi="Times New Roman"/>
          <w:color w:val="000080"/>
          <w:sz w:val="22"/>
        </w:rPr>
        <w: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ind w:firstLine="720" w:end="0"/>
        <w:rPr>
          <w:rFonts w:ascii="Times New Roman" w:hAnsi="Times New Roman" w:cs="Times New Roman"/>
          <w:color w:val="000080"/>
          <w:sz w:val="22"/>
        </w:rPr>
      </w:pPr>
      <w:r>
        <w:rPr>
          <w:rFonts w:cs="Times New Roman" w:ascii="Times New Roman" w:hAnsi="Times New Roman"/>
          <w:color w:val="000080"/>
          <w:sz w:val="22"/>
        </w:rPr>
        <w:t>If to Seller:</w:t>
        <w:tab/>
        <w:tab/>
        <w:tab/>
        <w:tab/>
        <w:tab/>
        <w:t>If to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Either party may change its address or the person to be notified by a notice delivered in accordance with this section.</w:t>
      </w:r>
    </w:p>
    <w:p>
      <w:pPr>
        <w:pStyle w:val="Normal"/>
        <w:widowControl/>
        <w:rPr>
          <w:rFonts w:ascii="Times New Roman" w:hAnsi="Times New Roman" w:cs="Times New Roman"/>
          <w:color w:val="000080"/>
          <w:sz w:val="20"/>
        </w:rPr>
      </w:pPr>
      <w:r>
        <w:rPr>
          <w:rFonts w:cs="Times New Roman" w:ascii="Times New Roman" w:hAnsi="Times New Roman"/>
          <w:color w:val="000080"/>
          <w:sz w:val="20"/>
        </w:rPr>
      </w:r>
    </w:p>
    <w:p>
      <w:pPr>
        <w:pStyle w:val="Normal"/>
        <w:widowControl/>
        <w:spacing w:lineRule="auto" w:line="300"/>
        <w:rPr/>
      </w:pPr>
      <w:r>
        <w:rPr>
          <w:rFonts w:cs="Times New Roman" w:ascii="Times New Roman" w:hAnsi="Times New Roman"/>
          <w:color w:val="000080"/>
          <w:sz w:val="22"/>
        </w:rPr>
        <w:t>24.2</w:t>
        <w:tab/>
      </w:r>
      <w:r>
        <w:rPr>
          <w:rFonts w:cs="Times New Roman" w:ascii="Times New Roman" w:hAnsi="Times New Roman"/>
          <w:color w:val="000080"/>
          <w:sz w:val="22"/>
          <w:u w:val="single"/>
        </w:rPr>
        <w:t>Effectiveness of Notices</w:t>
      </w:r>
      <w:r>
        <w:fldChar w:fldCharType="begin"/>
      </w:r>
      <w:r>
        <w:rPr/>
        <w:instrText xml:space="preserve"> TC "24.2</w:instrText>
        <w:tab/>
        <w:instrText xml:space="preserve">Effectiveness of Notices" \l 2 </w:instrText>
      </w:r>
      <w:r>
        <w:rPr/>
        <w:fldChar w:fldCharType="separate"/>
      </w:r>
      <w:r>
        <w:rPr/>
      </w:r>
      <w:r>
        <w:rPr/>
        <w:fldChar w:fldCharType="end"/>
      </w:r>
      <w:bookmarkStart w:id="164" w:name="__RefHeading___Toc498441875"/>
      <w:bookmarkEnd w:id="164"/>
      <w:r>
        <w:rPr>
          <w:rFonts w:cs="Times New Roman" w:ascii="Times New Roman" w:hAnsi="Times New Roman"/>
          <w:color w:val="000080"/>
          <w:sz w:val="22"/>
        </w:rPr>
        <w:t>.  Notices shall be effective when received  at the address specified.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pPr>
      <w:r>
        <w:rPr>
          <w:rFonts w:cs="Times New Roman" w:ascii="Times New Roman" w:hAnsi="Times New Roman"/>
          <w:color w:val="000080"/>
          <w:sz w:val="22"/>
        </w:rPr>
        <w:t>24.3</w:t>
        <w:tab/>
      </w:r>
      <w:r>
        <w:rPr>
          <w:rFonts w:cs="Times New Roman" w:ascii="Times New Roman" w:hAnsi="Times New Roman"/>
          <w:color w:val="000080"/>
          <w:sz w:val="22"/>
          <w:u w:val="single"/>
        </w:rPr>
        <w:t>Technical Communications</w:t>
      </w:r>
      <w:r>
        <w:fldChar w:fldCharType="begin"/>
      </w:r>
      <w:r>
        <w:rPr/>
        <w:instrText xml:space="preserve"> TC "24.3</w:instrText>
        <w:tab/>
        <w:instrText xml:space="preserve">Technical Communications" \l 2 </w:instrText>
      </w:r>
      <w:r>
        <w:rPr/>
        <w:fldChar w:fldCharType="separate"/>
      </w:r>
      <w:r>
        <w:rPr/>
      </w:r>
      <w:r>
        <w:rPr/>
        <w:fldChar w:fldCharType="end"/>
      </w:r>
      <w:bookmarkStart w:id="165" w:name="__RefHeading___Toc498441876"/>
      <w:bookmarkEnd w:id="165"/>
      <w:r>
        <w:rPr>
          <w:rFonts w:cs="Times New Roman" w:ascii="Times New Roman" w:hAnsi="Times New Roman"/>
          <w:color w:val="000080"/>
          <w:sz w:val="22"/>
        </w:rPr>
        <w:t>.  Notwithstanding communications and notices addresses as set forth in Section 24.1, the parties will route routine and technical communications as follows: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If to Seller:</w:t>
        <w:tab/>
        <w:tab/>
        <w:tab/>
        <w:tab/>
        <w:tab/>
        <w:tab/>
        <w:t>If to Purchaser:</w:t>
        <w:tab/>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tabs>
          <w:tab w:val="clear" w:pos="720"/>
          <w:tab w:val="center" w:pos="5040" w:leader="none"/>
        </w:tabs>
        <w:jc w:val="center"/>
        <w:rPr>
          <w:rFonts w:ascii="Times New Roman" w:hAnsi="Times New Roman" w:cs="Times New Roman"/>
          <w:color w:val="000080"/>
          <w:sz w:val="22"/>
        </w:rPr>
      </w:pPr>
      <w:r>
        <w:rPr>
          <w:rFonts w:cs="Times New Roman" w:ascii="Times New Roman" w:hAnsi="Times New Roman"/>
          <w:color w:val="000080"/>
          <w:sz w:val="22"/>
        </w:rPr>
        <w:t xml:space="preserve">ARTICLE XXV.  </w:t>
      </w:r>
      <w:r>
        <w:rPr>
          <w:rFonts w:cs="Times New Roman" w:ascii="Times New Roman" w:hAnsi="Times New Roman"/>
          <w:color w:val="000080"/>
          <w:sz w:val="22"/>
          <w:u w:val="single"/>
        </w:rPr>
        <w:t>DISPUTE RESOLUTION</w:t>
      </w:r>
      <w:r>
        <w:fldChar w:fldCharType="begin"/>
      </w:r>
      <w:r>
        <w:rPr/>
        <w:instrText xml:space="preserve"> TC "ARTICLE XXV.  DISPUTE RESOLUTION" \l 1 </w:instrText>
      </w:r>
      <w:r>
        <w:rPr/>
        <w:fldChar w:fldCharType="separate"/>
      </w:r>
      <w:r>
        <w:rPr/>
      </w:r>
      <w:r>
        <w:rPr/>
        <w:fldChar w:fldCharType="end"/>
      </w:r>
      <w:bookmarkStart w:id="166" w:name="__RefHeading___Toc498441877"/>
      <w:bookmarkEnd w:id="166"/>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25.1</w:t>
        <w:tab/>
      </w:r>
      <w:r>
        <w:rPr>
          <w:rFonts w:cs="Times New Roman" w:ascii="Times New Roman" w:hAnsi="Times New Roman"/>
          <w:color w:val="000080"/>
          <w:sz w:val="22"/>
          <w:u w:val="single"/>
        </w:rPr>
        <w:t>Negotiation of Disputes</w:t>
      </w:r>
      <w:r>
        <w:fldChar w:fldCharType="begin"/>
      </w:r>
      <w:r>
        <w:rPr/>
        <w:instrText xml:space="preserve"> TC "25.1</w:instrText>
        <w:tab/>
        <w:instrText xml:space="preserve">Negotiation of Disputes" \l 2 </w:instrText>
      </w:r>
      <w:r>
        <w:rPr/>
        <w:fldChar w:fldCharType="separate"/>
      </w:r>
      <w:r>
        <w:rPr/>
      </w:r>
      <w:r>
        <w:rPr/>
        <w:fldChar w:fldCharType="end"/>
      </w:r>
      <w:bookmarkStart w:id="167" w:name="__RefHeading___Toc498441878"/>
      <w:bookmarkEnd w:id="167"/>
      <w:r>
        <w:rPr>
          <w:rFonts w:cs="Times New Roman" w:ascii="Times New Roman" w:hAnsi="Times New Roman"/>
          <w:color w:val="000080"/>
          <w:sz w:val="22"/>
        </w:rPr>
        <w:t>.  If a Dispute arises under this Agreement that cannot be resolved informally by the parties in interest, a party to the Dispute shall invoke the procedures set forth in this Article XXV.  All Disputes will be solely and finally settled by this Article XXV and such procedures.  Nothing in this Article XXV shall preclude any party from seeking a preliminary injunction or other provisional relief, either prior to, during or after the proceedings provided for in this Article XXV, if in its judgment such action is necessary to avoid irreparable damage or to preserve the status quo.</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25.2</w:t>
        <w:tab/>
      </w:r>
      <w:r>
        <w:rPr>
          <w:rFonts w:cs="Times New Roman" w:ascii="Times New Roman" w:hAnsi="Times New Roman"/>
          <w:iCs/>
          <w:color w:val="000080"/>
          <w:sz w:val="22"/>
          <w:u w:val="single"/>
        </w:rPr>
        <w:t>Waiver of Trial by Jury</w:t>
      </w:r>
      <w:r>
        <w:fldChar w:fldCharType="begin"/>
      </w:r>
      <w:r>
        <w:rPr/>
        <w:instrText xml:space="preserve"> TC "25.2</w:instrText>
        <w:tab/>
        <w:instrText xml:space="preserve">Waiver of Trial by Jury" \l 2 </w:instrText>
      </w:r>
      <w:r>
        <w:rPr/>
        <w:fldChar w:fldCharType="separate"/>
      </w:r>
      <w:r>
        <w:rPr/>
      </w:r>
      <w:r>
        <w:rPr/>
        <w:fldChar w:fldCharType="end"/>
      </w:r>
      <w:bookmarkStart w:id="168" w:name="__RefHeading___Toc498441879"/>
      <w:bookmarkEnd w:id="168"/>
      <w:r>
        <w:rPr>
          <w:rFonts w:cs="Times New Roman" w:ascii="Times New Roman" w:hAnsi="Times New Roman"/>
          <w:iCs/>
          <w:color w:val="000080"/>
          <w:sz w:val="22"/>
        </w:rPr>
        <w:t xml:space="preserve">.  </w:t>
      </w:r>
      <w:r>
        <w:rPr>
          <w:rFonts w:cs="Times New Roman" w:ascii="Times New Roman" w:hAnsi="Times New Roman"/>
          <w:color w:val="000080"/>
          <w:sz w:val="22"/>
        </w:rPr>
        <w:t>THE PARTIES, EACH KNOWINGLY, VOLUNTARILY AND INTENTIONALLY WAIVE ANY RIGHT EACH MAY HAVE TO A TRIAL BY JURY IN RESPECT OF ANY LITIGATION BASED HEREON OR ARISING OUT OF, UNDER OR IN CONNECTION WITH THIS AGREEMENT, OR ANY COURSE OF CONDUCT, COURSE OF DEALING, STATEMENTS (WHETHER ORAL OR WRITTEN), OR ACTIONS OF THE OTHER PARTIES IN CONNECTION HEREWITH.</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25.3</w:t>
        <w:tab/>
      </w:r>
      <w:r>
        <w:rPr>
          <w:rFonts w:cs="Times New Roman" w:ascii="Times New Roman" w:hAnsi="Times New Roman"/>
          <w:iCs/>
          <w:color w:val="000080"/>
          <w:sz w:val="22"/>
          <w:u w:val="single"/>
        </w:rPr>
        <w:t>Consent to Jurisdiction</w:t>
      </w:r>
      <w:r>
        <w:fldChar w:fldCharType="begin"/>
      </w:r>
      <w:r>
        <w:rPr/>
        <w:instrText xml:space="preserve"> TC "25.3</w:instrText>
        <w:tab/>
        <w:instrText xml:space="preserve">Consent to Jurisdiction" \l 2 </w:instrText>
      </w:r>
      <w:r>
        <w:rPr/>
        <w:fldChar w:fldCharType="separate"/>
      </w:r>
      <w:r>
        <w:rPr/>
      </w:r>
      <w:r>
        <w:rPr/>
        <w:fldChar w:fldCharType="end"/>
      </w:r>
      <w:bookmarkStart w:id="169" w:name="__RefHeading___Toc498441880"/>
      <w:bookmarkEnd w:id="169"/>
      <w:r>
        <w:rPr>
          <w:rFonts w:cs="Times New Roman" w:ascii="Times New Roman" w:hAnsi="Times New Roman"/>
          <w:iCs/>
          <w:color w:val="000080"/>
          <w:sz w:val="22"/>
        </w:rPr>
        <w:t xml:space="preserve">.  </w:t>
      </w:r>
      <w:r>
        <w:rPr>
          <w:rFonts w:cs="Times New Roman" w:ascii="Times New Roman" w:hAnsi="Times New Roman"/>
          <w:color w:val="000080"/>
          <w:sz w:val="22"/>
        </w:rPr>
        <w:t>The parties each irrevocably consent that any action or proceeding against it under, arising out of or in any manner relating to this Agreement shall be brought in the courts of the State of Connecticut.  The parties hereby each expressly and irrevocably assent and submit to the personal jurisdiction of any such court in any such action or proceeding.  The parties each further irrevocably consent to the service of summons, notice or other process relating to any such action or proceeding by delivery thereof by hand or by mail and consent that it may be served with any process or paper by registered mail or by personal service within or without the State of Connecticut in accordance with applicable law.  The parties each waive any objection, claim or defense which it may have at any time to the laying</w:t>
      </w:r>
      <w:r>
        <w:rPr>
          <w:rFonts w:cs="Times New Roman" w:ascii="Times New Roman" w:hAnsi="Times New Roman"/>
          <w:b/>
          <w:color w:val="000080"/>
          <w:sz w:val="22"/>
        </w:rPr>
        <w:t xml:space="preserve"> </w:t>
      </w:r>
      <w:r>
        <w:rPr>
          <w:rFonts w:cs="Times New Roman" w:ascii="Times New Roman" w:hAnsi="Times New Roman"/>
          <w:color w:val="000080"/>
          <w:sz w:val="22"/>
        </w:rPr>
        <w:t>of venue of any such action or proceeding in any such court; irrevocably waive any claim that any such action or proceeding brought in any such court has been brought</w:t>
      </w:r>
      <w:r>
        <w:rPr>
          <w:rFonts w:cs="Times New Roman" w:ascii="Times New Roman" w:hAnsi="Times New Roman"/>
          <w:b/>
          <w:color w:val="000080"/>
          <w:sz w:val="22"/>
        </w:rPr>
        <w:t xml:space="preserve"> </w:t>
      </w:r>
      <w:r>
        <w:rPr>
          <w:rFonts w:cs="Times New Roman" w:ascii="Times New Roman" w:hAnsi="Times New Roman"/>
          <w:color w:val="000080"/>
          <w:sz w:val="22"/>
        </w:rPr>
        <w:t>in an inconvenient forum; and further irrevocably waive the right to object, with respect</w:t>
      </w:r>
      <w:r>
        <w:rPr>
          <w:rFonts w:cs="Times New Roman" w:ascii="Times New Roman" w:hAnsi="Times New Roman"/>
          <w:b/>
          <w:color w:val="000080"/>
          <w:sz w:val="22"/>
        </w:rPr>
        <w:t xml:space="preserve"> </w:t>
      </w:r>
      <w:r>
        <w:rPr>
          <w:rFonts w:cs="Times New Roman" w:ascii="Times New Roman" w:hAnsi="Times New Roman"/>
          <w:color w:val="000080"/>
          <w:sz w:val="22"/>
        </w:rPr>
        <w:t>to any such action or proceeding brought in any such court, that such court does not</w:t>
      </w:r>
      <w:r>
        <w:rPr>
          <w:rFonts w:cs="Times New Roman" w:ascii="Times New Roman" w:hAnsi="Times New Roman"/>
          <w:b/>
          <w:color w:val="000080"/>
          <w:sz w:val="22"/>
        </w:rPr>
        <w:t xml:space="preserve"> </w:t>
      </w:r>
      <w:r>
        <w:rPr>
          <w:rFonts w:cs="Times New Roman" w:ascii="Times New Roman" w:hAnsi="Times New Roman"/>
          <w:color w:val="000080"/>
          <w:sz w:val="22"/>
        </w:rPr>
        <w:t>have jurisdiction over such party.</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b/>
          <w:color w:val="000080"/>
          <w:sz w:val="22"/>
        </w:rPr>
      </w:pPr>
      <w:r>
        <w:rPr>
          <w:rFonts w:cs="Times New Roman" w:ascii="Times New Roman" w:hAnsi="Times New Roman"/>
          <w:color w:val="000080"/>
          <w:sz w:val="22"/>
        </w:rPr>
        <w:t>25.4</w:t>
        <w:tab/>
      </w:r>
      <w:r>
        <w:rPr>
          <w:rFonts w:cs="Times New Roman" w:ascii="Times New Roman" w:hAnsi="Times New Roman"/>
          <w:color w:val="000080"/>
          <w:sz w:val="22"/>
          <w:u w:val="single"/>
        </w:rPr>
        <w:t>Dispute Resolution Procedures</w:t>
      </w:r>
      <w:r>
        <w:fldChar w:fldCharType="begin"/>
      </w:r>
      <w:r>
        <w:rPr/>
        <w:instrText xml:space="preserve"> TC "25.4</w:instrText>
        <w:tab/>
        <w:instrText xml:space="preserve">Dispute Resolution Procedures" \l 2 </w:instrText>
      </w:r>
      <w:r>
        <w:rPr/>
        <w:fldChar w:fldCharType="separate"/>
      </w:r>
      <w:r>
        <w:rPr/>
      </w:r>
      <w:r>
        <w:rPr/>
        <w:fldChar w:fldCharType="end"/>
      </w:r>
      <w:bookmarkStart w:id="170" w:name="__RefHeading___Toc498441881"/>
      <w:bookmarkEnd w:id="170"/>
      <w:r>
        <w:rPr>
          <w:rFonts w:cs="Times New Roman" w:ascii="Times New Roman" w:hAnsi="Times New Roman"/>
          <w:color w:val="000080"/>
          <w:sz w:val="22"/>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b/>
          <w:color w:val="000080"/>
          <w:sz w:val="22"/>
        </w:rPr>
      </w:pPr>
      <w:r>
        <w:rPr>
          <w:rFonts w:cs="Times New Roman" w:ascii="Times New Roman" w:hAnsi="Times New Roman"/>
          <w:b/>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t>(a)</w:t>
        <w:tab/>
      </w:r>
      <w:r>
        <w:rPr>
          <w:rFonts w:cs="Times New Roman" w:ascii="Times New Roman" w:hAnsi="Times New Roman"/>
          <w:color w:val="000080"/>
          <w:sz w:val="22"/>
          <w:u w:val="single"/>
        </w:rPr>
        <w:t>Method of Invoking Alternative Dispute Resolution Procedures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pPr>
      <w:r>
        <w:rPr>
          <w:rFonts w:cs="Times New Roman" w:ascii="Times New Roman" w:hAnsi="Times New Roman"/>
          <w:color w:val="000080"/>
          <w:sz w:val="22"/>
        </w:rPr>
        <w:t>1.</w:t>
        <w:tab/>
        <w:t xml:space="preserve">These procedures may be invoked by any party by giving written notice to the other of the dispute and designating one or more persons (collectively, the </w:t>
      </w:r>
      <w:r>
        <w:rPr>
          <w:rFonts w:cs="Times New Roman" w:ascii="Times New Roman" w:hAnsi="Times New Roman"/>
          <w:i/>
          <w:color w:val="000080"/>
          <w:sz w:val="22"/>
        </w:rPr>
        <w:t>“</w:t>
      </w:r>
      <w:r>
        <w:rPr>
          <w:rFonts w:cs="Times New Roman" w:ascii="Times New Roman" w:hAnsi="Times New Roman"/>
          <w:color w:val="000080"/>
          <w:sz w:val="22"/>
          <w:u w:val="single"/>
        </w:rPr>
        <w:t>Designee</w:t>
      </w:r>
      <w:r>
        <w:rPr>
          <w:rFonts w:cs="Times New Roman" w:ascii="Times New Roman" w:hAnsi="Times New Roman"/>
          <w:i/>
          <w:color w:val="000080"/>
          <w:sz w:val="22"/>
        </w:rPr>
        <w:t>”</w:t>
      </w:r>
      <w:r>
        <w:rPr>
          <w:rFonts w:cs="Times New Roman" w:ascii="Times New Roman" w:hAnsi="Times New Roman"/>
          <w:color w:val="000080"/>
          <w:sz w:val="22"/>
        </w:rPr>
        <w:t>) to act on behalf of the disputing party regarding the dispute.  The other party shall be required to respond to the disputing party’s notice within ten (10) business days by designating in writing its own Designee.  A party may choose to represent itself, or if it appoints a Designee, its officers may nonetheless attend such meetings.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2.</w:t>
        <w:tab/>
        <w:t>The parties, each acting through its Designee, shall meet at a mutually acceptable time and place within ten (10) business days after the non-disputing party designates its Designee to the other.  At that meeting, the parties shall attempt in good faith to negotiate a resolution of the dispute, or failing that, to agree on a method for resolving the claim or dispute.</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3.</w:t>
        <w:tab/>
        <w:t>If, within ten (10) business days after the first meeting or within such longer period of time as the parties may mutually agree, the parties have not succeeded in negotiating a resolution of the claim or dispute or agreeing on a dispute resolution mechanism, they shall submit the dispute to mediation in accordance with the procedures set forth herein.</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pPr>
      <w:r>
        <w:rPr>
          <w:rFonts w:cs="Times New Roman" w:ascii="Times New Roman" w:hAnsi="Times New Roman"/>
          <w:color w:val="000080"/>
          <w:sz w:val="22"/>
        </w:rPr>
        <w:t>4.</w:t>
        <w:tab/>
        <w:t>The parties will jointly appoint a mutually acceptable mediator to mediate the dispute.  If the parties are unable to agree on a mutually acceptable mediator within five (5) business days after the conclusion of the negotiations described in paragraph 3 above, then the parties shall select a neutral Third Party from American Arbitration Association (“</w:t>
      </w:r>
      <w:r>
        <w:rPr>
          <w:rFonts w:cs="Times New Roman" w:ascii="Times New Roman" w:hAnsi="Times New Roman"/>
          <w:color w:val="000080"/>
          <w:sz w:val="22"/>
          <w:u w:val="single"/>
        </w:rPr>
        <w:t>AAA</w:t>
      </w:r>
      <w:r>
        <w:rPr>
          <w:rFonts w:cs="Times New Roman" w:ascii="Times New Roman" w:hAnsi="Times New Roman"/>
          <w:color w:val="000080"/>
          <w:sz w:val="22"/>
        </w:rPr>
        <w:t>”) in New York, New York, with the assistance of AAA, unless the parties agree otherwise in finding a mutually acceptable mediator.</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5.</w:t>
        <w:tab/>
        <w:t>Each party to the dispute shall bear an equal share of the fees and costs of the mediator, and any fees and costs of AAA.</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6.</w:t>
        <w:tab/>
        <w:t>The parties agree to participate in good faith in the mediation and negotiations related thereto for a period of thirty (30) days from appointment of a mediator by any of the parties or the AAA.</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7.</w:t>
        <w:tab/>
        <w:t>The parties agree that the mediation period may be extended for an additional thirty (30) days beyond the initial thirty (30) day period upon agreement of the parties.  Either party may terminate the mediation at any time after the initial thirty (30) days or when any agreed upon extension has expired.</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t>(b)</w:t>
        <w:tab/>
      </w:r>
      <w:r>
        <w:rPr>
          <w:rFonts w:cs="Times New Roman" w:ascii="Times New Roman" w:hAnsi="Times New Roman"/>
          <w:color w:val="000080"/>
          <w:sz w:val="22"/>
          <w:u w:val="single"/>
        </w:rPr>
        <w:t>Mediation Procedures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1.</w:t>
        <w:tab/>
        <w:t>The mediator shall be neutral and impartial.</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2.</w:t>
        <w:tab/>
        <w:t>The mediator shall control the procedural aspects of the mediation.  The parties will cooperate fully with the mediator.</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ind w:firstLine="720" w:end="0"/>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ab/>
        <w:t>(a)</w:t>
        <w:tab/>
        <w:t>The mediator is free to meet and communicate separately with each party.</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ab/>
        <w:t>(b)</w:t>
        <w:tab/>
        <w:t>The mediator will decide when to hold joint meetings with the parties and when to hold separate meetings.  There shall be no stenographic record of any meeting.  Formal rules of evidence will not apply.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3.</w:t>
        <w:tab/>
        <w:t xml:space="preserve">Each party may be represented by more than one person, including an attorney.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4.</w:t>
        <w:tab/>
        <w:t>The process will be conducted expeditiously.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5.</w:t>
        <w:tab/>
        <w:t>The mediator will not transmit information received from any party to another party or any third person unless authorized to do so by the party transmitting the information.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6.</w:t>
        <w:tab/>
        <w:t>The entire process is confidential.  The parties and the mediator will not disclose information regarding the process, including settlement terms, to third persons, unless the parties otherwise agree.  The process shall be treated as a compromise negotiation for purposes of the applicable rules of evidence.  Further, the parties will not disclose the existence of a dispute or information regarding the mediation to third persons including, without limitation, the media.</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7.</w:t>
        <w:tab/>
        <w:t>The parties will refrain from pursuing administrative and/or judicial remedies during the mediation process, except as otherwise expressly provided in the agreement which incorporates these procedures.  The parties agree that any and all statutes of limitation or periods of time for taking action shall be tolled during the time period that the parties are engaged in mediation.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8.</w:t>
        <w:tab/>
        <w:t>Unless all parties and the mediator otherwise agree in writing:</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firstLine="720" w:start="720" w:end="0"/>
        <w:jc w:val="both"/>
        <w:rPr>
          <w:rFonts w:ascii="Times New Roman" w:hAnsi="Times New Roman" w:cs="Times New Roman"/>
          <w:color w:val="000080"/>
          <w:sz w:val="22"/>
        </w:rPr>
      </w:pPr>
      <w:r>
        <w:rPr>
          <w:rFonts w:cs="Times New Roman" w:ascii="Times New Roman" w:hAnsi="Times New Roman"/>
          <w:color w:val="000080"/>
          <w:sz w:val="22"/>
        </w:rPr>
        <w:t>(a)</w:t>
        <w:tab/>
        <w:t xml:space="preserve">The mediator will be disqualified as a witness, consultant or expert in any pending or future investigation, action or proceeding relating to the subject matter of the mediation (including any investigation, action or proceeding which involves persons not parties to this mediation); </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firstLine="720" w:start="720" w:end="0"/>
        <w:jc w:val="both"/>
        <w:rPr>
          <w:rFonts w:ascii="Times New Roman" w:hAnsi="Times New Roman" w:cs="Times New Roman"/>
          <w:color w:val="000080"/>
          <w:sz w:val="22"/>
        </w:rPr>
      </w:pPr>
      <w:r>
        <w:rPr>
          <w:rFonts w:cs="Times New Roman" w:ascii="Times New Roman" w:hAnsi="Times New Roman"/>
          <w:color w:val="000080"/>
          <w:sz w:val="22"/>
        </w:rPr>
        <w:t>(b)</w:t>
        <w:tab/>
        <w:t xml:space="preserve">The mediator, at the conclusion of the mediation, will immediately either destroy and certify destruction of, or return to the providing party, any and all documents and information in the mediator's possession, whether or not the mediation was successful; and </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firstLine="720" w:start="720" w:end="0"/>
        <w:jc w:val="both"/>
        <w:rPr>
          <w:rFonts w:ascii="Times New Roman" w:hAnsi="Times New Roman" w:cs="Times New Roman"/>
          <w:color w:val="000080"/>
          <w:sz w:val="22"/>
        </w:rPr>
      </w:pPr>
      <w:r>
        <w:rPr>
          <w:rFonts w:cs="Times New Roman" w:ascii="Times New Roman" w:hAnsi="Times New Roman"/>
          <w:color w:val="000080"/>
          <w:sz w:val="22"/>
        </w:rPr>
        <w:t>(c)</w:t>
        <w:tab/>
        <w:t>The mediator will not be subpoenaed in any such investigation, action or preceding and all parties will oppose any effort to have the mediator subpoenaed.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9.</w:t>
        <w:tab/>
        <w:t>The mediator, if a lawyer, may freely express views to the parties on the legal issues of the dispute.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10.</w:t>
        <w:tab/>
        <w:t>The mediator shall not be liable for any act or omission in connection with the mediation.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rFonts w:ascii="Times New Roman" w:hAnsi="Times New Roman" w:cs="Times New Roman"/>
          <w:color w:val="000080"/>
          <w:sz w:val="22"/>
        </w:rPr>
      </w:pPr>
      <w:r>
        <w:rPr>
          <w:rFonts w:cs="Times New Roman" w:ascii="Times New Roman" w:hAnsi="Times New Roman"/>
          <w:color w:val="000080"/>
          <w:sz w:val="22"/>
        </w:rPr>
        <w:t>11.</w:t>
        <w:tab/>
        <w:t>The mediator may withdraw at any time by written notice to the parties (i) for overriding personal reasons, (ii) if the mediator believes that a party is not acting in good faith, or (iii) if the mediator concludes that further mediation efforts would not be useful.</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jc w:val="both"/>
        <w:rPr>
          <w:rFonts w:ascii="Times New Roman" w:hAnsi="Times New Roman" w:cs="Times New Roman"/>
          <w:color w:val="000080"/>
          <w:sz w:val="22"/>
        </w:rPr>
      </w:pPr>
      <w:r>
        <w:rPr>
          <w:rFonts w:cs="Times New Roman" w:ascii="Times New Roman" w:hAnsi="Times New Roman"/>
          <w:color w:val="000080"/>
          <w:sz w:val="22"/>
        </w:rPr>
        <w:t>(c)</w:t>
        <w:tab/>
      </w:r>
      <w:r>
        <w:rPr>
          <w:rFonts w:cs="Times New Roman" w:ascii="Times New Roman" w:hAnsi="Times New Roman"/>
          <w:color w:val="000080"/>
          <w:sz w:val="22"/>
          <w:u w:val="single"/>
        </w:rPr>
        <w:t>Litigation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color w:val="000080"/>
          <w:sz w:val="22"/>
        </w:rPr>
      </w:pPr>
      <w:r>
        <w:rPr>
          <w:rFonts w:cs="Times New Roman" w:ascii="Times New Roman" w:hAnsi="Times New Roman"/>
          <w:color w:val="000080"/>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spacing w:lineRule="auto" w:line="300"/>
        <w:ind w:firstLine="720" w:end="0"/>
        <w:jc w:val="both"/>
        <w:rPr/>
      </w:pPr>
      <w:r>
        <w:rPr>
          <w:rFonts w:cs="Times New Roman" w:ascii="Times New Roman" w:hAnsi="Times New Roman"/>
          <w:color w:val="000080"/>
          <w:sz w:val="22"/>
        </w:rPr>
        <w:t xml:space="preserve">If the parties do not resolve the dispute through mediation within the period provided in </w:t>
      </w:r>
      <w:r>
        <w:rPr>
          <w:rFonts w:cs="Times New Roman" w:ascii="Times New Roman" w:hAnsi="Times New Roman"/>
          <w:color w:val="000080"/>
          <w:sz w:val="22"/>
          <w:u w:val="single"/>
        </w:rPr>
        <w:t>Part A</w:t>
      </w:r>
      <w:r>
        <w:rPr>
          <w:rFonts w:cs="Times New Roman" w:ascii="Times New Roman" w:hAnsi="Times New Roman"/>
          <w:color w:val="000080"/>
          <w:sz w:val="22"/>
        </w:rPr>
        <w:t xml:space="preserve"> above, the parties may pursue any and/or all applicable legal and/or equitable remedies available to them.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XXVI.  </w:t>
      </w:r>
      <w:r>
        <w:rPr>
          <w:rFonts w:cs="Times New Roman" w:ascii="Times New Roman" w:hAnsi="Times New Roman"/>
          <w:color w:val="000080"/>
          <w:sz w:val="22"/>
          <w:u w:val="single"/>
        </w:rPr>
        <w:t>LIMITATION OF LIABILITY</w:t>
      </w:r>
      <w:r>
        <w:fldChar w:fldCharType="begin"/>
      </w:r>
      <w:r>
        <w:rPr/>
        <w:instrText xml:space="preserve"> TC "ARTICLE XXVI.  LIMITATION OF LIABILITY" \l 1 </w:instrText>
      </w:r>
      <w:r>
        <w:rPr/>
        <w:fldChar w:fldCharType="separate"/>
      </w:r>
      <w:r>
        <w:rPr/>
      </w:r>
      <w:r>
        <w:rPr/>
        <w:fldChar w:fldCharType="end"/>
      </w:r>
      <w:bookmarkStart w:id="171" w:name="__RefHeading___Toc498441882"/>
      <w:bookmarkEnd w:id="171"/>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26.1</w:t>
        <w:tab/>
      </w:r>
      <w:r>
        <w:rPr>
          <w:rFonts w:cs="Times New Roman" w:ascii="Times New Roman" w:hAnsi="Times New Roman"/>
          <w:color w:val="000080"/>
          <w:sz w:val="22"/>
          <w:u w:val="single"/>
        </w:rPr>
        <w:t>Maximum Liability</w:t>
      </w:r>
      <w:r>
        <w:fldChar w:fldCharType="begin"/>
      </w:r>
      <w:r>
        <w:rPr/>
        <w:instrText xml:space="preserve"> TC "26.1</w:instrText>
        <w:tab/>
        <w:instrText xml:space="preserve">Maximum Liability" \l 2 </w:instrText>
      </w:r>
      <w:r>
        <w:rPr/>
        <w:fldChar w:fldCharType="separate"/>
      </w:r>
      <w:r>
        <w:rPr/>
      </w:r>
      <w:r>
        <w:rPr/>
        <w:fldChar w:fldCharType="end"/>
      </w:r>
      <w:bookmarkStart w:id="172" w:name="__RefHeading___Toc498441883"/>
      <w:bookmarkEnd w:id="172"/>
      <w:r>
        <w:rPr>
          <w:rFonts w:cs="Times New Roman" w:ascii="Times New Roman" w:hAnsi="Times New Roman"/>
          <w:color w:val="000080"/>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w:t>
        <w:tab/>
        <w:t>under Article XX (Indemnification);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w:t>
        <w:tab/>
        <w:t xml:space="preserve">Article XIX obligation to maintain insurance;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(iii)</w:t>
        <w:tab/>
        <w:t>arising from or related to environmental harm to the extent caused by an action or inaction of Seller, its agents, employees or Vendors during the performance of the Scope of Work;</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(iv)</w:t>
        <w:tab/>
        <w:t>resulting from the gross negligence or willful misconduct of Seller, their agents, employees or Vendors; or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(v)</w:t>
        <w:tab/>
        <w:t>patent or copyright infringement in accordance with Section 15.2.</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 xml:space="preserve">which liabilities shall not be limited.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26.2</w:t>
        <w:tab/>
      </w:r>
      <w:r>
        <w:rPr>
          <w:rFonts w:cs="Times New Roman" w:ascii="Times New Roman" w:hAnsi="Times New Roman"/>
          <w:color w:val="000080"/>
          <w:sz w:val="22"/>
          <w:u w:val="single"/>
        </w:rPr>
        <w:t>Consequential Damages</w:t>
      </w:r>
      <w:r>
        <w:fldChar w:fldCharType="begin"/>
      </w:r>
      <w:r>
        <w:rPr/>
        <w:instrText xml:space="preserve"> TC "26.2</w:instrText>
        <w:tab/>
        <w:instrText xml:space="preserve">Consequential Damages" \l 2 </w:instrText>
      </w:r>
      <w:r>
        <w:rPr/>
        <w:fldChar w:fldCharType="separate"/>
      </w:r>
      <w:r>
        <w:rPr/>
      </w:r>
      <w:r>
        <w:rPr/>
        <w:fldChar w:fldCharType="end"/>
      </w:r>
      <w:bookmarkStart w:id="173" w:name="__RefHeading___Toc498441884"/>
      <w:bookmarkEnd w:id="173"/>
      <w:r>
        <w:rPr>
          <w:rFonts w:cs="Times New Roman" w:ascii="Times New Roman" w:hAnsi="Times New Roman"/>
          <w:color w:val="000080"/>
          <w:sz w:val="22"/>
        </w:rPr>
        <w:t xml:space="preserve">.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whether arising before or after completion of the Scope of Work and whether or not Seller knew or was advised of such losses.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26.3</w:t>
        <w:tab/>
      </w:r>
      <w:r>
        <w:rPr>
          <w:rFonts w:cs="Times New Roman" w:ascii="Times New Roman" w:hAnsi="Times New Roman"/>
          <w:color w:val="000080"/>
          <w:sz w:val="22"/>
          <w:u w:val="single"/>
        </w:rPr>
        <w:t>Releases Valid in All Events</w:t>
      </w:r>
      <w:r>
        <w:fldChar w:fldCharType="begin"/>
      </w:r>
      <w:r>
        <w:rPr/>
        <w:instrText xml:space="preserve"> TC "26.3</w:instrText>
        <w:tab/>
        <w:instrText xml:space="preserve">Releases Valid in All Events" \l 2 </w:instrText>
      </w:r>
      <w:r>
        <w:rPr/>
        <w:fldChar w:fldCharType="separate"/>
      </w:r>
      <w:r>
        <w:rPr/>
      </w:r>
      <w:r>
        <w:rPr/>
        <w:fldChar w:fldCharType="end"/>
      </w:r>
      <w:bookmarkStart w:id="174" w:name="__RefHeading___Toc498441885"/>
      <w:bookmarkEnd w:id="174"/>
      <w:r>
        <w:rPr>
          <w:rFonts w:cs="Times New Roman" w:ascii="Times New Roman" w:hAnsi="Times New Roman"/>
          <w:color w:val="000080"/>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jc w:val="center"/>
        <w:rPr>
          <w:rFonts w:ascii="Times New Roman" w:hAnsi="Times New Roman" w:cs="Times New Roman"/>
          <w:color w:val="000080"/>
          <w:sz w:val="22"/>
        </w:rPr>
      </w:pPr>
      <w:r>
        <w:rPr>
          <w:rFonts w:cs="Times New Roman" w:ascii="Times New Roman" w:hAnsi="Times New Roman"/>
          <w:color w:val="000080"/>
          <w:sz w:val="22"/>
        </w:rPr>
        <w:t xml:space="preserve">ARTICLE XXVII.  </w:t>
      </w:r>
      <w:r>
        <w:rPr>
          <w:rFonts w:cs="Times New Roman" w:ascii="Times New Roman" w:hAnsi="Times New Roman"/>
          <w:color w:val="000080"/>
          <w:sz w:val="22"/>
          <w:u w:val="single"/>
        </w:rPr>
        <w:t>DRUG AND ALCOHOL</w:t>
        <w:noBreakHyphen/>
        <w:t>FREE WORKPLACE</w:t>
      </w:r>
      <w:r>
        <w:fldChar w:fldCharType="begin"/>
      </w:r>
      <w:r>
        <w:rPr/>
        <w:instrText xml:space="preserve"> TC "ARTICLE XXVII.  DRUG AND ALCOHOL_x001e_FREE WORKPLACE" \l 1 </w:instrText>
      </w:r>
      <w:r>
        <w:rPr/>
        <w:fldChar w:fldCharType="separate"/>
      </w:r>
      <w:r>
        <w:rPr/>
      </w:r>
      <w:r>
        <w:rPr/>
        <w:fldChar w:fldCharType="end"/>
      </w:r>
      <w:bookmarkStart w:id="175" w:name="__RefHeading___Toc498441886"/>
      <w:bookmarkEnd w:id="175"/>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rFonts w:ascii="Times New Roman" w:hAnsi="Times New Roman" w:cs="Times New Roman"/>
          <w:color w:val="000080"/>
          <w:sz w:val="22"/>
        </w:rPr>
      </w:pPr>
      <w:r>
        <w:rPr>
          <w:rFonts w:cs="Times New Roman" w:ascii="Times New Roman" w:hAnsi="Times New Roman"/>
          <w:color w:val="000080"/>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to the extent such policy is consistent with laws of the State of Connecticut including: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tabs>
          <w:tab w:val="clear" w:pos="720"/>
          <w:tab w:val="left" w:pos="-1440" w:leader="none"/>
        </w:tabs>
        <w:spacing w:lineRule="auto" w:line="300"/>
        <w:ind w:hanging="720" w:start="1440" w:end="0"/>
        <w:rPr>
          <w:rFonts w:ascii="Times New Roman" w:hAnsi="Times New Roman" w:cs="Times New Roman"/>
          <w:color w:val="000080"/>
          <w:sz w:val="22"/>
        </w:rPr>
      </w:pPr>
      <w:r>
        <w:rPr>
          <w:rFonts w:cs="Times New Roman" w:ascii="Times New Roman" w:hAnsi="Times New Roman"/>
          <w:color w:val="000080"/>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jc w:val="center"/>
        <w:rPr>
          <w:rFonts w:ascii="Times New Roman" w:hAnsi="Times New Roman" w:cs="Times New Roman"/>
          <w:color w:val="000080"/>
          <w:sz w:val="22"/>
        </w:rPr>
      </w:pPr>
      <w:r>
        <w:rPr>
          <w:rFonts w:cs="Times New Roman" w:ascii="Times New Roman" w:hAnsi="Times New Roman"/>
          <w:color w:val="000080"/>
          <w:sz w:val="22"/>
        </w:rPr>
        <w:t xml:space="preserve">ARTICLE XXVIII.  </w:t>
      </w:r>
      <w:r>
        <w:rPr>
          <w:rFonts w:cs="Times New Roman" w:ascii="Times New Roman" w:hAnsi="Times New Roman"/>
          <w:color w:val="000080"/>
          <w:sz w:val="22"/>
          <w:u w:val="single"/>
        </w:rPr>
        <w:t>MISCELLANEOUS</w:t>
      </w:r>
      <w:r>
        <w:fldChar w:fldCharType="begin"/>
      </w:r>
      <w:r>
        <w:rPr/>
        <w:instrText xml:space="preserve"> TC "ARTICLE XXVIII.  MISCELLANEOUS" \l 1 </w:instrText>
      </w:r>
      <w:r>
        <w:rPr/>
        <w:fldChar w:fldCharType="separate"/>
      </w:r>
      <w:r>
        <w:rPr/>
      </w:r>
      <w:r>
        <w:rPr/>
        <w:fldChar w:fldCharType="end"/>
      </w:r>
      <w:bookmarkStart w:id="176" w:name="__RefHeading___Toc498441887"/>
      <w:bookmarkEnd w:id="176"/>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28.1</w:t>
        <w:tab/>
      </w:r>
      <w:r>
        <w:rPr>
          <w:rFonts w:cs="Times New Roman" w:ascii="Times New Roman" w:hAnsi="Times New Roman"/>
          <w:color w:val="000080"/>
          <w:sz w:val="22"/>
          <w:u w:val="single"/>
        </w:rPr>
        <w:t>Validity and Enforceability</w:t>
      </w:r>
      <w:r>
        <w:fldChar w:fldCharType="begin"/>
      </w:r>
      <w:r>
        <w:rPr/>
        <w:instrText xml:space="preserve"> TC "28.1</w:instrText>
        <w:tab/>
        <w:instrText xml:space="preserve">Validity and Enforceability" \l 2 </w:instrText>
      </w:r>
      <w:r>
        <w:rPr/>
        <w:fldChar w:fldCharType="separate"/>
      </w:r>
      <w:r>
        <w:rPr/>
      </w:r>
      <w:r>
        <w:rPr/>
        <w:fldChar w:fldCharType="end"/>
      </w:r>
      <w:bookmarkStart w:id="177" w:name="__RefHeading___Toc498441888"/>
      <w:bookmarkEnd w:id="177"/>
      <w:r>
        <w:rPr>
          <w:rFonts w:cs="Times New Roman" w:ascii="Times New Roman" w:hAnsi="Times New Roman"/>
          <w:color w:val="000080"/>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28.2</w:t>
        <w:tab/>
      </w:r>
      <w:r>
        <w:rPr>
          <w:rFonts w:cs="Times New Roman" w:ascii="Times New Roman" w:hAnsi="Times New Roman"/>
          <w:color w:val="000080"/>
          <w:sz w:val="22"/>
          <w:u w:val="single"/>
        </w:rPr>
        <w:t>Governing Law</w:t>
      </w:r>
      <w:r>
        <w:fldChar w:fldCharType="begin"/>
      </w:r>
      <w:r>
        <w:rPr/>
        <w:instrText xml:space="preserve"> TC "28.2</w:instrText>
        <w:tab/>
        <w:instrText xml:space="preserve">Governing Law" \l 2 </w:instrText>
      </w:r>
      <w:r>
        <w:rPr/>
        <w:fldChar w:fldCharType="separate"/>
      </w:r>
      <w:r>
        <w:rPr/>
      </w:r>
      <w:r>
        <w:rPr/>
        <w:fldChar w:fldCharType="end"/>
      </w:r>
      <w:bookmarkStart w:id="178" w:name="__RefHeading___Toc498441889"/>
      <w:bookmarkEnd w:id="178"/>
      <w:r>
        <w:rPr>
          <w:rFonts w:cs="Times New Roman" w:ascii="Times New Roman" w:hAnsi="Times New Roman"/>
          <w:color w:val="000080"/>
          <w:sz w:val="22"/>
        </w:rPr>
        <w:t xml:space="preserve">.  This Agreement, its interpretation and any disputes relating to, arising out of or connected with this Agreement, shall be governed by the laws of the state of Connecticut, without regard to its conflicts of law provisions.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28.3</w:t>
        <w:tab/>
      </w:r>
      <w:r>
        <w:rPr>
          <w:rFonts w:cs="Times New Roman" w:ascii="Times New Roman" w:hAnsi="Times New Roman"/>
          <w:color w:val="000080"/>
          <w:sz w:val="22"/>
          <w:u w:val="single"/>
        </w:rPr>
        <w:t>Entire Agreement</w:t>
      </w:r>
      <w:r>
        <w:fldChar w:fldCharType="begin"/>
      </w:r>
      <w:r>
        <w:rPr/>
        <w:instrText xml:space="preserve"> TC "28.3</w:instrText>
        <w:tab/>
        <w:instrText xml:space="preserve">Entire Agreement" \l 2 </w:instrText>
      </w:r>
      <w:r>
        <w:rPr/>
        <w:fldChar w:fldCharType="separate"/>
      </w:r>
      <w:r>
        <w:rPr/>
      </w:r>
      <w:r>
        <w:rPr/>
        <w:fldChar w:fldCharType="end"/>
      </w:r>
      <w:bookmarkStart w:id="179" w:name="__RefHeading___Toc498441890"/>
      <w:bookmarkEnd w:id="179"/>
      <w:r>
        <w:rPr>
          <w:rFonts w:cs="Times New Roman" w:ascii="Times New Roman" w:hAnsi="Times New Roman"/>
          <w:color w:val="000080"/>
          <w:sz w:val="22"/>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28.4</w:t>
        <w:tab/>
      </w:r>
      <w:r>
        <w:rPr>
          <w:rFonts w:cs="Times New Roman" w:ascii="Times New Roman" w:hAnsi="Times New Roman"/>
          <w:color w:val="000080"/>
          <w:sz w:val="22"/>
          <w:u w:val="single"/>
        </w:rPr>
        <w:t>Agreement Modification</w:t>
      </w:r>
      <w:r>
        <w:fldChar w:fldCharType="begin"/>
      </w:r>
      <w:r>
        <w:rPr/>
        <w:instrText xml:space="preserve"> TC "28.4</w:instrText>
        <w:tab/>
        <w:instrText xml:space="preserve">Agreement Modification" \l 2 </w:instrText>
      </w:r>
      <w:r>
        <w:rPr/>
        <w:fldChar w:fldCharType="separate"/>
      </w:r>
      <w:r>
        <w:rPr/>
      </w:r>
      <w:r>
        <w:rPr/>
        <w:fldChar w:fldCharType="end"/>
      </w:r>
      <w:bookmarkStart w:id="180" w:name="__RefHeading___Toc498441891"/>
      <w:bookmarkEnd w:id="180"/>
      <w:r>
        <w:rPr>
          <w:rFonts w:cs="Times New Roman" w:ascii="Times New Roman" w:hAnsi="Times New Roman"/>
          <w:color w:val="000080"/>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28.5</w:t>
        <w:tab/>
      </w:r>
      <w:r>
        <w:rPr>
          <w:rFonts w:cs="Times New Roman" w:ascii="Times New Roman" w:hAnsi="Times New Roman"/>
          <w:color w:val="000080"/>
          <w:sz w:val="22"/>
          <w:u w:val="single"/>
        </w:rPr>
        <w:t>Waiver</w:t>
      </w:r>
      <w:r>
        <w:fldChar w:fldCharType="begin"/>
      </w:r>
      <w:r>
        <w:rPr/>
        <w:instrText xml:space="preserve"> TC "28.5</w:instrText>
        <w:tab/>
        <w:instrText xml:space="preserve">Waiver" \l 2 </w:instrText>
      </w:r>
      <w:r>
        <w:rPr/>
        <w:fldChar w:fldCharType="separate"/>
      </w:r>
      <w:r>
        <w:rPr/>
      </w:r>
      <w:r>
        <w:rPr/>
        <w:fldChar w:fldCharType="end"/>
      </w:r>
      <w:bookmarkStart w:id="181" w:name="__RefHeading___Toc498441892"/>
      <w:bookmarkEnd w:id="181"/>
      <w:r>
        <w:rPr>
          <w:rFonts w:cs="Times New Roman" w:ascii="Times New Roman" w:hAnsi="Times New Roman"/>
          <w:color w:val="000080"/>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28.6</w:t>
        <w:tab/>
      </w:r>
      <w:r>
        <w:rPr>
          <w:rFonts w:cs="Times New Roman" w:ascii="Times New Roman" w:hAnsi="Times New Roman"/>
          <w:color w:val="000080"/>
          <w:sz w:val="22"/>
          <w:u w:val="single"/>
        </w:rPr>
        <w:t>Headings</w:t>
      </w:r>
      <w:r>
        <w:fldChar w:fldCharType="begin"/>
      </w:r>
      <w:r>
        <w:rPr/>
        <w:instrText xml:space="preserve"> TC "28.6</w:instrText>
        <w:tab/>
        <w:instrText xml:space="preserve">Headings" \l 2 </w:instrText>
      </w:r>
      <w:r>
        <w:rPr/>
        <w:fldChar w:fldCharType="separate"/>
      </w:r>
      <w:r>
        <w:rPr/>
      </w:r>
      <w:r>
        <w:rPr/>
        <w:fldChar w:fldCharType="end"/>
      </w:r>
      <w:bookmarkStart w:id="182" w:name="__RefHeading___Toc498441893"/>
      <w:bookmarkEnd w:id="182"/>
      <w:r>
        <w:rPr>
          <w:rFonts w:cs="Times New Roman" w:ascii="Times New Roman" w:hAnsi="Times New Roman"/>
          <w:color w:val="000080"/>
          <w:sz w:val="22"/>
        </w:rPr>
        <w:t>.  The headings contained herein are included solely for the convenience of the parties and are not to be used as a basis for interpreting the various sections of this Agreement.</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28.7</w:t>
        <w:tab/>
      </w:r>
      <w:r>
        <w:rPr>
          <w:rFonts w:cs="Times New Roman" w:ascii="Times New Roman" w:hAnsi="Times New Roman"/>
          <w:color w:val="000080"/>
          <w:sz w:val="22"/>
          <w:u w:val="single"/>
        </w:rPr>
        <w:t>Third</w:t>
        <w:noBreakHyphen/>
        <w:t>Party Beneficiaries</w:t>
      </w:r>
      <w:r>
        <w:fldChar w:fldCharType="begin"/>
      </w:r>
      <w:r>
        <w:rPr/>
        <w:instrText xml:space="preserve"> TC "28.7</w:instrText>
        <w:tab/>
        <w:instrText xml:space="preserve">Third_x001e_Party Beneficiaries" \l 2 </w:instrText>
      </w:r>
      <w:r>
        <w:rPr/>
        <w:fldChar w:fldCharType="separate"/>
      </w:r>
      <w:r>
        <w:rPr/>
      </w:r>
      <w:r>
        <w:rPr/>
        <w:fldChar w:fldCharType="end"/>
      </w:r>
      <w:bookmarkStart w:id="183" w:name="__RefHeading___Toc498441894"/>
      <w:bookmarkEnd w:id="183"/>
      <w:r>
        <w:rPr>
          <w:rFonts w:cs="Times New Roman" w:ascii="Times New Roman" w:hAnsi="Times New Roman"/>
          <w:color w:val="000080"/>
          <w:sz w:val="22"/>
        </w:rPr>
        <w:t>.  The provisions of this Agreement are intended for the sole benefit of Purchaser and Seller, and there are no third</w:t>
        <w:noBreakHyphen/>
        <w:t xml:space="preserve">party beneficiaries other than assignees contemplated by the terms herein.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28.8</w:t>
        <w:tab/>
      </w:r>
      <w:r>
        <w:rPr>
          <w:rFonts w:cs="Times New Roman" w:ascii="Times New Roman" w:hAnsi="Times New Roman"/>
          <w:color w:val="000080"/>
          <w:sz w:val="22"/>
          <w:u w:val="single"/>
        </w:rPr>
        <w:t>Counterparts</w:t>
      </w:r>
      <w:r>
        <w:fldChar w:fldCharType="begin"/>
      </w:r>
      <w:r>
        <w:rPr/>
        <w:instrText xml:space="preserve"> TC "28.8</w:instrText>
        <w:tab/>
        <w:instrText xml:space="preserve">Counterparts" \l 2 </w:instrText>
      </w:r>
      <w:r>
        <w:rPr/>
        <w:fldChar w:fldCharType="separate"/>
      </w:r>
      <w:r>
        <w:rPr/>
      </w:r>
      <w:r>
        <w:rPr/>
        <w:fldChar w:fldCharType="end"/>
      </w:r>
      <w:bookmarkStart w:id="184" w:name="__RefHeading___Toc498441895"/>
      <w:bookmarkEnd w:id="184"/>
      <w:r>
        <w:rPr>
          <w:rFonts w:cs="Times New Roman" w:ascii="Times New Roman" w:hAnsi="Times New Roman"/>
          <w:color w:val="000080"/>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28.9</w:t>
        <w:tab/>
      </w:r>
      <w:r>
        <w:rPr>
          <w:rFonts w:cs="Times New Roman" w:ascii="Times New Roman" w:hAnsi="Times New Roman"/>
          <w:color w:val="000080"/>
          <w:sz w:val="22"/>
          <w:u w:val="single"/>
        </w:rPr>
        <w:t>Equal Employment Opportunity</w:t>
      </w:r>
      <w:r>
        <w:fldChar w:fldCharType="begin"/>
      </w:r>
      <w:r>
        <w:rPr/>
        <w:instrText xml:space="preserve"> TC "28.9</w:instrText>
        <w:tab/>
        <w:instrText xml:space="preserve">Equal Employment Opportunity" \l 2 </w:instrText>
      </w:r>
      <w:r>
        <w:rPr/>
        <w:fldChar w:fldCharType="separate"/>
      </w:r>
      <w:r>
        <w:rPr/>
      </w:r>
      <w:r>
        <w:rPr/>
        <w:fldChar w:fldCharType="end"/>
      </w:r>
      <w:bookmarkStart w:id="185" w:name="__RefHeading___Toc498441896"/>
      <w:bookmarkEnd w:id="185"/>
      <w:r>
        <w:rPr>
          <w:rFonts w:cs="Times New Roman" w:ascii="Times New Roman" w:hAnsi="Times New Roman"/>
          <w:color w:val="000080"/>
          <w:sz w:val="22"/>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color w:val="000080"/>
          <w:sz w:val="22"/>
        </w:rPr>
        <w:t>28.10</w:t>
        <w:tab/>
      </w:r>
      <w:r>
        <w:rPr>
          <w:rFonts w:cs="Times New Roman" w:ascii="Times New Roman" w:hAnsi="Times New Roman"/>
          <w:color w:val="000080"/>
          <w:sz w:val="22"/>
          <w:u w:val="single"/>
        </w:rPr>
        <w:t>Cooperation on Site</w:t>
      </w:r>
      <w:r>
        <w:fldChar w:fldCharType="begin"/>
      </w:r>
      <w:r>
        <w:rPr/>
        <w:instrText xml:space="preserve"> TC "28.10</w:instrText>
        <w:tab/>
        <w:instrText xml:space="preserve">Cooperation on Site" \l 2 </w:instrText>
      </w:r>
      <w:r>
        <w:rPr/>
        <w:fldChar w:fldCharType="separate"/>
      </w:r>
      <w:r>
        <w:rPr/>
      </w:r>
      <w:r>
        <w:rPr/>
        <w:fldChar w:fldCharType="end"/>
      </w:r>
      <w:bookmarkStart w:id="186" w:name="__RefHeading___Toc498441897"/>
      <w:bookmarkEnd w:id="186"/>
      <w:r>
        <w:rPr>
          <w:rFonts w:cs="Times New Roman" w:ascii="Times New Roman" w:hAnsi="Times New Roman"/>
          <w:color w:val="000080"/>
          <w:sz w:val="22"/>
        </w:rPr>
        <w:t xml:space="preserve">  To the extent Seller is required to perform services on Site it shall cooperate with other contractors on Site so as to coordinate work and schedules.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spacing w:lineRule="auto" w:line="300"/>
        <w:rPr/>
      </w:pPr>
      <w:r>
        <w:rPr>
          <w:rFonts w:cs="Times New Roman" w:ascii="Times New Roman" w:hAnsi="Times New Roman"/>
          <w:b/>
          <w:color w:val="000080"/>
          <w:sz w:val="22"/>
        </w:rPr>
        <w:t>IN WITNESS WHEREOF</w:t>
      </w:r>
      <w:r>
        <w:rPr>
          <w:rFonts w:cs="Times New Roman" w:ascii="Times New Roman" w:hAnsi="Times New Roman"/>
          <w:color w:val="000080"/>
          <w:sz w:val="22"/>
        </w:rPr>
        <w:t>, the parties have caused this Agreement to be executed as of the date and the year first above written.</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[ENRON]</w:t>
        <w:tab/>
        <w:tab/>
        <w:tab/>
        <w:tab/>
        <w:tab/>
        <w:tab/>
        <w:tab/>
        <w:t>FUELCELL ENERGY, INC.</w:t>
      </w:r>
    </w:p>
    <w:p>
      <w:pPr>
        <w:pStyle w:val="Normal"/>
        <w:widowControl/>
        <w:rPr>
          <w:rFonts w:ascii="Times New Roman" w:hAnsi="Times New Roman" w:cs="Times New Roman"/>
          <w:b/>
          <w:color w:val="000080"/>
          <w:sz w:val="22"/>
        </w:rPr>
      </w:pPr>
      <w:r>
        <w:rPr>
          <w:rFonts w:cs="Times New Roman" w:ascii="Times New Roman" w:hAnsi="Times New Roman"/>
          <w:b/>
          <w:color w:val="000080"/>
          <w:sz w:val="22"/>
        </w:rPr>
        <w:t>Purchaser</w:t>
        <w:tab/>
        <w:tab/>
        <w:tab/>
        <w:tab/>
        <w:tab/>
        <w:tab/>
        <w:tab/>
        <w:t>Seller</w:t>
      </w:r>
    </w:p>
    <w:p>
      <w:pPr>
        <w:pStyle w:val="Normal"/>
        <w:widowControl/>
        <w:rPr>
          <w:rFonts w:ascii="Times New Roman" w:hAnsi="Times New Roman" w:cs="Times New Roman"/>
          <w:b/>
          <w:color w:val="000080"/>
          <w:sz w:val="22"/>
        </w:rPr>
      </w:pPr>
      <w:r>
        <w:rPr>
          <w:rFonts w:cs="Times New Roman" w:ascii="Times New Roman" w:hAnsi="Times New Roman"/>
          <w:b/>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By:  ___________________________</w:t>
        <w:tab/>
        <w:tab/>
        <w:tab/>
        <w:t>By:  ___________________________</w:t>
        <w:tab/>
        <w:t xml:space="preserve">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t>Title:  _________________________</w:t>
        <w:tab/>
        <w:tab/>
        <w:tab/>
        <w:t xml:space="preserve">Title:  _________________________   </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 xml:space="preserve">Date:  _________________________ </w:t>
        <w:tab/>
        <w:tab/>
        <w:tab/>
        <w:t xml:space="preserve">Date:  __________________________                        </w:t>
      </w:r>
      <w:r>
        <w:br w:type="page"/>
      </w:r>
    </w:p>
    <w:p>
      <w:pPr>
        <w:pStyle w:val="Normal"/>
        <w:widowControl/>
        <w:rPr>
          <w:rFonts w:ascii="Times New Roman" w:hAnsi="Times New Roman" w:cs="Times New Roman"/>
          <w:color w:val="000080"/>
          <w:sz w:val="22"/>
        </w:rPr>
      </w:pPr>
      <w:r>
        <w:rPr>
          <w:rFonts w:cs="Times New Roman" w:ascii="Times New Roman" w:hAnsi="Times New Roman"/>
          <w:color w:val="000080"/>
          <w:sz w:val="22"/>
        </w:rPr>
        <w:t>EXHIBIT A – Pricing and Schedule Details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EXHIBIT B - Scope of Work</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EXHIBIT B-1 – Preliminary Specifications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EXHIBIT C - Fixed Specifications</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EXHIBIT D – Acceptance and Performance Evaluation Testing Protocol</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EXHIBIT E - Form of Performance Test Certificate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EXHIBIT F - Form of Lien Release</w:t>
      </w:r>
    </w:p>
    <w:p>
      <w:pPr>
        <w:pStyle w:val="Normal"/>
        <w:widowControl/>
        <w:rPr>
          <w:rFonts w:ascii="Times New Roman" w:hAnsi="Times New Roman" w:cs="Times New Roman"/>
          <w:color w:val="000080"/>
          <w:sz w:val="22"/>
        </w:rPr>
      </w:pPr>
      <w:r>
        <w:rPr>
          <w:rFonts w:cs="Times New Roman" w:ascii="Times New Roman" w:hAnsi="Times New Roman"/>
          <w:color w:val="000080"/>
          <w:sz w:val="22"/>
        </w:rPr>
      </w:r>
    </w:p>
    <w:p>
      <w:pPr>
        <w:pStyle w:val="Normal"/>
        <w:widowControl/>
        <w:rPr>
          <w:rFonts w:ascii="Times New Roman" w:hAnsi="Times New Roman" w:cs="Times New Roman"/>
          <w:color w:val="000080"/>
          <w:sz w:val="22"/>
        </w:rPr>
      </w:pPr>
      <w:r>
        <w:rPr>
          <w:rFonts w:cs="Times New Roman" w:ascii="Times New Roman" w:hAnsi="Times New Roman"/>
          <w:color w:val="000080"/>
          <w:sz w:val="22"/>
        </w:rPr>
        <w:t>EXHIBIT G – Conceptual List of O &amp; M Spare Parts</w:t>
      </w:r>
    </w:p>
    <w:sectPr>
      <w:footerReference w:type="default" r:id="rId2"/>
      <w:footerReference w:type="first" r:id="rId3"/>
      <w:type w:val="nextPage"/>
      <w:pgSz w:w="12240" w:h="15840"/>
      <w:pgMar w:left="1080" w:right="1080" w:gutter="0" w:header="0" w:top="1440" w:footer="720" w:bottom="1008"/>
      <w:pgNumType w:fmt="decimal"/>
      <w:formProt w:val="false"/>
      <w:titlePg/>
      <w:textDirection w:val="lrTb"/>
      <w:docGrid w:type="default" w:linePitch="163"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ee" w:characterSet="windows-1250"/>
    <w:family w:val="swiss"/>
    <w:pitch w:val="variable"/>
  </w:font>
  <w:font w:name="Wingdings">
    <w:charset w:val="02"/>
    <w:family w:val="auto"/>
    <w:pitch w:val="variable"/>
  </w:font>
  <w:font w:name="Lucida Console">
    <w:charset w:val="00" w:characterSet="windows-1252"/>
    <w:family w:val="modern"/>
    <w:pitch w:val="default"/>
  </w:font>
  <w:font w:name="CG Times (WN)">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ind w:end="360"/>
      <w:jc w:val="both"/>
      <w:rPr/>
    </w:pPr>
    <w:r>
      <w:rPr>
        <w:sz w:val="16"/>
      </w:rPr>
      <w:fldChar w:fldCharType="begin"/>
    </w:r>
    <w:r>
      <w:rPr>
        <w:sz w:val="16"/>
      </w:rPr>
      <w:instrText xml:space="preserve"> FILENAME </w:instrText>
    </w:r>
    <w:r>
      <w:rPr>
        <w:sz w:val="16"/>
      </w:rPr>
      <w:fldChar w:fldCharType="separate"/>
    </w:r>
    <w:r>
      <w:rPr>
        <w:sz w:val="16"/>
      </w:rPr>
      <w:t>FuelCell_Enron__CLEAN__Purchase_Agreement.doc</w:t>
    </w:r>
    <w:r>
      <w:rPr>
        <w:sz w:val="16"/>
      </w:rPr>
      <w:fldChar w:fldCharType="end"/>
    </w:r>
    <w:r>
      <w:rPr>
        <w:sz w:val="16"/>
      </w:rPr>
      <w:tab/>
    </w:r>
    <w:r>
      <mc:AlternateContent>
        <mc:Choice Requires="wps">
          <w:drawing>
            <wp:anchor behindDoc="0" distT="0" distB="0" distL="0" distR="0" simplePos="0" locked="0" layoutInCell="0" allowOverlap="1" relativeHeight="70">
              <wp:simplePos x="0" y="0"/>
              <wp:positionH relativeFrom="margin">
                <wp:align>right</wp:align>
              </wp:positionH>
              <wp:positionV relativeFrom="paragraph">
                <wp:posOffset>635</wp:posOffset>
              </wp:positionV>
              <wp:extent cx="116205" cy="134620"/>
              <wp:effectExtent l="0" t="0" r="0" b="0"/>
              <wp:wrapSquare wrapText="bothSides"/>
              <wp:docPr id="1" name="Frame1"/>
              <a:graphic xmlns:a="http://schemas.openxmlformats.org/drawingml/2006/main">
                <a:graphicData uri="http://schemas.microsoft.com/office/word/2010/wordprocessingShape">
                  <wps:wsp>
                    <wps:cNvSpPr txBox="1"/>
                    <wps:spPr>
                      <a:xfrm>
                        <a:off x="0" y="0"/>
                        <a:ext cx="116205" cy="134620"/>
                      </a:xfrm>
                      <a:prstGeom prst="rect"/>
                      <a:solidFill>
                        <a:srgbClr val="FFFFFF">
                          <a:alpha val="0"/>
                        </a:srgbClr>
                      </a:solidFill>
                    </wps:spPr>
                    <wps:txbx>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70</w:t>
                          </w:r>
                          <w:r>
                            <w:rPr>
                              <w:rStyle w:val="PageNumber"/>
                              <w:sz w:val="18"/>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9.15pt;height:10.6pt;mso-wrap-distance-left:0pt;mso-wrap-distance-right:0pt;mso-wrap-distance-top:0pt;mso-wrap-distance-bottom:0pt;margin-top:0.05pt;mso-position-vertical-relative:text;margin-left:494.85pt;mso-position-horizontal:right;mso-position-horizontal-relative:margin">
              <v:fill opacity="0f"/>
              <v:textbox inset="0in,0in,0in,0in">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70</w:t>
                    </w:r>
                    <w:r>
                      <w:rPr>
                        <w:rStyle w:val="PageNumber"/>
                        <w:sz w:val="18"/>
                        <w:rFonts w:cs="Times New Roman" w:ascii="Times New Roman" w:hAnsi="Times New Roman"/>
                      </w:rPr>
                      <w:fldChar w:fldCharType="end"/>
                    </w:r>
                  </w:p>
                </w:txbxContent>
              </v:textbox>
              <w10:wrap type="square"/>
            </v:rect>
          </w:pict>
        </mc:Fallback>
      </mc:AlternateContent>
    </w:r>
  </w:p>
  <w:p>
    <w:pPr>
      <w:pStyle w:val="Normal"/>
      <w:ind w:end="360"/>
      <w:jc w:val="both"/>
      <w:rPr>
        <w:sz w:val="16"/>
      </w:rPr>
    </w:pPr>
    <w:r>
      <w:rPr>
        <w:sz w:val="16"/>
      </w:rPr>
      <w:tab/>
      <w:tab/>
      <w:tab/>
      <w:t xml:space="preserve"> Purchaser  _________      Seller 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HART1-900266-5</w:t>
    </w:r>
  </w:p>
  <w:p>
    <w:pPr>
      <w:pStyle w:val="Footer"/>
      <w:rPr>
        <w:rFonts w:ascii="Times New Roman" w:hAnsi="Times New Roman" w:cs="Times New Roman"/>
        <w:sz w:val="16"/>
      </w:rPr>
    </w:pPr>
    <w:r>
      <w:rPr>
        <w:rFonts w:cs="Times New Roman" w:ascii="Times New Roman" w:hAnsi="Times New Roman"/>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lowerRoman"/>
      <w:lvlText w:val="(%1)"/>
      <w:lvlJc w:val="start"/>
      <w:pPr>
        <w:tabs>
          <w:tab w:val="num" w:pos="1440"/>
        </w:tabs>
        <w:ind w:start="1440" w:hanging="720"/>
      </w:pPr>
      <w:rPr/>
    </w:lvl>
  </w:abstractNum>
  <w:abstractNum w:abstractNumId="3">
    <w:lvl w:ilvl="0">
      <w:start w:val="1"/>
      <w:numFmt w:val="lowerLetter"/>
      <w:lvlText w:val="(%1)"/>
      <w:lvlJc w:val="start"/>
      <w:pPr>
        <w:tabs>
          <w:tab w:val="num" w:pos="1740"/>
        </w:tabs>
        <w:ind w:start="1740" w:hanging="1020"/>
      </w:pPr>
      <w:rPr/>
    </w:lvl>
  </w:abstractNum>
  <w:abstractNum w:abstractNumId="4">
    <w:lvl w:ilvl="0">
      <w:start w:val="1"/>
      <w:numFmt w:val="lowerRoman"/>
      <w:lvlText w:val="(%1)"/>
      <w:lvlJc w:val="start"/>
      <w:pPr>
        <w:tabs>
          <w:tab w:val="num" w:pos="1440"/>
        </w:tabs>
        <w:ind w:start="1440" w:hanging="720"/>
      </w:pPr>
      <w:rPr/>
    </w:lvl>
  </w:abstractNum>
  <w:abstractNum w:abstractNumId="5">
    <w:lvl w:ilvl="0">
      <w:start w:val="6"/>
      <w:numFmt w:val="lowerLetter"/>
      <w:lvlText w:val="(%1)"/>
      <w:lvlJc w:val="start"/>
      <w:pPr>
        <w:tabs>
          <w:tab w:val="num" w:pos="1080"/>
        </w:tabs>
        <w:ind w:start="1080" w:hanging="360"/>
      </w:pPr>
      <w:rPr/>
    </w:lvl>
  </w:abstractNum>
  <w:abstractNum w:abstractNumId="6">
    <w:lvl w:ilvl="0">
      <w:start w:val="1"/>
      <w:numFmt w:val="lowerLetter"/>
      <w:lvlText w:val="(%1)"/>
      <w:lvlJc w:val="start"/>
      <w:pPr>
        <w:tabs>
          <w:tab w:val="num" w:pos="1440"/>
        </w:tabs>
        <w:ind w:start="1440" w:hanging="720"/>
      </w:pPr>
      <w:rPr/>
    </w:lvl>
  </w:abstractNum>
  <w:abstractNum w:abstractNumId="7">
    <w:lvl w:ilvl="0">
      <w:start w:val="2"/>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u w:val="none"/>
    </w:rPr>
  </w:style>
  <w:style w:type="character" w:styleId="WW8Num43z0">
    <w:name w:val="WW8Num43z0"/>
    <w:qFormat/>
    <w:rPr>
      <w:rFonts w:ascii="Lucida Console" w:hAnsi="Lucida Console" w:cs="ITC Zapf Dingbats (DV)"/>
    </w:rPr>
  </w:style>
  <w:style w:type="character" w:styleId="WW8Num44z0">
    <w:name w:val="WW8Num44z0"/>
    <w:qFormat/>
    <w:rPr/>
  </w:style>
  <w:style w:type="character" w:styleId="WW8Num45z0">
    <w:name w:val="WW8Num45z0"/>
    <w:qFormat/>
    <w:rPr/>
  </w:style>
  <w:style w:type="character" w:styleId="WW8Num46z0">
    <w:name w:val="WW8Num46z0"/>
    <w:qFormat/>
    <w:rPr>
      <w:u w:val="single"/>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color w:val="auto"/>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Arial" w:hAnsi="Arial" w:cs="Arial"/>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Wingdings" w:hAnsi="Wingdings" w:cs="Wingdings"/>
    </w:rPr>
  </w:style>
  <w:style w:type="character" w:styleId="WW8Num72z0">
    <w:name w:val="WW8Num72z0"/>
    <w:qFormat/>
    <w:rPr/>
  </w:style>
  <w:style w:type="character" w:styleId="WW8Num73z0">
    <w:name w:val="WW8Num73z0"/>
    <w:qFormat/>
    <w:rPr>
      <w:rFonts w:ascii="Symbol" w:hAnsi="Symbol" w:cs="Symbol"/>
      <w:color w:val="auto"/>
    </w:rPr>
  </w:style>
  <w:style w:type="character" w:styleId="WW8Num74z0">
    <w:name w:val="WW8Num74z0"/>
    <w:qFormat/>
    <w:rPr/>
  </w:style>
  <w:style w:type="character" w:styleId="WW8Num75z0">
    <w:name w:val="WW8Num75z0"/>
    <w:qFormat/>
    <w:rPr/>
  </w:style>
  <w:style w:type="character" w:styleId="WW8Num76z0">
    <w:name w:val="WW8Num76z0"/>
    <w:qFormat/>
    <w:rPr>
      <w:rFonts w:ascii="Arial" w:hAnsi="Arial" w:cs="Arial"/>
      <w:sz w:val="19"/>
    </w:rPr>
  </w:style>
  <w:style w:type="character" w:styleId="WW8Num77z0">
    <w:name w:val="WW8Num77z0"/>
    <w:qFormat/>
    <w:rPr>
      <w:rFonts w:ascii="Symbol" w:hAnsi="Symbol" w:cs="Symbol"/>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Wingdings" w:hAnsi="Wingdings" w:cs="Wingdings"/>
    </w:rPr>
  </w:style>
  <w:style w:type="character" w:styleId="WW8Num84z0">
    <w:name w:val="WW8Num84z0"/>
    <w:qFormat/>
    <w:rPr/>
  </w:style>
  <w:style w:type="character" w:styleId="WW8Num85z0">
    <w:name w:val="WW8Num85z0"/>
    <w:qFormat/>
    <w:rPr>
      <w:rFonts w:ascii="Lucida Console" w:hAnsi="Lucida Console" w:cs="ITC Zapf Dingbats (DV)"/>
    </w:rPr>
  </w:style>
  <w:style w:type="character" w:styleId="WW8Num86z0">
    <w:name w:val="WW8Num86z0"/>
    <w:qFormat/>
    <w:rPr/>
  </w:style>
  <w:style w:type="character" w:styleId="WW8Num87z0">
    <w:name w:val="WW8Num87z0"/>
    <w:qFormat/>
    <w:rPr>
      <w:rFonts w:ascii="Symbol" w:hAnsi="Symbol" w:cs="Symbol"/>
      <w:color w:val="auto"/>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rFonts w:ascii="Arial" w:hAnsi="Arial" w:cs="Arial"/>
    </w:rPr>
  </w:style>
  <w:style w:type="character" w:styleId="WW8Num92z0">
    <w:name w:val="WW8Num92z0"/>
    <w:qFormat/>
    <w:rPr/>
  </w:style>
  <w:style w:type="character" w:styleId="WW8Num93z0">
    <w:name w:val="WW8Num93z0"/>
    <w:qFormat/>
    <w:rPr>
      <w:u w:val="single"/>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rFonts w:ascii="Wingdings" w:hAnsi="Wingdings" w:cs="Wingdings"/>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7z0">
    <w:name w:val="WW8Num107z0"/>
    <w:qFormat/>
    <w:rPr/>
  </w:style>
  <w:style w:type="character" w:styleId="WW8Num109z0">
    <w:name w:val="WW8Num109z0"/>
    <w:qFormat/>
    <w:rPr/>
  </w:style>
  <w:style w:type="character" w:styleId="WW8Num110z0">
    <w:name w:val="WW8Num110z0"/>
    <w:qFormat/>
    <w:rPr/>
  </w:style>
  <w:style w:type="character" w:styleId="WW8Num111z0">
    <w:name w:val="WW8Num111z0"/>
    <w:qFormat/>
    <w:rPr>
      <w:rFonts w:ascii="Arial" w:hAnsi="Arial" w:cs="Arial"/>
    </w:rPr>
  </w:style>
  <w:style w:type="character" w:styleId="WW8Num112z0">
    <w:name w:val="WW8Num112z0"/>
    <w:qFormat/>
    <w:rPr/>
  </w:style>
  <w:style w:type="character" w:styleId="WW8Num113z0">
    <w:name w:val="WW8Num113z0"/>
    <w:qFormat/>
    <w:rPr>
      <w:rFonts w:ascii="Times New Roman" w:hAnsi="Times New Roman" w:cs="Times New Roman"/>
    </w:rPr>
  </w:style>
  <w:style w:type="character" w:styleId="WW8Num114z0">
    <w:name w:val="WW8Num114z0"/>
    <w:qFormat/>
    <w:rPr/>
  </w:style>
  <w:style w:type="character" w:styleId="WW8Num115z0">
    <w:name w:val="WW8Num115z0"/>
    <w:qFormat/>
    <w:rPr>
      <w:u w:val="single"/>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u w:val="single"/>
    </w:rPr>
  </w:style>
  <w:style w:type="character" w:styleId="WW8Num122z0">
    <w:name w:val="WW8Num122z0"/>
    <w:qFormat/>
    <w:rPr/>
  </w:style>
  <w:style w:type="character" w:styleId="WW8Num123z0">
    <w:name w:val="WW8Num123z0"/>
    <w:qFormat/>
    <w:rPr/>
  </w:style>
  <w:style w:type="character" w:styleId="WW8Num124z0">
    <w:name w:val="WW8Num124z0"/>
    <w:qFormat/>
    <w:rPr>
      <w:rFonts w:ascii="Symbol" w:hAnsi="Symbol" w:cs="Symbol"/>
      <w:color w:val="auto"/>
    </w:rPr>
  </w:style>
  <w:style w:type="character" w:styleId="WW8Num125z0">
    <w:name w:val="WW8Num125z0"/>
    <w:qFormat/>
    <w:rPr>
      <w:rFonts w:ascii="Symbol" w:hAnsi="Symbol" w:cs="Symbol"/>
      <w:color w:val="auto"/>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1z0">
    <w:name w:val="WW8Num131z0"/>
    <w:qFormat/>
    <w:rPr/>
  </w:style>
  <w:style w:type="character" w:styleId="WW8Num132z0">
    <w:name w:val="WW8Num132z0"/>
    <w:qFormat/>
    <w:rPr>
      <w:rFonts w:ascii="Wingdings" w:hAnsi="Wingdings" w:cs="Wingdings"/>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3z0">
    <w:name w:val="WW8Num143z0"/>
    <w:qFormat/>
    <w:rPr>
      <w:rFonts w:ascii="Arial" w:hAnsi="Arial" w:cs="Arial"/>
    </w:rPr>
  </w:style>
  <w:style w:type="character" w:styleId="WW8Num144z0">
    <w:name w:val="WW8Num144z0"/>
    <w:qFormat/>
    <w:rPr/>
  </w:style>
  <w:style w:type="character" w:styleId="WW8Num145z0">
    <w:name w:val="WW8Num145z0"/>
    <w:qFormat/>
    <w:rPr>
      <w:b/>
    </w:rPr>
  </w:style>
  <w:style w:type="character" w:styleId="WW8Num146z0">
    <w:name w:val="WW8Num146z0"/>
    <w:qFormat/>
    <w:rPr/>
  </w:style>
  <w:style w:type="character" w:styleId="WW8Num147z0">
    <w:name w:val="WW8Num147z0"/>
    <w:qFormat/>
    <w:rPr/>
  </w:style>
  <w:style w:type="character" w:styleId="WW8Num148z0">
    <w:name w:val="WW8Num148z0"/>
    <w:qFormat/>
    <w:rPr/>
  </w:style>
  <w:style w:type="character" w:styleId="WW8Num149z0">
    <w:name w:val="WW8Num149z0"/>
    <w:qFormat/>
    <w:rPr/>
  </w:style>
  <w:style w:type="character" w:styleId="WW8Num150z0">
    <w:name w:val="WW8Num150z0"/>
    <w:qFormat/>
    <w:rPr>
      <w:rFonts w:ascii="Arial" w:hAnsi="Arial" w:cs="Arial"/>
      <w:sz w:val="19"/>
    </w:rPr>
  </w:style>
  <w:style w:type="character" w:styleId="WW8Num151z0">
    <w:name w:val="WW8Num151z0"/>
    <w:qFormat/>
    <w:rPr>
      <w:rFonts w:ascii="Arial" w:hAnsi="Arial" w:cs="Arial"/>
      <w:sz w:val="19"/>
    </w:rPr>
  </w:style>
  <w:style w:type="character" w:styleId="WW8Num152z0">
    <w:name w:val="WW8Num152z0"/>
    <w:qFormat/>
    <w:rPr/>
  </w:style>
  <w:style w:type="character" w:styleId="WW8Num153z0">
    <w:name w:val="WW8Num153z0"/>
    <w:qFormat/>
    <w:rPr/>
  </w:style>
  <w:style w:type="character" w:styleId="WW8Num154z0">
    <w:name w:val="WW8Num154z0"/>
    <w:qFormat/>
    <w:rPr>
      <w:u w:val="single"/>
    </w:rPr>
  </w:style>
  <w:style w:type="character" w:styleId="WW8Num155z0">
    <w:name w:val="WW8Num155z0"/>
    <w:qFormat/>
    <w:rPr/>
  </w:style>
  <w:style w:type="character" w:styleId="WW8Num156z0">
    <w:name w:val="WW8Num156z0"/>
    <w:qFormat/>
    <w:rPr>
      <w:rFonts w:ascii="Arial" w:hAnsi="Arial" w:cs="Arial"/>
    </w:rPr>
  </w:style>
  <w:style w:type="character" w:styleId="WW8Num157z0">
    <w:name w:val="WW8Num157z0"/>
    <w:qFormat/>
    <w:rPr/>
  </w:style>
  <w:style w:type="character" w:styleId="WW8Num158z0">
    <w:name w:val="WW8Num158z0"/>
    <w:qFormat/>
    <w:rPr>
      <w:rFonts w:ascii="Times New Roman" w:hAnsi="Times New Roman" w:cs="Times New Roman"/>
    </w:rPr>
  </w:style>
  <w:style w:type="character" w:styleId="WW8Num159z0">
    <w:name w:val="WW8Num159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eastAsia="en-CA"/>
    </w:rPr>
  </w:style>
  <w:style w:type="paragraph" w:styleId="TOC2">
    <w:name w:val="toc 2"/>
    <w:basedOn w:val="Normal"/>
    <w:next w:val="Normal"/>
    <w:pPr>
      <w:tabs>
        <w:tab w:val="clear" w:pos="720"/>
        <w:tab w:val="left" w:pos="960" w:leader="none"/>
        <w:tab w:val="right" w:pos="10070" w:leader="dot"/>
      </w:tabs>
      <w:ind w:hanging="0" w:start="245" w:end="0"/>
    </w:pPr>
    <w:rPr>
      <w:rFonts w:ascii="Times New Roman" w:hAnsi="Times New Roman" w:cs="Times New Roman"/>
      <w:szCs w:val="24"/>
      <w:lang w:val="en-CA" w:eastAsia="en-CA"/>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2000-11-10T00:39:00Z</dcterms:created>
  <dc:creator>EECC</dc:creator>
  <dc:description/>
  <dc:language>en-CA</dc:language>
  <cp:lastModifiedBy>IS Department</cp:lastModifiedBy>
  <cp:lastPrinted>2000-11-09T22:03:00Z</cp:lastPrinted>
  <dcterms:modified xsi:type="dcterms:W3CDTF">2000-11-10T00:39:00Z</dcterms:modified>
  <cp:revision>2</cp:revision>
  <dc:subject/>
  <dc:title>AGREEMENT</dc:title>
</cp:coreProperties>
</file>