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 xml:space="preserve">Ft. Pierce Project Description </w:t>
      </w:r>
    </w:p>
    <w:p>
      <w:pPr>
        <w:pStyle w:val="Normal"/>
        <w:rPr/>
      </w:pPr>
      <w:r>
        <w:rPr/>
      </w:r>
    </w:p>
    <w:p>
      <w:pPr>
        <w:pStyle w:val="Normal"/>
        <w:rPr/>
      </w:pPr>
      <w:r>
        <w:rPr/>
        <w:t>Expected Deal Close Date:</w:t>
      </w:r>
    </w:p>
    <w:p>
      <w:pPr>
        <w:pStyle w:val="Normal"/>
        <w:rPr/>
      </w:pPr>
      <w:r>
        <w:rPr/>
        <w:t>Operational Date: 6/1/2002</w:t>
      </w:r>
    </w:p>
    <w:p>
      <w:pPr>
        <w:pStyle w:val="Normal"/>
        <w:rPr/>
      </w:pPr>
      <w:r>
        <w:rPr/>
      </w:r>
    </w:p>
    <w:p>
      <w:pPr>
        <w:pStyle w:val="Heading2"/>
        <w:ind w:hanging="0" w:start="0"/>
        <w:rPr/>
      </w:pPr>
      <w:r>
        <w:rPr/>
        <w:t>Deal Summary</w:t>
      </w:r>
    </w:p>
    <w:p>
      <w:pPr>
        <w:pStyle w:val="Normal"/>
        <w:rPr/>
      </w:pPr>
      <w:r>
        <w:rPr/>
      </w:r>
    </w:p>
    <w:p>
      <w:pPr>
        <w:pStyle w:val="Normal"/>
        <w:rPr/>
      </w:pPr>
      <w:r>
        <w:rPr/>
      </w:r>
    </w:p>
    <w:p>
      <w:pPr>
        <w:pStyle w:val="Normal"/>
        <w:rPr/>
      </w:pPr>
      <w:r>
        <w:rPr/>
      </w:r>
    </w:p>
    <w:p>
      <w:pPr>
        <w:pStyle w:val="Heading2"/>
        <w:ind w:hanging="0" w:start="0"/>
        <w:rPr/>
      </w:pPr>
      <w:r>
        <w:rPr/>
        <w:t>CT Turbine</w:t>
      </w:r>
    </w:p>
    <w:p>
      <w:pPr>
        <w:pStyle w:val="Normal"/>
        <w:rPr/>
      </w:pPr>
      <w:r>
        <w:rPr/>
      </w:r>
    </w:p>
    <w:p>
      <w:pPr>
        <w:pStyle w:val="Normal"/>
        <w:rPr/>
      </w:pPr>
      <w:r>
        <w:rPr/>
        <w:t>As of 2/16/2001 we are looking at procuring a 501F from the South America group, which would generate approximately 292 MW on the entire facility.</w:t>
      </w:r>
    </w:p>
    <w:p>
      <w:pPr>
        <w:pStyle w:val="Normal"/>
        <w:rPr/>
      </w:pPr>
      <w:r>
        <w:rPr/>
      </w:r>
    </w:p>
    <w:p>
      <w:pPr>
        <w:pStyle w:val="Normal"/>
        <w:rPr/>
      </w:pPr>
      <w:r>
        <w:rPr/>
      </w:r>
    </w:p>
    <w:p>
      <w:pPr>
        <w:pStyle w:val="Heading2"/>
        <w:ind w:hanging="0" w:start="0"/>
        <w:rPr/>
      </w:pPr>
      <w:r>
        <w:rPr/>
        <w:t>Gas Delivery</w:t>
      </w:r>
    </w:p>
    <w:p>
      <w:pPr>
        <w:pStyle w:val="Normal"/>
        <w:rPr/>
      </w:pPr>
      <w:r>
        <w:rPr/>
      </w:r>
    </w:p>
    <w:p>
      <w:pPr>
        <w:pStyle w:val="Normal"/>
        <w:rPr/>
      </w:pPr>
      <w:r>
        <w:rPr/>
        <w:t>Currently, we are looking at purchasing the gas for Ft. Pierce at an index price.  The gas and power structuring team are looking at what blend of index energy and calls would best suit the operating needs of the plant.</w:t>
      </w:r>
    </w:p>
    <w:p>
      <w:pPr>
        <w:pStyle w:val="Normal"/>
        <w:rPr/>
      </w:pPr>
      <w:r>
        <w:rPr/>
      </w:r>
    </w:p>
    <w:p>
      <w:pPr>
        <w:pStyle w:val="Normal"/>
        <w:rPr/>
      </w:pPr>
      <w:r>
        <w:rPr/>
        <w:t>It is expected that Ft. Pierce will deliver gas at a 9,500 HR for 82 MW of output, when they dispatch the plant.  Ft. Pierce has transport agreements for 13,900 of capacity.  If Ft. Pierce does not use this capacity, it turns over to Florida Gas Utilities.  Dave Fairley is working with Ft. Pierce to see whether ENA can use this capacity when Ft. Pierce has not dispatched.</w:t>
      </w:r>
    </w:p>
    <w:p>
      <w:pPr>
        <w:pStyle w:val="Normal"/>
        <w:rPr/>
      </w:pPr>
      <w:r>
        <w:rPr/>
      </w:r>
    </w:p>
    <w:p>
      <w:pPr>
        <w:pStyle w:val="Normal"/>
        <w:rPr/>
      </w:pPr>
      <w:r>
        <w:rPr/>
        <w:t xml:space="preserve">There are several alternatives available to deliver gas to the plant.  The Phase VI expansion on FGT starts in June of 2003.  Until this pipe is expanded, it would be up to the East Gas desk to deliver the gas.  Currently, the East desk has some NUI capacity (HOW MUCH NUI CAPACITY TO WE OWN?) that could be used to serve the plant, but if the desk could make more money selling the capacity, they would do this, and serve the Ft. Pierce facility from the market until the Phase VI expansion. </w:t>
      </w:r>
    </w:p>
    <w:p>
      <w:pPr>
        <w:pStyle w:val="Normal"/>
        <w:rPr/>
      </w:pPr>
      <w:r>
        <w:rPr/>
      </w:r>
    </w:p>
    <w:p>
      <w:pPr>
        <w:pStyle w:val="Normal"/>
        <w:rPr/>
      </w:pPr>
      <w:r>
        <w:rPr>
          <w:u w:val="single"/>
        </w:rPr>
        <w:t>FGT Phase VI expansion</w:t>
      </w:r>
      <w:r>
        <w:rPr/>
        <w:t>: It is in Enron’s best interest to participate in the Phase VI expansion.  The deal team is confident we can sell this capacity if we do not use it for this project.  Fuel losses on the transport capacity are capped at 3.25%, but the estimate for this project is 2.25%. The Phase VI expansion is for approximately 150,000 – 200,000 mmbtu a day.  A positive characteristic of the Phase VI expansion, is the tilt feature.  FGT is allowing transporters to purchase their max quantity in the summers, and 28% of this amount in the winters.  This minimizes the amount of demand that the customer must pay in the months when usage is low.</w:t>
      </w:r>
    </w:p>
    <w:p>
      <w:pPr>
        <w:pStyle w:val="Normal"/>
        <w:rPr/>
      </w:pPr>
      <w:r>
        <w:rPr/>
      </w:r>
    </w:p>
    <w:p>
      <w:pPr>
        <w:pStyle w:val="Normal"/>
        <w:rPr/>
      </w:pPr>
      <w:r>
        <w:rPr/>
      </w:r>
    </w:p>
    <w:p>
      <w:pPr>
        <w:pStyle w:val="Normal"/>
        <w:rPr/>
      </w:pPr>
      <w:r>
        <w:rPr/>
      </w:r>
    </w:p>
    <w:p>
      <w:pPr>
        <w:pStyle w:val="Normal"/>
        <w:rPr/>
      </w:pPr>
      <w:r>
        <w:rPr/>
      </w:r>
    </w:p>
    <w:p>
      <w:pPr>
        <w:pStyle w:val="Heading2"/>
        <w:ind w:hanging="0" w:start="0"/>
        <w:rPr/>
      </w:pPr>
      <w:r>
        <w:rPr/>
        <w:t>Fuel Oil</w:t>
      </w:r>
    </w:p>
    <w:p>
      <w:pPr>
        <w:pStyle w:val="Normal"/>
        <w:rPr/>
      </w:pPr>
      <w:r>
        <w:rPr/>
      </w:r>
    </w:p>
    <w:p>
      <w:pPr>
        <w:pStyle w:val="Normal"/>
        <w:rPr/>
      </w:pPr>
      <w:r>
        <w:rPr/>
        <w:t>There is a backup fuel oil tank on the site, but there are a couple of points to take note of:</w:t>
      </w:r>
    </w:p>
    <w:p>
      <w:pPr>
        <w:pStyle w:val="Normal"/>
        <w:rPr/>
      </w:pPr>
      <w:r>
        <w:rPr/>
      </w:r>
    </w:p>
    <w:p>
      <w:pPr>
        <w:pStyle w:val="Normal"/>
        <w:numPr>
          <w:ilvl w:val="0"/>
          <w:numId w:val="2"/>
        </w:numPr>
        <w:rPr/>
      </w:pPr>
      <w:r>
        <w:rPr/>
        <w:t>Current permitting limits the run hours to 600-1000 hours a year</w:t>
      </w:r>
    </w:p>
    <w:p>
      <w:pPr>
        <w:pStyle w:val="Normal"/>
        <w:numPr>
          <w:ilvl w:val="0"/>
          <w:numId w:val="2"/>
        </w:numPr>
        <w:rPr/>
      </w:pPr>
      <w:r>
        <w:rPr/>
        <w:t>The site currently has only 2-3 days of fuel on site (half of this belongs to FPUA) CHECK – DOES THIS INCLUDE FPUA’S ALLOCATION?</w:t>
      </w:r>
    </w:p>
    <w:p>
      <w:pPr>
        <w:pStyle w:val="Normal"/>
        <w:numPr>
          <w:ilvl w:val="0"/>
          <w:numId w:val="2"/>
        </w:numPr>
        <w:rPr/>
      </w:pPr>
      <w:r>
        <w:rPr/>
        <w:t>As part of the upgrades to the site, ENA plans to install a new tank, which is safer than the tank that currently resides on the site.  The new tank has 2 walls, so the containment area is no longer needed.</w:t>
      </w:r>
    </w:p>
    <w:p>
      <w:pPr>
        <w:pStyle w:val="Normal"/>
        <w:numPr>
          <w:ilvl w:val="0"/>
          <w:numId w:val="2"/>
        </w:numPr>
        <w:rPr/>
      </w:pPr>
      <w:r>
        <w:rPr/>
        <w:t>The current permit only allows for 660,000 gallons of fuel on site, due to the size of the containment area, and the structure of the tank.  Once the new tank is installed, the deal team (?regulatory)  feels that we can re-permit the site and increase the storage capacity from 660,000 to 1,000,000 gallons.</w:t>
      </w:r>
    </w:p>
    <w:p>
      <w:pPr>
        <w:pStyle w:val="Normal"/>
        <w:rPr/>
      </w:pPr>
      <w:r>
        <w:rPr/>
      </w:r>
    </w:p>
    <w:p>
      <w:pPr>
        <w:pStyle w:val="Heading2"/>
        <w:ind w:hanging="0" w:start="0"/>
        <w:rPr/>
      </w:pPr>
      <w:r>
        <w:rPr/>
        <w:t>Pricing Scenarios</w:t>
      </w:r>
    </w:p>
    <w:p>
      <w:pPr>
        <w:pStyle w:val="Normal"/>
        <w:rPr/>
      </w:pPr>
      <w:r>
        <w:rPr/>
      </w:r>
    </w:p>
    <w:p>
      <w:pPr>
        <w:pStyle w:val="Normal"/>
        <w:rPr/>
      </w:pPr>
      <w:r>
        <w:rPr/>
        <w:tab/>
      </w:r>
      <w:r>
        <w:rPr>
          <w:u w:val="single"/>
        </w:rPr>
        <w:t>Note:</w:t>
      </w:r>
      <w:r>
        <w:rPr/>
        <w:t xml:space="preserve">  If Ft. Pierce dispatches, when ENA dispatches, Ft. Pierce must contractually provide 9,500 btu/kwh.  If ENA does not dispatch, Ft. Pierce must provide 12,200 btu/kwh to run their boilers.</w:t>
      </w:r>
    </w:p>
    <w:p>
      <w:pPr>
        <w:pStyle w:val="Normal"/>
        <w:rPr/>
      </w:pPr>
      <w:r>
        <w:rPr/>
        <w:tab/>
      </w:r>
    </w:p>
    <w:p>
      <w:pPr>
        <w:pStyle w:val="Normal"/>
        <w:rPr/>
      </w:pPr>
      <w:r>
        <w:rPr/>
      </w:r>
    </w:p>
    <w:p>
      <w:pPr>
        <w:pStyle w:val="Normal"/>
        <w:numPr>
          <w:ilvl w:val="0"/>
          <w:numId w:val="3"/>
        </w:numPr>
        <w:rPr/>
      </w:pPr>
      <w:r>
        <w:rPr/>
        <w:t>No one runs the plant</w:t>
      </w:r>
    </w:p>
    <w:p>
      <w:pPr>
        <w:pStyle w:val="Normal"/>
        <w:numPr>
          <w:ilvl w:val="0"/>
          <w:numId w:val="3"/>
        </w:numPr>
        <w:rPr/>
      </w:pPr>
      <w:r>
        <w:rPr/>
        <w:t>Ft. Pierce &amp; ENA dispatches the plant</w:t>
      </w:r>
    </w:p>
    <w:p>
      <w:pPr>
        <w:pStyle w:val="Normal"/>
        <w:rPr/>
      </w:pPr>
      <w:r>
        <w:rPr/>
      </w:r>
    </w:p>
    <w:tbl>
      <w:tblPr>
        <w:tblW w:w="7416" w:type="dxa"/>
        <w:jc w:val="start"/>
        <w:tblInd w:w="1440" w:type="dxa"/>
        <w:tblLayout w:type="fixed"/>
        <w:tblCellMar>
          <w:top w:w="0" w:type="dxa"/>
          <w:start w:w="108" w:type="dxa"/>
          <w:bottom w:w="0" w:type="dxa"/>
          <w:end w:w="108" w:type="dxa"/>
        </w:tblCellMar>
      </w:tblPr>
      <w:tblGrid>
        <w:gridCol w:w="1438"/>
        <w:gridCol w:w="1490"/>
        <w:gridCol w:w="1460"/>
        <w:gridCol w:w="1531"/>
        <w:gridCol w:w="1497"/>
      </w:tblGrid>
      <w:tr>
        <w:trPr/>
        <w:tc>
          <w:tcPr>
            <w:tcW w:w="143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490"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Ft. Pierce</w:t>
            </w:r>
          </w:p>
        </w:tc>
        <w:tc>
          <w:tcPr>
            <w:tcW w:w="1460"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ENA</w:t>
            </w:r>
          </w:p>
        </w:tc>
        <w:tc>
          <w:tcPr>
            <w:tcW w:w="1531"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Facility</w:t>
            </w:r>
          </w:p>
        </w:tc>
        <w:tc>
          <w:tcPr>
            <w:tcW w:w="1497"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Boiler</w:t>
            </w:r>
          </w:p>
        </w:tc>
      </w:tr>
      <w:tr>
        <w:trPr/>
        <w:tc>
          <w:tcPr>
            <w:tcW w:w="1438" w:type="dxa"/>
            <w:tcBorders>
              <w:top w:val="single" w:sz="4" w:space="0" w:color="000000"/>
              <w:start w:val="single" w:sz="4" w:space="0" w:color="000000"/>
              <w:bottom w:val="single" w:sz="4" w:space="0" w:color="000000"/>
              <w:end w:val="single" w:sz="4" w:space="0" w:color="000000"/>
            </w:tcBorders>
          </w:tcPr>
          <w:p>
            <w:pPr>
              <w:pStyle w:val="Heading3"/>
              <w:ind w:hanging="0" w:start="0"/>
              <w:rPr/>
            </w:pPr>
            <w:r>
              <w:rPr/>
              <w:t>MW</w:t>
            </w:r>
          </w:p>
        </w:tc>
        <w:tc>
          <w:tcPr>
            <w:tcW w:w="1490" w:type="dxa"/>
            <w:tcBorders>
              <w:top w:val="single" w:sz="4" w:space="0" w:color="000000"/>
              <w:start w:val="single" w:sz="4" w:space="0" w:color="000000"/>
              <w:bottom w:val="single" w:sz="4" w:space="0" w:color="000000"/>
              <w:end w:val="single" w:sz="4" w:space="0" w:color="000000"/>
            </w:tcBorders>
          </w:tcPr>
          <w:p>
            <w:pPr>
              <w:pStyle w:val="Normal"/>
              <w:jc w:val="center"/>
              <w:rPr/>
            </w:pPr>
            <w:r>
              <w:rPr/>
              <w:t>82</w:t>
            </w:r>
          </w:p>
        </w:tc>
        <w:tc>
          <w:tcPr>
            <w:tcW w:w="1460" w:type="dxa"/>
            <w:tcBorders>
              <w:top w:val="single" w:sz="4" w:space="0" w:color="000000"/>
              <w:start w:val="single" w:sz="4" w:space="0" w:color="000000"/>
              <w:bottom w:val="single" w:sz="4" w:space="0" w:color="000000"/>
              <w:end w:val="single" w:sz="4" w:space="0" w:color="000000"/>
            </w:tcBorders>
          </w:tcPr>
          <w:p>
            <w:pPr>
              <w:pStyle w:val="Normal"/>
              <w:jc w:val="center"/>
              <w:rPr/>
            </w:pPr>
            <w:r>
              <w:rPr/>
              <w:t>210</w:t>
            </w:r>
          </w:p>
        </w:tc>
        <w:tc>
          <w:tcPr>
            <w:tcW w:w="1531" w:type="dxa"/>
            <w:tcBorders>
              <w:top w:val="single" w:sz="4" w:space="0" w:color="000000"/>
              <w:start w:val="single" w:sz="4" w:space="0" w:color="000000"/>
              <w:bottom w:val="single" w:sz="4" w:space="0" w:color="000000"/>
              <w:end w:val="single" w:sz="4" w:space="0" w:color="000000"/>
            </w:tcBorders>
          </w:tcPr>
          <w:p>
            <w:pPr>
              <w:pStyle w:val="Normal"/>
              <w:jc w:val="center"/>
              <w:rPr/>
            </w:pPr>
            <w:r>
              <w:rPr/>
              <w:t>292</w:t>
            </w:r>
          </w:p>
        </w:tc>
        <w:tc>
          <w:tcPr>
            <w:tcW w:w="1497" w:type="dxa"/>
            <w:tcBorders>
              <w:top w:val="single" w:sz="4" w:space="0" w:color="000000"/>
              <w:start w:val="single" w:sz="4" w:space="0" w:color="000000"/>
              <w:bottom w:val="single" w:sz="4" w:space="0" w:color="000000"/>
              <w:end w:val="single" w:sz="4" w:space="0" w:color="000000"/>
            </w:tcBorders>
          </w:tcPr>
          <w:p>
            <w:pPr>
              <w:pStyle w:val="Normal"/>
              <w:jc w:val="center"/>
              <w:rPr/>
            </w:pPr>
            <w:r>
              <w:rPr/>
              <w:t>N/A</w:t>
            </w:r>
          </w:p>
        </w:tc>
      </w:tr>
      <w:tr>
        <w:trPr/>
        <w:tc>
          <w:tcPr>
            <w:tcW w:w="1438"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HR</w:t>
            </w:r>
          </w:p>
        </w:tc>
        <w:tc>
          <w:tcPr>
            <w:tcW w:w="1490" w:type="dxa"/>
            <w:tcBorders>
              <w:top w:val="single" w:sz="4" w:space="0" w:color="000000"/>
              <w:start w:val="single" w:sz="4" w:space="0" w:color="000000"/>
              <w:bottom w:val="single" w:sz="4" w:space="0" w:color="000000"/>
              <w:end w:val="single" w:sz="4" w:space="0" w:color="000000"/>
            </w:tcBorders>
          </w:tcPr>
          <w:p>
            <w:pPr>
              <w:pStyle w:val="Normal"/>
              <w:jc w:val="center"/>
              <w:rPr/>
            </w:pPr>
            <w:r>
              <w:rPr/>
              <w:t>9,500</w:t>
            </w:r>
          </w:p>
        </w:tc>
        <w:tc>
          <w:tcPr>
            <w:tcW w:w="1460" w:type="dxa"/>
            <w:tcBorders>
              <w:top w:val="single" w:sz="4" w:space="0" w:color="000000"/>
              <w:start w:val="single" w:sz="4" w:space="0" w:color="000000"/>
              <w:bottom w:val="single" w:sz="4" w:space="0" w:color="000000"/>
              <w:end w:val="single" w:sz="4" w:space="0" w:color="000000"/>
            </w:tcBorders>
          </w:tcPr>
          <w:p>
            <w:pPr>
              <w:pStyle w:val="Normal"/>
              <w:jc w:val="center"/>
              <w:rPr/>
            </w:pPr>
            <w:r>
              <w:rPr/>
              <w:t>6,692</w:t>
            </w:r>
          </w:p>
        </w:tc>
        <w:tc>
          <w:tcPr>
            <w:tcW w:w="1531" w:type="dxa"/>
            <w:tcBorders>
              <w:top w:val="single" w:sz="4" w:space="0" w:color="000000"/>
              <w:start w:val="single" w:sz="4" w:space="0" w:color="000000"/>
              <w:bottom w:val="single" w:sz="4" w:space="0" w:color="000000"/>
              <w:end w:val="single" w:sz="4" w:space="0" w:color="000000"/>
            </w:tcBorders>
          </w:tcPr>
          <w:p>
            <w:pPr>
              <w:pStyle w:val="Normal"/>
              <w:jc w:val="center"/>
              <w:rPr/>
            </w:pPr>
            <w:r>
              <w:rPr/>
              <w:t>7,563</w:t>
            </w:r>
          </w:p>
        </w:tc>
        <w:tc>
          <w:tcPr>
            <w:tcW w:w="1497" w:type="dxa"/>
            <w:tcBorders>
              <w:top w:val="single" w:sz="4" w:space="0" w:color="000000"/>
              <w:start w:val="single" w:sz="4" w:space="0" w:color="000000"/>
              <w:bottom w:val="single" w:sz="4" w:space="0" w:color="000000"/>
              <w:end w:val="single" w:sz="4" w:space="0" w:color="000000"/>
            </w:tcBorders>
          </w:tcPr>
          <w:p>
            <w:pPr>
              <w:pStyle w:val="Normal"/>
              <w:jc w:val="center"/>
              <w:rPr/>
            </w:pPr>
            <w:r>
              <w:rPr/>
              <w:t>12,200</w:t>
            </w:r>
          </w:p>
        </w:tc>
      </w:tr>
    </w:tbl>
    <w:p>
      <w:pPr>
        <w:pStyle w:val="Normal"/>
        <w:rPr/>
      </w:pPr>
      <w:r>
        <w:rPr/>
      </w:r>
    </w:p>
    <w:p>
      <w:pPr>
        <w:pStyle w:val="Normal"/>
        <w:rPr/>
      </w:pPr>
      <w:r>
        <w:rPr/>
      </w:r>
    </w:p>
    <w:p>
      <w:pPr>
        <w:pStyle w:val="BodyTextIndent"/>
        <w:numPr>
          <w:ilvl w:val="0"/>
          <w:numId w:val="3"/>
        </w:numPr>
        <w:rPr/>
      </w:pPr>
      <w:r>
        <w:rPr/>
        <w:t>Ft. Pierce does not dispatch, ENA dispatches the plant, and tolls through Ft. Pierces boilers</w:t>
      </w:r>
    </w:p>
    <w:p>
      <w:pPr>
        <w:pStyle w:val="BodyTextIndent"/>
        <w:rPr/>
      </w:pPr>
      <w:r>
        <w:rPr/>
      </w:r>
    </w:p>
    <w:tbl>
      <w:tblPr>
        <w:tblW w:w="7416" w:type="dxa"/>
        <w:jc w:val="start"/>
        <w:tblInd w:w="1440" w:type="dxa"/>
        <w:tblLayout w:type="fixed"/>
        <w:tblCellMar>
          <w:top w:w="0" w:type="dxa"/>
          <w:start w:w="108" w:type="dxa"/>
          <w:bottom w:w="0" w:type="dxa"/>
          <w:end w:w="108" w:type="dxa"/>
        </w:tblCellMar>
      </w:tblPr>
      <w:tblGrid>
        <w:gridCol w:w="1440"/>
        <w:gridCol w:w="1492"/>
        <w:gridCol w:w="1452"/>
        <w:gridCol w:w="1533"/>
        <w:gridCol w:w="1499"/>
      </w:tblGrid>
      <w:tr>
        <w:trPr/>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492"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Ft. Pierce</w:t>
            </w:r>
          </w:p>
        </w:tc>
        <w:tc>
          <w:tcPr>
            <w:tcW w:w="1452"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ENA</w:t>
            </w:r>
          </w:p>
        </w:tc>
        <w:tc>
          <w:tcPr>
            <w:tcW w:w="1533"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Facility</w:t>
            </w:r>
          </w:p>
        </w:tc>
        <w:tc>
          <w:tcPr>
            <w:tcW w:w="1499"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Boiler</w:t>
            </w:r>
          </w:p>
        </w:tc>
      </w:tr>
      <w:tr>
        <w:trPr/>
        <w:tc>
          <w:tcPr>
            <w:tcW w:w="1440" w:type="dxa"/>
            <w:tcBorders>
              <w:top w:val="single" w:sz="4" w:space="0" w:color="000000"/>
              <w:start w:val="single" w:sz="4" w:space="0" w:color="000000"/>
              <w:bottom w:val="single" w:sz="4" w:space="0" w:color="000000"/>
              <w:end w:val="single" w:sz="4" w:space="0" w:color="000000"/>
            </w:tcBorders>
          </w:tcPr>
          <w:p>
            <w:pPr>
              <w:pStyle w:val="Heading3"/>
              <w:ind w:hanging="0" w:start="0"/>
              <w:rPr/>
            </w:pPr>
            <w:r>
              <w:rPr/>
              <w:t>MW</w:t>
            </w:r>
          </w:p>
        </w:tc>
        <w:tc>
          <w:tcPr>
            <w:tcW w:w="1492" w:type="dxa"/>
            <w:tcBorders>
              <w:top w:val="single" w:sz="4" w:space="0" w:color="000000"/>
              <w:start w:val="single" w:sz="4" w:space="0" w:color="000000"/>
              <w:bottom w:val="single" w:sz="4" w:space="0" w:color="000000"/>
              <w:end w:val="single" w:sz="4" w:space="0" w:color="000000"/>
            </w:tcBorders>
          </w:tcPr>
          <w:p>
            <w:pPr>
              <w:pStyle w:val="Normal"/>
              <w:jc w:val="center"/>
              <w:rPr/>
            </w:pPr>
            <w:r>
              <w:rPr/>
              <w:t>0</w:t>
            </w:r>
          </w:p>
        </w:tc>
        <w:tc>
          <w:tcPr>
            <w:tcW w:w="1452" w:type="dxa"/>
            <w:tcBorders>
              <w:top w:val="single" w:sz="4" w:space="0" w:color="000000"/>
              <w:start w:val="single" w:sz="4" w:space="0" w:color="000000"/>
              <w:bottom w:val="single" w:sz="4" w:space="0" w:color="000000"/>
              <w:end w:val="single" w:sz="4" w:space="0" w:color="000000"/>
            </w:tcBorders>
          </w:tcPr>
          <w:p>
            <w:pPr>
              <w:pStyle w:val="Normal"/>
              <w:jc w:val="center"/>
              <w:rPr/>
            </w:pPr>
            <w:r>
              <w:rPr/>
              <w:t>292</w:t>
            </w:r>
          </w:p>
        </w:tc>
        <w:tc>
          <w:tcPr>
            <w:tcW w:w="1533" w:type="dxa"/>
            <w:tcBorders>
              <w:top w:val="single" w:sz="4" w:space="0" w:color="000000"/>
              <w:start w:val="single" w:sz="4" w:space="0" w:color="000000"/>
              <w:bottom w:val="single" w:sz="4" w:space="0" w:color="000000"/>
              <w:end w:val="single" w:sz="4" w:space="0" w:color="000000"/>
            </w:tcBorders>
          </w:tcPr>
          <w:p>
            <w:pPr>
              <w:pStyle w:val="Normal"/>
              <w:jc w:val="center"/>
              <w:rPr/>
            </w:pPr>
            <w:r>
              <w:rPr/>
              <w:t>292</w:t>
            </w:r>
          </w:p>
        </w:tc>
        <w:tc>
          <w:tcPr>
            <w:tcW w:w="1499" w:type="dxa"/>
            <w:tcBorders>
              <w:top w:val="single" w:sz="4" w:space="0" w:color="000000"/>
              <w:start w:val="single" w:sz="4" w:space="0" w:color="000000"/>
              <w:bottom w:val="single" w:sz="4" w:space="0" w:color="000000"/>
              <w:end w:val="single" w:sz="4" w:space="0" w:color="000000"/>
            </w:tcBorders>
          </w:tcPr>
          <w:p>
            <w:pPr>
              <w:pStyle w:val="Normal"/>
              <w:jc w:val="center"/>
              <w:rPr/>
            </w:pPr>
            <w:r>
              <w:rPr/>
              <w:t>N/A</w:t>
            </w:r>
          </w:p>
        </w:tc>
      </w:tr>
      <w:tr>
        <w:trPr/>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HR</w:t>
            </w:r>
          </w:p>
        </w:tc>
        <w:tc>
          <w:tcPr>
            <w:tcW w:w="149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Cs/>
              </w:rPr>
            </w:pPr>
            <w:r>
              <w:rPr>
                <w:b/>
                <w:bCs/>
              </w:rPr>
            </w:r>
          </w:p>
        </w:tc>
        <w:tc>
          <w:tcPr>
            <w:tcW w:w="145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33" w:type="dxa"/>
            <w:tcBorders>
              <w:top w:val="single" w:sz="4" w:space="0" w:color="000000"/>
              <w:start w:val="single" w:sz="4" w:space="0" w:color="000000"/>
              <w:bottom w:val="single" w:sz="4" w:space="0" w:color="000000"/>
              <w:end w:val="single" w:sz="4" w:space="0" w:color="000000"/>
            </w:tcBorders>
          </w:tcPr>
          <w:p>
            <w:pPr>
              <w:pStyle w:val="Normal"/>
              <w:jc w:val="center"/>
              <w:rPr/>
            </w:pPr>
            <w:r>
              <w:rPr/>
              <w:t>7,563</w:t>
            </w:r>
          </w:p>
        </w:tc>
        <w:tc>
          <w:tcPr>
            <w:tcW w:w="1499" w:type="dxa"/>
            <w:tcBorders>
              <w:top w:val="single" w:sz="4" w:space="0" w:color="000000"/>
              <w:start w:val="single" w:sz="4" w:space="0" w:color="000000"/>
              <w:bottom w:val="single" w:sz="4" w:space="0" w:color="000000"/>
              <w:end w:val="single" w:sz="4" w:space="0" w:color="000000"/>
            </w:tcBorders>
          </w:tcPr>
          <w:p>
            <w:pPr>
              <w:pStyle w:val="Normal"/>
              <w:jc w:val="center"/>
              <w:rPr/>
            </w:pPr>
            <w:r>
              <w:rPr/>
              <w:t>12,200</w:t>
            </w:r>
          </w:p>
        </w:tc>
      </w:tr>
    </w:tbl>
    <w:p>
      <w:pPr>
        <w:pStyle w:val="BodyTextIndent"/>
        <w:rPr/>
      </w:pPr>
      <w:r>
        <w:rPr/>
      </w:r>
    </w:p>
    <w:p>
      <w:pPr>
        <w:pStyle w:val="BodyTextIndent"/>
        <w:numPr>
          <w:ilvl w:val="0"/>
          <w:numId w:val="3"/>
        </w:numPr>
        <w:rPr/>
      </w:pPr>
      <w:r>
        <w:rPr/>
        <w:t>Ft. Pierce dispatches, ENA does not dispatch</w:t>
      </w:r>
    </w:p>
    <w:p>
      <w:pPr>
        <w:pStyle w:val="BodyTextIndent"/>
        <w:ind w:start="360" w:end="0"/>
        <w:rPr/>
      </w:pPr>
      <w:r>
        <w:rPr/>
      </w:r>
    </w:p>
    <w:tbl>
      <w:tblPr>
        <w:tblW w:w="7416" w:type="dxa"/>
        <w:jc w:val="start"/>
        <w:tblInd w:w="1440" w:type="dxa"/>
        <w:tblLayout w:type="fixed"/>
        <w:tblCellMar>
          <w:top w:w="0" w:type="dxa"/>
          <w:start w:w="108" w:type="dxa"/>
          <w:bottom w:w="0" w:type="dxa"/>
          <w:end w:w="108" w:type="dxa"/>
        </w:tblCellMar>
      </w:tblPr>
      <w:tblGrid>
        <w:gridCol w:w="1439"/>
        <w:gridCol w:w="1497"/>
        <w:gridCol w:w="1450"/>
        <w:gridCol w:w="1532"/>
        <w:gridCol w:w="1498"/>
      </w:tblGrid>
      <w:tr>
        <w:trPr/>
        <w:tc>
          <w:tcPr>
            <w:tcW w:w="143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497"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Ft. Pierce</w:t>
            </w:r>
          </w:p>
        </w:tc>
        <w:tc>
          <w:tcPr>
            <w:tcW w:w="1450"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ENA</w:t>
            </w:r>
          </w:p>
        </w:tc>
        <w:tc>
          <w:tcPr>
            <w:tcW w:w="1532"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Facility</w:t>
            </w:r>
          </w:p>
        </w:tc>
        <w:tc>
          <w:tcPr>
            <w:tcW w:w="1498"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Boiler</w:t>
            </w:r>
          </w:p>
        </w:tc>
      </w:tr>
      <w:tr>
        <w:trPr/>
        <w:tc>
          <w:tcPr>
            <w:tcW w:w="1439" w:type="dxa"/>
            <w:tcBorders>
              <w:top w:val="single" w:sz="4" w:space="0" w:color="000000"/>
              <w:start w:val="single" w:sz="4" w:space="0" w:color="000000"/>
              <w:bottom w:val="single" w:sz="4" w:space="0" w:color="000000"/>
              <w:end w:val="single" w:sz="4" w:space="0" w:color="000000"/>
            </w:tcBorders>
          </w:tcPr>
          <w:p>
            <w:pPr>
              <w:pStyle w:val="Heading3"/>
              <w:ind w:hanging="0" w:start="0"/>
              <w:rPr/>
            </w:pPr>
            <w:r>
              <w:rPr/>
              <w:t>MW</w:t>
            </w:r>
          </w:p>
        </w:tc>
        <w:tc>
          <w:tcPr>
            <w:tcW w:w="1497" w:type="dxa"/>
            <w:tcBorders>
              <w:top w:val="single" w:sz="4" w:space="0" w:color="000000"/>
              <w:start w:val="single" w:sz="4" w:space="0" w:color="000000"/>
              <w:bottom w:val="single" w:sz="4" w:space="0" w:color="000000"/>
              <w:end w:val="single" w:sz="4" w:space="0" w:color="000000"/>
            </w:tcBorders>
          </w:tcPr>
          <w:p>
            <w:pPr>
              <w:pStyle w:val="Normal"/>
              <w:jc w:val="center"/>
              <w:rPr/>
            </w:pPr>
            <w:r>
              <w:rPr/>
              <w:t>82</w:t>
            </w:r>
          </w:p>
        </w:tc>
        <w:tc>
          <w:tcPr>
            <w:tcW w:w="1450" w:type="dxa"/>
            <w:tcBorders>
              <w:top w:val="single" w:sz="4" w:space="0" w:color="000000"/>
              <w:start w:val="single" w:sz="4" w:space="0" w:color="000000"/>
              <w:bottom w:val="single" w:sz="4" w:space="0" w:color="000000"/>
              <w:end w:val="single" w:sz="4" w:space="0" w:color="000000"/>
            </w:tcBorders>
          </w:tcPr>
          <w:p>
            <w:pPr>
              <w:pStyle w:val="Normal"/>
              <w:jc w:val="center"/>
              <w:rPr/>
            </w:pPr>
            <w:r>
              <w:rPr/>
              <w:t>0</w:t>
            </w:r>
          </w:p>
        </w:tc>
        <w:tc>
          <w:tcPr>
            <w:tcW w:w="1532" w:type="dxa"/>
            <w:tcBorders>
              <w:top w:val="single" w:sz="4" w:space="0" w:color="000000"/>
              <w:start w:val="single" w:sz="4" w:space="0" w:color="000000"/>
              <w:bottom w:val="single" w:sz="4" w:space="0" w:color="000000"/>
              <w:end w:val="single" w:sz="4" w:space="0" w:color="000000"/>
            </w:tcBorders>
          </w:tcPr>
          <w:p>
            <w:pPr>
              <w:pStyle w:val="Normal"/>
              <w:jc w:val="center"/>
              <w:rPr/>
            </w:pPr>
            <w:r>
              <w:rPr/>
              <w:t>82</w:t>
            </w:r>
          </w:p>
        </w:tc>
        <w:tc>
          <w:tcPr>
            <w:tcW w:w="1498" w:type="dxa"/>
            <w:tcBorders>
              <w:top w:val="single" w:sz="4" w:space="0" w:color="000000"/>
              <w:start w:val="single" w:sz="4" w:space="0" w:color="000000"/>
              <w:bottom w:val="single" w:sz="4" w:space="0" w:color="000000"/>
              <w:end w:val="single" w:sz="4" w:space="0" w:color="000000"/>
            </w:tcBorders>
          </w:tcPr>
          <w:p>
            <w:pPr>
              <w:pStyle w:val="Normal"/>
              <w:jc w:val="center"/>
              <w:rPr/>
            </w:pPr>
            <w:r>
              <w:rPr/>
              <w:t>N/A</w:t>
            </w:r>
          </w:p>
        </w:tc>
      </w:tr>
      <w:tr>
        <w:trPr/>
        <w:tc>
          <w:tcPr>
            <w:tcW w:w="1439"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HR</w:t>
            </w:r>
          </w:p>
        </w:tc>
        <w:tc>
          <w:tcPr>
            <w:tcW w:w="1497" w:type="dxa"/>
            <w:tcBorders>
              <w:top w:val="single" w:sz="4" w:space="0" w:color="000000"/>
              <w:start w:val="single" w:sz="4" w:space="0" w:color="000000"/>
              <w:bottom w:val="single" w:sz="4" w:space="0" w:color="000000"/>
              <w:end w:val="single" w:sz="4" w:space="0" w:color="000000"/>
            </w:tcBorders>
          </w:tcPr>
          <w:p>
            <w:pPr>
              <w:pStyle w:val="Normal"/>
              <w:jc w:val="center"/>
              <w:rPr/>
            </w:pPr>
            <w:r>
              <w:rPr/>
              <w:t>12,200</w:t>
            </w:r>
          </w:p>
        </w:tc>
        <w:tc>
          <w:tcPr>
            <w:tcW w:w="14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32" w:type="dxa"/>
            <w:tcBorders>
              <w:top w:val="single" w:sz="4" w:space="0" w:color="000000"/>
              <w:start w:val="single" w:sz="4" w:space="0" w:color="000000"/>
              <w:bottom w:val="single" w:sz="4" w:space="0" w:color="000000"/>
              <w:end w:val="single" w:sz="4" w:space="0" w:color="000000"/>
            </w:tcBorders>
          </w:tcPr>
          <w:p>
            <w:pPr>
              <w:pStyle w:val="Normal"/>
              <w:jc w:val="center"/>
              <w:rPr/>
            </w:pPr>
            <w:r>
              <w:rPr/>
              <w:t>12,200</w:t>
            </w:r>
          </w:p>
        </w:tc>
        <w:tc>
          <w:tcPr>
            <w:tcW w:w="1498" w:type="dxa"/>
            <w:tcBorders>
              <w:top w:val="single" w:sz="4" w:space="0" w:color="000000"/>
              <w:start w:val="single" w:sz="4" w:space="0" w:color="000000"/>
              <w:bottom w:val="single" w:sz="4" w:space="0" w:color="000000"/>
              <w:end w:val="single" w:sz="4" w:space="0" w:color="000000"/>
            </w:tcBorders>
          </w:tcPr>
          <w:p>
            <w:pPr>
              <w:pStyle w:val="Normal"/>
              <w:jc w:val="center"/>
              <w:rPr/>
            </w:pPr>
            <w:r>
              <w:rPr/>
              <w:t>12,200</w:t>
            </w:r>
          </w:p>
        </w:tc>
      </w:tr>
    </w:tbl>
    <w:p>
      <w:pPr>
        <w:pStyle w:val="BodyTextIndent"/>
        <w:rPr/>
      </w:pPr>
      <w:r>
        <w:rPr/>
      </w:r>
    </w:p>
    <w:p>
      <w:pPr>
        <w:pStyle w:val="BodyTextIndent"/>
        <w:rPr/>
      </w:pPr>
      <w:r>
        <w:rPr/>
      </w:r>
    </w:p>
    <w:p>
      <w:pPr>
        <w:pStyle w:val="BodyTextIndent"/>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360"/>
      </w:pPr>
      <w:rPr/>
    </w:lvl>
  </w:abstractNum>
  <w:abstractNum w:abstractNumId="3">
    <w:lvl w:ilvl="0">
      <w:start w:val="1"/>
      <w:numFmt w:val="decimal"/>
      <w:lvlText w:val="%1)"/>
      <w:lvlJc w:val="start"/>
      <w:pPr>
        <w:tabs>
          <w:tab w:val="num" w:pos="1080"/>
        </w:tabs>
        <w:ind w:start="108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sz w:val="36"/>
    </w:rPr>
  </w:style>
  <w:style w:type="paragraph" w:styleId="Heading2">
    <w:name w:val="heading 2"/>
    <w:basedOn w:val="Normal"/>
    <w:next w:val="Normal"/>
    <w:qFormat/>
    <w:pPr>
      <w:keepNext w:val="true"/>
      <w:numPr>
        <w:ilvl w:val="1"/>
        <w:numId w:val="1"/>
      </w:numPr>
      <w:outlineLvl w:val="1"/>
    </w:pPr>
    <w:rPr>
      <w:i/>
      <w:iCs/>
    </w:rPr>
  </w:style>
  <w:style w:type="paragraph" w:styleId="Heading3">
    <w:name w:val="heading 3"/>
    <w:basedOn w:val="Normal"/>
    <w:next w:val="Normal"/>
    <w:qFormat/>
    <w:pPr>
      <w:keepNext w:val="true"/>
      <w:numPr>
        <w:ilvl w:val="2"/>
        <w:numId w:val="1"/>
      </w:numPr>
      <w:jc w:val="center"/>
      <w:outlineLvl w:val="2"/>
    </w:pPr>
    <w:rPr>
      <w:b/>
      <w:bCs/>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0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861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2001-02-16T20:24:00Z</dcterms:created>
  <dc:creator>ecross</dc:creator>
  <dc:description/>
  <dc:language>en-CA</dc:language>
  <cp:lastModifiedBy>ecross</cp:lastModifiedBy>
  <cp:lastPrinted>2001-02-22T16:00:00Z</cp:lastPrinted>
  <dcterms:modified xsi:type="dcterms:W3CDTF">2001-02-22T19:35:00Z</dcterms:modified>
  <cp:revision>25</cp:revision>
  <dc:subject/>
  <dc:title>Ft</dc:title>
</cp:coreProperties>
</file>